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94ED59">
      <w:pPr>
        <w:rPr>
          <w:color w:val="auto"/>
          <w:szCs w:val="21"/>
        </w:rPr>
      </w:pPr>
    </w:p>
    <w:p w14:paraId="011AFAE4">
      <w:pPr>
        <w:rPr>
          <w:color w:val="auto"/>
          <w:szCs w:val="21"/>
        </w:rPr>
      </w:pPr>
    </w:p>
    <w:p w14:paraId="3D673898">
      <w:pPr>
        <w:rPr>
          <w:color w:val="auto"/>
          <w:szCs w:val="21"/>
        </w:rPr>
      </w:pPr>
    </w:p>
    <w:p w14:paraId="348110A0">
      <w:pPr>
        <w:rPr>
          <w:b/>
          <w:bCs/>
          <w:color w:val="auto"/>
          <w:szCs w:val="21"/>
        </w:rPr>
      </w:pPr>
    </w:p>
    <w:p w14:paraId="493BC6AB">
      <w:pPr>
        <w:spacing w:line="360" w:lineRule="auto"/>
        <w:jc w:val="center"/>
        <w:rPr>
          <w:color w:val="auto"/>
          <w:sz w:val="52"/>
          <w:szCs w:val="52"/>
        </w:rPr>
      </w:pPr>
      <w:r>
        <w:rPr>
          <w:color w:val="auto"/>
          <w:sz w:val="52"/>
          <w:szCs w:val="52"/>
        </w:rPr>
        <w:t>建设项目环境影响报告表</w:t>
      </w:r>
    </w:p>
    <w:p w14:paraId="70B02EF0">
      <w:pPr>
        <w:adjustRightInd w:val="0"/>
        <w:snapToGrid w:val="0"/>
        <w:spacing w:before="192" w:beforeLines="80" w:line="360" w:lineRule="auto"/>
        <w:jc w:val="center"/>
        <w:rPr>
          <w:color w:val="auto"/>
          <w:sz w:val="48"/>
          <w:szCs w:val="48"/>
        </w:rPr>
      </w:pPr>
      <w:r>
        <w:rPr>
          <w:color w:val="auto"/>
          <w:sz w:val="48"/>
          <w:szCs w:val="48"/>
        </w:rPr>
        <w:t>（污染影响类）</w:t>
      </w:r>
    </w:p>
    <w:p w14:paraId="0945AECF">
      <w:pPr>
        <w:rPr>
          <w:color w:val="auto"/>
          <w:szCs w:val="21"/>
        </w:rPr>
      </w:pPr>
    </w:p>
    <w:p w14:paraId="5D30BE9C">
      <w:pPr>
        <w:pStyle w:val="2"/>
        <w:rPr>
          <w:color w:val="auto"/>
          <w:szCs w:val="21"/>
        </w:rPr>
      </w:pPr>
    </w:p>
    <w:p w14:paraId="67E36B03">
      <w:pPr>
        <w:jc w:val="center"/>
        <w:rPr>
          <w:color w:val="auto"/>
          <w:szCs w:val="21"/>
        </w:rPr>
      </w:pPr>
    </w:p>
    <w:p w14:paraId="02FDAC1A">
      <w:pPr>
        <w:pStyle w:val="2"/>
        <w:rPr>
          <w:color w:val="auto"/>
          <w:szCs w:val="21"/>
        </w:rPr>
      </w:pPr>
    </w:p>
    <w:p w14:paraId="5ED6F499">
      <w:pPr>
        <w:rPr>
          <w:color w:val="auto"/>
        </w:rPr>
      </w:pPr>
    </w:p>
    <w:p w14:paraId="37217AAF">
      <w:pPr>
        <w:ind w:firstLine="1040"/>
        <w:rPr>
          <w:color w:val="auto"/>
          <w:szCs w:val="21"/>
        </w:rPr>
      </w:pPr>
    </w:p>
    <w:p w14:paraId="27C8228C">
      <w:pPr>
        <w:ind w:firstLine="1040"/>
        <w:rPr>
          <w:color w:val="auto"/>
          <w:szCs w:val="21"/>
        </w:rPr>
      </w:pPr>
    </w:p>
    <w:p w14:paraId="269DF06B">
      <w:pPr>
        <w:ind w:firstLine="1040"/>
        <w:rPr>
          <w:color w:val="auto"/>
          <w:szCs w:val="21"/>
        </w:rPr>
      </w:pPr>
    </w:p>
    <w:p w14:paraId="56D8CC96">
      <w:pPr>
        <w:ind w:firstLine="1040"/>
        <w:rPr>
          <w:color w:val="auto"/>
          <w:sz w:val="32"/>
          <w:szCs w:val="32"/>
        </w:rPr>
      </w:pPr>
    </w:p>
    <w:p w14:paraId="010E7BF6">
      <w:pPr>
        <w:adjustRightInd w:val="0"/>
        <w:snapToGrid w:val="0"/>
        <w:spacing w:line="360" w:lineRule="auto"/>
        <w:rPr>
          <w:color w:val="auto"/>
          <w:sz w:val="32"/>
          <w:szCs w:val="32"/>
          <w:u w:val="single"/>
        </w:rPr>
      </w:pPr>
      <w:r>
        <w:rPr>
          <w:color w:val="auto"/>
          <w:sz w:val="32"/>
          <w:szCs w:val="32"/>
        </w:rPr>
        <w:t>项  目  名  称：</w:t>
      </w:r>
      <w:r>
        <w:rPr>
          <w:color w:val="auto"/>
          <w:sz w:val="32"/>
          <w:szCs w:val="32"/>
          <w:u w:val="single"/>
        </w:rPr>
        <w:t xml:space="preserve"> </w:t>
      </w:r>
      <w:r>
        <w:rPr>
          <w:rFonts w:hint="eastAsia"/>
          <w:color w:val="auto"/>
          <w:sz w:val="32"/>
          <w:szCs w:val="32"/>
          <w:u w:val="single"/>
          <w:lang w:eastAsia="zh-CN"/>
        </w:rPr>
        <w:t>新建热塑性弹性体及汽车密封件项目</w:t>
      </w:r>
      <w:r>
        <w:rPr>
          <w:rFonts w:hint="eastAsia"/>
          <w:color w:val="auto"/>
          <w:sz w:val="32"/>
          <w:szCs w:val="32"/>
          <w:u w:val="single"/>
        </w:rPr>
        <w:t xml:space="preserve"> </w:t>
      </w:r>
      <w:r>
        <w:rPr>
          <w:rFonts w:hint="eastAsia"/>
          <w:color w:val="auto"/>
          <w:sz w:val="32"/>
          <w:szCs w:val="32"/>
          <w:u w:val="single"/>
          <w:lang w:val="en-US" w:eastAsia="zh-CN"/>
        </w:rPr>
        <w:t xml:space="preserve">     </w:t>
      </w:r>
      <w:r>
        <w:rPr>
          <w:rFonts w:hint="eastAsia"/>
          <w:color w:val="auto"/>
          <w:sz w:val="32"/>
          <w:szCs w:val="32"/>
          <w:u w:val="single"/>
        </w:rPr>
        <w:t xml:space="preserve"> </w:t>
      </w:r>
    </w:p>
    <w:p w14:paraId="5CCCD3AD">
      <w:pPr>
        <w:adjustRightInd w:val="0"/>
        <w:snapToGrid w:val="0"/>
        <w:spacing w:line="360" w:lineRule="auto"/>
        <w:rPr>
          <w:color w:val="auto"/>
          <w:sz w:val="32"/>
          <w:szCs w:val="32"/>
          <w:u w:val="single"/>
        </w:rPr>
      </w:pPr>
      <w:r>
        <w:rPr>
          <w:color w:val="auto"/>
          <w:sz w:val="32"/>
          <w:szCs w:val="32"/>
        </w:rPr>
        <w:t>建设单位（盖章）：</w:t>
      </w:r>
      <w:r>
        <w:rPr>
          <w:color w:val="auto"/>
          <w:sz w:val="32"/>
          <w:szCs w:val="32"/>
          <w:u w:val="single"/>
        </w:rPr>
        <w:t xml:space="preserve">   </w:t>
      </w:r>
      <w:r>
        <w:rPr>
          <w:rFonts w:hint="eastAsia"/>
          <w:color w:val="auto"/>
          <w:sz w:val="32"/>
          <w:szCs w:val="32"/>
          <w:u w:val="single"/>
          <w:lang w:eastAsia="zh-CN"/>
        </w:rPr>
        <w:t>常州和瑞新材料科技有限公司</w:t>
      </w:r>
      <w:r>
        <w:rPr>
          <w:rFonts w:hint="eastAsia"/>
          <w:color w:val="auto"/>
          <w:sz w:val="32"/>
          <w:szCs w:val="32"/>
          <w:u w:val="single"/>
        </w:rPr>
        <w:t xml:space="preserve">    </w:t>
      </w:r>
      <w:r>
        <w:rPr>
          <w:rFonts w:hint="eastAsia"/>
          <w:color w:val="auto"/>
          <w:sz w:val="32"/>
          <w:szCs w:val="32"/>
          <w:u w:val="single"/>
          <w:lang w:val="en-US" w:eastAsia="zh-CN"/>
        </w:rPr>
        <w:t xml:space="preserve">  </w:t>
      </w:r>
      <w:r>
        <w:rPr>
          <w:rFonts w:hint="eastAsia"/>
          <w:color w:val="auto"/>
          <w:sz w:val="32"/>
          <w:szCs w:val="32"/>
          <w:u w:val="single"/>
        </w:rPr>
        <w:t xml:space="preserve"> </w:t>
      </w:r>
    </w:p>
    <w:p w14:paraId="062A790D">
      <w:pPr>
        <w:adjustRightInd w:val="0"/>
        <w:snapToGrid w:val="0"/>
        <w:spacing w:line="288" w:lineRule="auto"/>
        <w:rPr>
          <w:color w:val="auto"/>
          <w:sz w:val="32"/>
          <w:szCs w:val="32"/>
          <w:u w:val="single"/>
        </w:rPr>
      </w:pPr>
      <w:r>
        <w:rPr>
          <w:color w:val="auto"/>
          <w:sz w:val="32"/>
          <w:szCs w:val="32"/>
        </w:rPr>
        <w:t>编  制  日  期：</w:t>
      </w:r>
      <w:r>
        <w:rPr>
          <w:color w:val="auto"/>
          <w:sz w:val="32"/>
          <w:szCs w:val="32"/>
          <w:u w:val="single"/>
        </w:rPr>
        <w:t xml:space="preserve">     20</w:t>
      </w:r>
      <w:r>
        <w:rPr>
          <w:rFonts w:hint="eastAsia"/>
          <w:color w:val="auto"/>
          <w:sz w:val="32"/>
          <w:szCs w:val="32"/>
          <w:u w:val="single"/>
          <w:lang w:val="en-US" w:eastAsia="zh-CN"/>
        </w:rPr>
        <w:t>26</w:t>
      </w:r>
      <w:r>
        <w:rPr>
          <w:color w:val="auto"/>
          <w:sz w:val="32"/>
          <w:szCs w:val="32"/>
          <w:u w:val="single"/>
        </w:rPr>
        <w:t>年</w:t>
      </w:r>
      <w:r>
        <w:rPr>
          <w:rFonts w:hint="eastAsia"/>
          <w:color w:val="auto"/>
          <w:sz w:val="32"/>
          <w:szCs w:val="32"/>
          <w:u w:val="single"/>
          <w:lang w:val="en-US" w:eastAsia="zh-CN"/>
        </w:rPr>
        <w:t>2</w:t>
      </w:r>
      <w:r>
        <w:rPr>
          <w:color w:val="auto"/>
          <w:sz w:val="32"/>
          <w:szCs w:val="32"/>
          <w:u w:val="single"/>
        </w:rPr>
        <w:t>月</w:t>
      </w:r>
      <w:r>
        <w:rPr>
          <w:rFonts w:hint="eastAsia"/>
          <w:color w:val="auto"/>
          <w:sz w:val="32"/>
          <w:szCs w:val="32"/>
          <w:u w:val="single"/>
        </w:rPr>
        <w:t xml:space="preserve">        </w:t>
      </w:r>
      <w:r>
        <w:rPr>
          <w:color w:val="auto"/>
          <w:sz w:val="32"/>
          <w:szCs w:val="32"/>
          <w:u w:val="single"/>
        </w:rPr>
        <w:t xml:space="preserve">       </w:t>
      </w:r>
      <w:r>
        <w:rPr>
          <w:rFonts w:hint="eastAsia"/>
          <w:color w:val="auto"/>
          <w:sz w:val="32"/>
          <w:szCs w:val="32"/>
          <w:u w:val="single"/>
        </w:rPr>
        <w:t xml:space="preserve"> </w:t>
      </w:r>
      <w:r>
        <w:rPr>
          <w:color w:val="auto"/>
          <w:sz w:val="32"/>
          <w:szCs w:val="32"/>
          <w:u w:val="single"/>
        </w:rPr>
        <w:t xml:space="preserve">  </w:t>
      </w:r>
      <w:r>
        <w:rPr>
          <w:rFonts w:hint="eastAsia"/>
          <w:color w:val="auto"/>
          <w:sz w:val="32"/>
          <w:szCs w:val="32"/>
          <w:u w:val="single"/>
        </w:rPr>
        <w:t xml:space="preserve"> </w:t>
      </w:r>
      <w:r>
        <w:rPr>
          <w:color w:val="auto"/>
          <w:sz w:val="32"/>
          <w:szCs w:val="32"/>
          <w:u w:val="single"/>
        </w:rPr>
        <w:t xml:space="preserve">  </w:t>
      </w:r>
      <w:r>
        <w:rPr>
          <w:rFonts w:hint="eastAsia"/>
          <w:color w:val="auto"/>
          <w:sz w:val="32"/>
          <w:szCs w:val="32"/>
          <w:u w:val="single"/>
        </w:rPr>
        <w:t xml:space="preserve"> </w:t>
      </w:r>
      <w:r>
        <w:rPr>
          <w:color w:val="auto"/>
          <w:sz w:val="32"/>
          <w:szCs w:val="32"/>
          <w:u w:val="single"/>
        </w:rPr>
        <w:t xml:space="preserve"> </w:t>
      </w:r>
      <w:bookmarkStart w:id="0" w:name="_Hlk57884087"/>
    </w:p>
    <w:p w14:paraId="44F37899">
      <w:pPr>
        <w:adjustRightInd w:val="0"/>
        <w:snapToGrid w:val="0"/>
        <w:spacing w:line="288" w:lineRule="auto"/>
        <w:ind w:firstLine="1040"/>
        <w:rPr>
          <w:color w:val="auto"/>
          <w:szCs w:val="21"/>
        </w:rPr>
      </w:pPr>
    </w:p>
    <w:p w14:paraId="72C3E3A9">
      <w:pPr>
        <w:pStyle w:val="7"/>
        <w:rPr>
          <w:color w:val="auto"/>
          <w:szCs w:val="21"/>
        </w:rPr>
      </w:pPr>
    </w:p>
    <w:p w14:paraId="5D5F831D">
      <w:pPr>
        <w:pStyle w:val="7"/>
        <w:ind w:left="420"/>
        <w:rPr>
          <w:color w:val="auto"/>
          <w:szCs w:val="21"/>
        </w:rPr>
      </w:pPr>
    </w:p>
    <w:p w14:paraId="05CF5C06">
      <w:pPr>
        <w:pStyle w:val="7"/>
        <w:rPr>
          <w:color w:val="auto"/>
          <w:szCs w:val="21"/>
        </w:rPr>
      </w:pPr>
    </w:p>
    <w:p w14:paraId="322BA8EF">
      <w:pPr>
        <w:pStyle w:val="7"/>
        <w:rPr>
          <w:color w:val="auto"/>
          <w:szCs w:val="21"/>
        </w:rPr>
      </w:pPr>
    </w:p>
    <w:p w14:paraId="2A1CA905">
      <w:pPr>
        <w:pStyle w:val="7"/>
        <w:rPr>
          <w:color w:val="auto"/>
          <w:szCs w:val="21"/>
        </w:rPr>
      </w:pPr>
    </w:p>
    <w:p w14:paraId="2E0E305B">
      <w:pPr>
        <w:pStyle w:val="7"/>
        <w:rPr>
          <w:color w:val="auto"/>
          <w:szCs w:val="21"/>
        </w:rPr>
      </w:pPr>
    </w:p>
    <w:p w14:paraId="6E43B7B8">
      <w:pPr>
        <w:pStyle w:val="7"/>
        <w:rPr>
          <w:color w:val="auto"/>
          <w:szCs w:val="21"/>
        </w:rPr>
      </w:pPr>
    </w:p>
    <w:p w14:paraId="541A65E4">
      <w:pPr>
        <w:pStyle w:val="7"/>
        <w:rPr>
          <w:color w:val="auto"/>
          <w:szCs w:val="21"/>
        </w:rPr>
      </w:pPr>
    </w:p>
    <w:p w14:paraId="018D7A7A">
      <w:pPr>
        <w:pStyle w:val="7"/>
        <w:rPr>
          <w:color w:val="auto"/>
          <w:szCs w:val="21"/>
        </w:rPr>
      </w:pPr>
    </w:p>
    <w:p w14:paraId="2F875D54">
      <w:pPr>
        <w:pStyle w:val="7"/>
        <w:rPr>
          <w:color w:val="auto"/>
          <w:szCs w:val="21"/>
        </w:rPr>
      </w:pPr>
    </w:p>
    <w:p w14:paraId="64002E44">
      <w:pPr>
        <w:pStyle w:val="7"/>
        <w:rPr>
          <w:color w:val="auto"/>
          <w:szCs w:val="21"/>
        </w:rPr>
      </w:pPr>
    </w:p>
    <w:p w14:paraId="710BC3FF">
      <w:pPr>
        <w:pStyle w:val="7"/>
        <w:rPr>
          <w:color w:val="auto"/>
          <w:szCs w:val="21"/>
        </w:rPr>
      </w:pPr>
    </w:p>
    <w:p w14:paraId="08D46037">
      <w:pPr>
        <w:pStyle w:val="7"/>
        <w:rPr>
          <w:color w:val="auto"/>
          <w:szCs w:val="21"/>
        </w:rPr>
      </w:pPr>
    </w:p>
    <w:p w14:paraId="13E2CD5D">
      <w:pPr>
        <w:pStyle w:val="7"/>
        <w:rPr>
          <w:color w:val="auto"/>
          <w:szCs w:val="21"/>
        </w:rPr>
      </w:pPr>
    </w:p>
    <w:p w14:paraId="6DF3662E">
      <w:pPr>
        <w:pStyle w:val="7"/>
        <w:rPr>
          <w:color w:val="auto"/>
          <w:szCs w:val="21"/>
        </w:rPr>
      </w:pPr>
    </w:p>
    <w:p w14:paraId="15543126">
      <w:pPr>
        <w:pStyle w:val="7"/>
        <w:rPr>
          <w:color w:val="auto"/>
          <w:szCs w:val="21"/>
        </w:rPr>
      </w:pPr>
    </w:p>
    <w:p w14:paraId="74447BD4">
      <w:pPr>
        <w:pStyle w:val="7"/>
        <w:rPr>
          <w:color w:val="auto"/>
          <w:szCs w:val="21"/>
        </w:rPr>
      </w:pPr>
    </w:p>
    <w:bookmarkEnd w:id="0"/>
    <w:p w14:paraId="5488B9C3">
      <w:pPr>
        <w:jc w:val="center"/>
        <w:rPr>
          <w:color w:val="auto"/>
        </w:rPr>
      </w:pPr>
      <w:r>
        <w:rPr>
          <w:color w:val="auto"/>
          <w:sz w:val="36"/>
          <w:szCs w:val="36"/>
        </w:rPr>
        <w:t>中华人民共和国生态环境部制</w:t>
      </w:r>
    </w:p>
    <w:p w14:paraId="700B8AE0">
      <w:pPr>
        <w:pStyle w:val="7"/>
        <w:rPr>
          <w:color w:val="auto"/>
        </w:rPr>
      </w:pPr>
    </w:p>
    <w:p w14:paraId="26707504">
      <w:pPr>
        <w:jc w:val="center"/>
        <w:rPr>
          <w:color w:val="auto"/>
          <w:sz w:val="36"/>
          <w:szCs w:val="36"/>
        </w:rPr>
      </w:pPr>
    </w:p>
    <w:p w14:paraId="6067DFF5">
      <w:pPr>
        <w:jc w:val="center"/>
        <w:rPr>
          <w:color w:val="auto"/>
          <w:sz w:val="36"/>
          <w:szCs w:val="36"/>
        </w:rPr>
      </w:pPr>
    </w:p>
    <w:p w14:paraId="6878A901">
      <w:pPr>
        <w:jc w:val="center"/>
        <w:rPr>
          <w:color w:val="auto"/>
          <w:sz w:val="36"/>
          <w:szCs w:val="36"/>
        </w:rPr>
      </w:pPr>
    </w:p>
    <w:p w14:paraId="47CEF650">
      <w:pPr>
        <w:adjustRightInd w:val="0"/>
        <w:snapToGrid w:val="0"/>
        <w:spacing w:line="288" w:lineRule="auto"/>
        <w:ind w:firstLine="1040"/>
        <w:rPr>
          <w:color w:val="auto"/>
          <w:sz w:val="36"/>
          <w:szCs w:val="36"/>
        </w:rPr>
        <w:sectPr>
          <w:footerReference r:id="rId3" w:type="even"/>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0BCBA90B">
      <w:pPr>
        <w:pStyle w:val="73"/>
        <w:jc w:val="center"/>
        <w:rPr>
          <w:rFonts w:ascii="Times New Roman" w:hAnsi="Times New Roman" w:eastAsia="宋体"/>
          <w:b/>
          <w:bCs/>
          <w:color w:val="auto"/>
        </w:rPr>
      </w:pPr>
      <w:r>
        <w:rPr>
          <w:rFonts w:ascii="Times New Roman" w:hAnsi="Times New Roman" w:eastAsia="宋体"/>
          <w:b/>
          <w:bCs/>
          <w:color w:val="auto"/>
          <w:lang w:val="zh-CN"/>
        </w:rPr>
        <w:t>目录</w:t>
      </w:r>
    </w:p>
    <w:p w14:paraId="096387D0">
      <w:pPr>
        <w:pStyle w:val="21"/>
        <w:tabs>
          <w:tab w:val="right" w:leader="dot" w:pos="8844"/>
        </w:tabs>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fldChar w:fldCharType="begin"/>
      </w:r>
      <w:r>
        <w:rPr>
          <w:rFonts w:hint="default" w:ascii="Times New Roman" w:hAnsi="Times New Roman" w:eastAsia="宋体" w:cs="Times New Roman"/>
          <w:color w:val="auto"/>
          <w:sz w:val="21"/>
          <w:szCs w:val="21"/>
        </w:rPr>
        <w:instrText xml:space="preserve"> TOC \o "1-3" \h \z \u </w:instrText>
      </w:r>
      <w:r>
        <w:rPr>
          <w:rFonts w:hint="default" w:ascii="Times New Roman" w:hAnsi="Times New Roman" w:eastAsia="宋体" w:cs="Times New Roman"/>
          <w:color w:val="auto"/>
          <w:sz w:val="21"/>
          <w:szCs w:val="21"/>
        </w:rPr>
        <w:fldChar w:fldCharType="separate"/>
      </w:r>
      <w:r>
        <w:rPr>
          <w:rFonts w:hint="default" w:ascii="Times New Roman" w:hAnsi="Times New Roman" w:eastAsia="宋体" w:cs="Times New Roman"/>
          <w:color w:val="auto"/>
          <w:sz w:val="21"/>
          <w:szCs w:val="21"/>
        </w:rPr>
        <w:fldChar w:fldCharType="begin"/>
      </w:r>
      <w:r>
        <w:rPr>
          <w:rFonts w:hint="default" w:ascii="Times New Roman" w:hAnsi="Times New Roman" w:eastAsia="宋体" w:cs="Times New Roman"/>
          <w:color w:val="auto"/>
          <w:sz w:val="21"/>
          <w:szCs w:val="21"/>
        </w:rPr>
        <w:instrText xml:space="preserve"> HYPERLINK \l _Toc16352 </w:instrText>
      </w:r>
      <w:r>
        <w:rPr>
          <w:rFonts w:hint="default" w:ascii="Times New Roman" w:hAnsi="Times New Roman" w:eastAsia="宋体" w:cs="Times New Roman"/>
          <w:color w:val="auto"/>
          <w:sz w:val="21"/>
          <w:szCs w:val="21"/>
        </w:rPr>
        <w:fldChar w:fldCharType="separate"/>
      </w:r>
      <w:r>
        <w:rPr>
          <w:rFonts w:hint="default" w:ascii="Times New Roman" w:hAnsi="Times New Roman" w:eastAsia="宋体" w:cs="Times New Roman"/>
          <w:bCs/>
          <w:snapToGrid w:val="0"/>
          <w:color w:val="auto"/>
          <w:sz w:val="21"/>
          <w:szCs w:val="21"/>
        </w:rPr>
        <w:t>一、建设项目基本情况</w:t>
      </w:r>
      <w:r>
        <w:rPr>
          <w:rFonts w:hint="default" w:ascii="Times New Roman" w:hAnsi="Times New Roman" w:eastAsia="宋体" w:cs="Times New Roman"/>
          <w:color w:val="auto"/>
          <w:sz w:val="21"/>
          <w:szCs w:val="21"/>
        </w:rPr>
        <w:tab/>
      </w:r>
      <w:r>
        <w:rPr>
          <w:rFonts w:hint="default" w:ascii="Times New Roman" w:hAnsi="Times New Roman" w:eastAsia="宋体" w:cs="Times New Roman"/>
          <w:color w:val="auto"/>
          <w:sz w:val="21"/>
          <w:szCs w:val="21"/>
        </w:rPr>
        <w:fldChar w:fldCharType="begin"/>
      </w:r>
      <w:r>
        <w:rPr>
          <w:rFonts w:hint="default" w:ascii="Times New Roman" w:hAnsi="Times New Roman" w:eastAsia="宋体" w:cs="Times New Roman"/>
          <w:color w:val="auto"/>
          <w:sz w:val="21"/>
          <w:szCs w:val="21"/>
        </w:rPr>
        <w:instrText xml:space="preserve"> PAGEREF _Toc16352 \h </w:instrText>
      </w:r>
      <w:r>
        <w:rPr>
          <w:rFonts w:hint="default" w:ascii="Times New Roman" w:hAnsi="Times New Roman" w:eastAsia="宋体" w:cs="Times New Roman"/>
          <w:color w:val="auto"/>
          <w:sz w:val="21"/>
          <w:szCs w:val="21"/>
        </w:rPr>
        <w:fldChar w:fldCharType="separate"/>
      </w:r>
      <w:r>
        <w:rPr>
          <w:rFonts w:hint="default" w:ascii="Times New Roman" w:hAnsi="Times New Roman" w:eastAsia="宋体" w:cs="Times New Roman"/>
          <w:color w:val="auto"/>
          <w:sz w:val="21"/>
          <w:szCs w:val="21"/>
        </w:rPr>
        <w:t>1</w:t>
      </w:r>
      <w:r>
        <w:rPr>
          <w:rFonts w:hint="default" w:ascii="Times New Roman" w:hAnsi="Times New Roman" w:eastAsia="宋体" w:cs="Times New Roman"/>
          <w:color w:val="auto"/>
          <w:sz w:val="21"/>
          <w:szCs w:val="21"/>
        </w:rPr>
        <w:fldChar w:fldCharType="end"/>
      </w:r>
      <w:r>
        <w:rPr>
          <w:rFonts w:hint="default" w:ascii="Times New Roman" w:hAnsi="Times New Roman" w:eastAsia="宋体" w:cs="Times New Roman"/>
          <w:color w:val="auto"/>
          <w:sz w:val="21"/>
          <w:szCs w:val="21"/>
        </w:rPr>
        <w:fldChar w:fldCharType="end"/>
      </w:r>
    </w:p>
    <w:p w14:paraId="00362116">
      <w:pPr>
        <w:pStyle w:val="21"/>
        <w:tabs>
          <w:tab w:val="right" w:leader="dot" w:pos="8844"/>
        </w:tabs>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lang w:val="zh-CN"/>
        </w:rPr>
        <w:fldChar w:fldCharType="begin"/>
      </w:r>
      <w:r>
        <w:rPr>
          <w:rFonts w:hint="default" w:ascii="Times New Roman" w:hAnsi="Times New Roman" w:eastAsia="宋体" w:cs="Times New Roman"/>
          <w:bCs/>
          <w:color w:val="auto"/>
          <w:sz w:val="21"/>
          <w:szCs w:val="21"/>
          <w:lang w:val="zh-CN"/>
        </w:rPr>
        <w:instrText xml:space="preserve"> HYPERLINK \l _Toc518 </w:instrText>
      </w:r>
      <w:r>
        <w:rPr>
          <w:rFonts w:hint="default" w:ascii="Times New Roman" w:hAnsi="Times New Roman" w:eastAsia="宋体" w:cs="Times New Roman"/>
          <w:bCs/>
          <w:color w:val="auto"/>
          <w:sz w:val="21"/>
          <w:szCs w:val="21"/>
          <w:lang w:val="zh-CN"/>
        </w:rPr>
        <w:fldChar w:fldCharType="separate"/>
      </w:r>
      <w:r>
        <w:rPr>
          <w:rFonts w:hint="default" w:ascii="Times New Roman" w:hAnsi="Times New Roman" w:eastAsia="宋体" w:cs="Times New Roman"/>
          <w:bCs/>
          <w:snapToGrid w:val="0"/>
          <w:color w:val="auto"/>
          <w:sz w:val="21"/>
          <w:szCs w:val="21"/>
        </w:rPr>
        <w:t>二、建设项目工程分析</w:t>
      </w:r>
      <w:r>
        <w:rPr>
          <w:rFonts w:hint="default" w:ascii="Times New Roman" w:hAnsi="Times New Roman" w:eastAsia="宋体" w:cs="Times New Roman"/>
          <w:color w:val="auto"/>
          <w:sz w:val="21"/>
          <w:szCs w:val="21"/>
        </w:rPr>
        <w:tab/>
      </w:r>
      <w:r>
        <w:rPr>
          <w:rFonts w:hint="default" w:ascii="Times New Roman" w:hAnsi="Times New Roman" w:eastAsia="宋体" w:cs="Times New Roman"/>
          <w:color w:val="auto"/>
          <w:sz w:val="21"/>
          <w:szCs w:val="21"/>
        </w:rPr>
        <w:fldChar w:fldCharType="begin"/>
      </w:r>
      <w:r>
        <w:rPr>
          <w:rFonts w:hint="default" w:ascii="Times New Roman" w:hAnsi="Times New Roman" w:eastAsia="宋体" w:cs="Times New Roman"/>
          <w:color w:val="auto"/>
          <w:sz w:val="21"/>
          <w:szCs w:val="21"/>
        </w:rPr>
        <w:instrText xml:space="preserve"> PAGEREF _Toc518 \h </w:instrText>
      </w:r>
      <w:r>
        <w:rPr>
          <w:rFonts w:hint="default" w:ascii="Times New Roman" w:hAnsi="Times New Roman" w:eastAsia="宋体" w:cs="Times New Roman"/>
          <w:color w:val="auto"/>
          <w:sz w:val="21"/>
          <w:szCs w:val="21"/>
        </w:rPr>
        <w:fldChar w:fldCharType="separate"/>
      </w:r>
      <w:r>
        <w:rPr>
          <w:rFonts w:hint="default" w:ascii="Times New Roman" w:hAnsi="Times New Roman" w:eastAsia="宋体" w:cs="Times New Roman"/>
          <w:color w:val="auto"/>
          <w:sz w:val="21"/>
          <w:szCs w:val="21"/>
        </w:rPr>
        <w:t>17</w:t>
      </w:r>
      <w:r>
        <w:rPr>
          <w:rFonts w:hint="default" w:ascii="Times New Roman" w:hAnsi="Times New Roman" w:eastAsia="宋体" w:cs="Times New Roman"/>
          <w:color w:val="auto"/>
          <w:sz w:val="21"/>
          <w:szCs w:val="21"/>
        </w:rPr>
        <w:fldChar w:fldCharType="end"/>
      </w:r>
      <w:r>
        <w:rPr>
          <w:rFonts w:hint="default" w:ascii="Times New Roman" w:hAnsi="Times New Roman" w:eastAsia="宋体" w:cs="Times New Roman"/>
          <w:bCs/>
          <w:color w:val="auto"/>
          <w:sz w:val="21"/>
          <w:szCs w:val="21"/>
          <w:lang w:val="zh-CN"/>
        </w:rPr>
        <w:fldChar w:fldCharType="end"/>
      </w:r>
    </w:p>
    <w:p w14:paraId="50AFBB89">
      <w:pPr>
        <w:pStyle w:val="21"/>
        <w:tabs>
          <w:tab w:val="right" w:leader="dot" w:pos="8844"/>
        </w:tabs>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lang w:val="zh-CN"/>
        </w:rPr>
        <w:fldChar w:fldCharType="begin"/>
      </w:r>
      <w:r>
        <w:rPr>
          <w:rFonts w:hint="default" w:ascii="Times New Roman" w:hAnsi="Times New Roman" w:eastAsia="宋体" w:cs="Times New Roman"/>
          <w:bCs/>
          <w:color w:val="auto"/>
          <w:sz w:val="21"/>
          <w:szCs w:val="21"/>
          <w:lang w:val="zh-CN"/>
        </w:rPr>
        <w:instrText xml:space="preserve"> HYPERLINK \l _Toc28743 </w:instrText>
      </w:r>
      <w:r>
        <w:rPr>
          <w:rFonts w:hint="default" w:ascii="Times New Roman" w:hAnsi="Times New Roman" w:eastAsia="宋体" w:cs="Times New Roman"/>
          <w:bCs/>
          <w:color w:val="auto"/>
          <w:sz w:val="21"/>
          <w:szCs w:val="21"/>
          <w:lang w:val="zh-CN"/>
        </w:rPr>
        <w:fldChar w:fldCharType="separate"/>
      </w:r>
      <w:r>
        <w:rPr>
          <w:rFonts w:hint="default" w:ascii="Times New Roman" w:hAnsi="Times New Roman" w:eastAsia="宋体" w:cs="Times New Roman"/>
          <w:bCs/>
          <w:snapToGrid w:val="0"/>
          <w:color w:val="auto"/>
          <w:sz w:val="21"/>
          <w:szCs w:val="21"/>
        </w:rPr>
        <w:t>三、区域环境质量现状、环境保护目标及评价标准</w:t>
      </w:r>
      <w:r>
        <w:rPr>
          <w:rFonts w:hint="default" w:ascii="Times New Roman" w:hAnsi="Times New Roman" w:eastAsia="宋体" w:cs="Times New Roman"/>
          <w:color w:val="auto"/>
          <w:sz w:val="21"/>
          <w:szCs w:val="21"/>
        </w:rPr>
        <w:tab/>
      </w:r>
      <w:r>
        <w:rPr>
          <w:rFonts w:hint="default" w:ascii="Times New Roman" w:hAnsi="Times New Roman" w:eastAsia="宋体" w:cs="Times New Roman"/>
          <w:color w:val="auto"/>
          <w:sz w:val="21"/>
          <w:szCs w:val="21"/>
        </w:rPr>
        <w:fldChar w:fldCharType="begin"/>
      </w:r>
      <w:r>
        <w:rPr>
          <w:rFonts w:hint="default" w:ascii="Times New Roman" w:hAnsi="Times New Roman" w:eastAsia="宋体" w:cs="Times New Roman"/>
          <w:color w:val="auto"/>
          <w:sz w:val="21"/>
          <w:szCs w:val="21"/>
        </w:rPr>
        <w:instrText xml:space="preserve"> PAGEREF _Toc28743 \h </w:instrText>
      </w:r>
      <w:r>
        <w:rPr>
          <w:rFonts w:hint="default" w:ascii="Times New Roman" w:hAnsi="Times New Roman" w:eastAsia="宋体" w:cs="Times New Roman"/>
          <w:color w:val="auto"/>
          <w:sz w:val="21"/>
          <w:szCs w:val="21"/>
        </w:rPr>
        <w:fldChar w:fldCharType="separate"/>
      </w:r>
      <w:r>
        <w:rPr>
          <w:rFonts w:hint="default" w:ascii="Times New Roman" w:hAnsi="Times New Roman" w:eastAsia="宋体" w:cs="Times New Roman"/>
          <w:color w:val="auto"/>
          <w:sz w:val="21"/>
          <w:szCs w:val="21"/>
        </w:rPr>
        <w:t>35</w:t>
      </w:r>
      <w:r>
        <w:rPr>
          <w:rFonts w:hint="default" w:ascii="Times New Roman" w:hAnsi="Times New Roman" w:eastAsia="宋体" w:cs="Times New Roman"/>
          <w:color w:val="auto"/>
          <w:sz w:val="21"/>
          <w:szCs w:val="21"/>
        </w:rPr>
        <w:fldChar w:fldCharType="end"/>
      </w:r>
      <w:r>
        <w:rPr>
          <w:rFonts w:hint="default" w:ascii="Times New Roman" w:hAnsi="Times New Roman" w:eastAsia="宋体" w:cs="Times New Roman"/>
          <w:bCs/>
          <w:color w:val="auto"/>
          <w:sz w:val="21"/>
          <w:szCs w:val="21"/>
          <w:lang w:val="zh-CN"/>
        </w:rPr>
        <w:fldChar w:fldCharType="end"/>
      </w:r>
    </w:p>
    <w:p w14:paraId="1F4811C7">
      <w:pPr>
        <w:pStyle w:val="21"/>
        <w:tabs>
          <w:tab w:val="right" w:leader="dot" w:pos="8844"/>
        </w:tabs>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lang w:val="zh-CN"/>
        </w:rPr>
        <w:fldChar w:fldCharType="begin"/>
      </w:r>
      <w:r>
        <w:rPr>
          <w:rFonts w:hint="default" w:ascii="Times New Roman" w:hAnsi="Times New Roman" w:eastAsia="宋体" w:cs="Times New Roman"/>
          <w:bCs/>
          <w:color w:val="auto"/>
          <w:sz w:val="21"/>
          <w:szCs w:val="21"/>
          <w:lang w:val="zh-CN"/>
        </w:rPr>
        <w:instrText xml:space="preserve"> HYPERLINK \l _Toc27594 </w:instrText>
      </w:r>
      <w:r>
        <w:rPr>
          <w:rFonts w:hint="default" w:ascii="Times New Roman" w:hAnsi="Times New Roman" w:eastAsia="宋体" w:cs="Times New Roman"/>
          <w:bCs/>
          <w:color w:val="auto"/>
          <w:sz w:val="21"/>
          <w:szCs w:val="21"/>
          <w:lang w:val="zh-CN"/>
        </w:rPr>
        <w:fldChar w:fldCharType="separate"/>
      </w:r>
      <w:r>
        <w:rPr>
          <w:rFonts w:hint="default" w:ascii="Times New Roman" w:hAnsi="Times New Roman" w:eastAsia="宋体" w:cs="Times New Roman"/>
          <w:bCs/>
          <w:snapToGrid w:val="0"/>
          <w:color w:val="auto"/>
          <w:sz w:val="21"/>
          <w:szCs w:val="21"/>
        </w:rPr>
        <w:t>四、主要环境影响和保护措施</w:t>
      </w:r>
      <w:r>
        <w:rPr>
          <w:rFonts w:hint="default" w:ascii="Times New Roman" w:hAnsi="Times New Roman" w:eastAsia="宋体" w:cs="Times New Roman"/>
          <w:color w:val="auto"/>
          <w:sz w:val="21"/>
          <w:szCs w:val="21"/>
        </w:rPr>
        <w:tab/>
      </w:r>
      <w:r>
        <w:rPr>
          <w:rFonts w:hint="default" w:ascii="Times New Roman" w:hAnsi="Times New Roman" w:eastAsia="宋体" w:cs="Times New Roman"/>
          <w:color w:val="auto"/>
          <w:sz w:val="21"/>
          <w:szCs w:val="21"/>
        </w:rPr>
        <w:fldChar w:fldCharType="begin"/>
      </w:r>
      <w:r>
        <w:rPr>
          <w:rFonts w:hint="default" w:ascii="Times New Roman" w:hAnsi="Times New Roman" w:eastAsia="宋体" w:cs="Times New Roman"/>
          <w:color w:val="auto"/>
          <w:sz w:val="21"/>
          <w:szCs w:val="21"/>
        </w:rPr>
        <w:instrText xml:space="preserve"> PAGEREF _Toc27594 \h </w:instrText>
      </w:r>
      <w:r>
        <w:rPr>
          <w:rFonts w:hint="default" w:ascii="Times New Roman" w:hAnsi="Times New Roman" w:eastAsia="宋体" w:cs="Times New Roman"/>
          <w:color w:val="auto"/>
          <w:sz w:val="21"/>
          <w:szCs w:val="21"/>
        </w:rPr>
        <w:fldChar w:fldCharType="separate"/>
      </w:r>
      <w:r>
        <w:rPr>
          <w:rFonts w:hint="default" w:ascii="Times New Roman" w:hAnsi="Times New Roman" w:eastAsia="宋体" w:cs="Times New Roman"/>
          <w:color w:val="auto"/>
          <w:sz w:val="21"/>
          <w:szCs w:val="21"/>
        </w:rPr>
        <w:t>44</w:t>
      </w:r>
      <w:r>
        <w:rPr>
          <w:rFonts w:hint="default" w:ascii="Times New Roman" w:hAnsi="Times New Roman" w:eastAsia="宋体" w:cs="Times New Roman"/>
          <w:color w:val="auto"/>
          <w:sz w:val="21"/>
          <w:szCs w:val="21"/>
        </w:rPr>
        <w:fldChar w:fldCharType="end"/>
      </w:r>
      <w:r>
        <w:rPr>
          <w:rFonts w:hint="default" w:ascii="Times New Roman" w:hAnsi="Times New Roman" w:eastAsia="宋体" w:cs="Times New Roman"/>
          <w:bCs/>
          <w:color w:val="auto"/>
          <w:sz w:val="21"/>
          <w:szCs w:val="21"/>
          <w:lang w:val="zh-CN"/>
        </w:rPr>
        <w:fldChar w:fldCharType="end"/>
      </w:r>
    </w:p>
    <w:p w14:paraId="386181B8">
      <w:pPr>
        <w:pStyle w:val="21"/>
        <w:tabs>
          <w:tab w:val="right" w:leader="dot" w:pos="8844"/>
        </w:tabs>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lang w:val="zh-CN"/>
        </w:rPr>
        <w:fldChar w:fldCharType="begin"/>
      </w:r>
      <w:r>
        <w:rPr>
          <w:rFonts w:hint="default" w:ascii="Times New Roman" w:hAnsi="Times New Roman" w:eastAsia="宋体" w:cs="Times New Roman"/>
          <w:bCs/>
          <w:color w:val="auto"/>
          <w:sz w:val="21"/>
          <w:szCs w:val="21"/>
          <w:lang w:val="zh-CN"/>
        </w:rPr>
        <w:instrText xml:space="preserve"> HYPERLINK \l _Toc22893 </w:instrText>
      </w:r>
      <w:r>
        <w:rPr>
          <w:rFonts w:hint="default" w:ascii="Times New Roman" w:hAnsi="Times New Roman" w:eastAsia="宋体" w:cs="Times New Roman"/>
          <w:bCs/>
          <w:color w:val="auto"/>
          <w:sz w:val="21"/>
          <w:szCs w:val="21"/>
          <w:lang w:val="zh-CN"/>
        </w:rPr>
        <w:fldChar w:fldCharType="separate"/>
      </w:r>
      <w:r>
        <w:rPr>
          <w:rFonts w:hint="default" w:ascii="Times New Roman" w:hAnsi="Times New Roman" w:eastAsia="宋体" w:cs="Times New Roman"/>
          <w:bCs/>
          <w:snapToGrid w:val="0"/>
          <w:color w:val="auto"/>
          <w:sz w:val="21"/>
          <w:szCs w:val="21"/>
        </w:rPr>
        <w:t>五、环境保护措施监督检查清单</w:t>
      </w:r>
      <w:r>
        <w:rPr>
          <w:rFonts w:hint="default" w:ascii="Times New Roman" w:hAnsi="Times New Roman" w:eastAsia="宋体" w:cs="Times New Roman"/>
          <w:color w:val="auto"/>
          <w:sz w:val="21"/>
          <w:szCs w:val="21"/>
        </w:rPr>
        <w:tab/>
      </w:r>
      <w:r>
        <w:rPr>
          <w:rFonts w:hint="default" w:ascii="Times New Roman" w:hAnsi="Times New Roman" w:eastAsia="宋体" w:cs="Times New Roman"/>
          <w:color w:val="auto"/>
          <w:sz w:val="21"/>
          <w:szCs w:val="21"/>
        </w:rPr>
        <w:fldChar w:fldCharType="begin"/>
      </w:r>
      <w:r>
        <w:rPr>
          <w:rFonts w:hint="default" w:ascii="Times New Roman" w:hAnsi="Times New Roman" w:eastAsia="宋体" w:cs="Times New Roman"/>
          <w:color w:val="auto"/>
          <w:sz w:val="21"/>
          <w:szCs w:val="21"/>
        </w:rPr>
        <w:instrText xml:space="preserve"> PAGEREF _Toc22893 \h </w:instrText>
      </w:r>
      <w:r>
        <w:rPr>
          <w:rFonts w:hint="default" w:ascii="Times New Roman" w:hAnsi="Times New Roman" w:eastAsia="宋体" w:cs="Times New Roman"/>
          <w:color w:val="auto"/>
          <w:sz w:val="21"/>
          <w:szCs w:val="21"/>
        </w:rPr>
        <w:fldChar w:fldCharType="separate"/>
      </w:r>
      <w:r>
        <w:rPr>
          <w:rFonts w:hint="default" w:ascii="Times New Roman" w:hAnsi="Times New Roman" w:eastAsia="宋体" w:cs="Times New Roman"/>
          <w:color w:val="auto"/>
          <w:sz w:val="21"/>
          <w:szCs w:val="21"/>
        </w:rPr>
        <w:t>75</w:t>
      </w:r>
      <w:r>
        <w:rPr>
          <w:rFonts w:hint="default" w:ascii="Times New Roman" w:hAnsi="Times New Roman" w:eastAsia="宋体" w:cs="Times New Roman"/>
          <w:color w:val="auto"/>
          <w:sz w:val="21"/>
          <w:szCs w:val="21"/>
        </w:rPr>
        <w:fldChar w:fldCharType="end"/>
      </w:r>
      <w:r>
        <w:rPr>
          <w:rFonts w:hint="default" w:ascii="Times New Roman" w:hAnsi="Times New Roman" w:eastAsia="宋体" w:cs="Times New Roman"/>
          <w:bCs/>
          <w:color w:val="auto"/>
          <w:sz w:val="21"/>
          <w:szCs w:val="21"/>
          <w:lang w:val="zh-CN"/>
        </w:rPr>
        <w:fldChar w:fldCharType="end"/>
      </w:r>
    </w:p>
    <w:p w14:paraId="52504ED1">
      <w:pPr>
        <w:pStyle w:val="21"/>
        <w:tabs>
          <w:tab w:val="right" w:leader="dot" w:pos="8844"/>
        </w:tabs>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bCs/>
          <w:color w:val="auto"/>
          <w:sz w:val="21"/>
          <w:szCs w:val="21"/>
          <w:lang w:val="zh-CN"/>
        </w:rPr>
        <w:fldChar w:fldCharType="begin"/>
      </w:r>
      <w:r>
        <w:rPr>
          <w:rFonts w:hint="default" w:ascii="Times New Roman" w:hAnsi="Times New Roman" w:eastAsia="宋体" w:cs="Times New Roman"/>
          <w:bCs/>
          <w:color w:val="auto"/>
          <w:sz w:val="21"/>
          <w:szCs w:val="21"/>
          <w:lang w:val="zh-CN"/>
        </w:rPr>
        <w:instrText xml:space="preserve"> HYPERLINK \l _Toc6712 </w:instrText>
      </w:r>
      <w:r>
        <w:rPr>
          <w:rFonts w:hint="default" w:ascii="Times New Roman" w:hAnsi="Times New Roman" w:eastAsia="宋体" w:cs="Times New Roman"/>
          <w:bCs/>
          <w:color w:val="auto"/>
          <w:sz w:val="21"/>
          <w:szCs w:val="21"/>
          <w:lang w:val="zh-CN"/>
        </w:rPr>
        <w:fldChar w:fldCharType="separate"/>
      </w:r>
      <w:r>
        <w:rPr>
          <w:rFonts w:hint="default" w:ascii="Times New Roman" w:hAnsi="Times New Roman" w:eastAsia="宋体" w:cs="Times New Roman"/>
          <w:bCs/>
          <w:snapToGrid w:val="0"/>
          <w:color w:val="auto"/>
          <w:sz w:val="21"/>
          <w:szCs w:val="21"/>
        </w:rPr>
        <w:t>六、结论</w:t>
      </w:r>
      <w:r>
        <w:rPr>
          <w:rFonts w:hint="default" w:ascii="Times New Roman" w:hAnsi="Times New Roman" w:eastAsia="宋体" w:cs="Times New Roman"/>
          <w:color w:val="auto"/>
          <w:sz w:val="21"/>
          <w:szCs w:val="21"/>
        </w:rPr>
        <w:tab/>
      </w:r>
      <w:r>
        <w:rPr>
          <w:rFonts w:hint="eastAsia" w:ascii="Times New Roman" w:hAnsi="Times New Roman" w:eastAsia="宋体" w:cs="Times New Roman"/>
          <w:color w:val="auto"/>
          <w:sz w:val="21"/>
          <w:szCs w:val="21"/>
          <w:lang w:val="en-US" w:eastAsia="zh-CN"/>
        </w:rPr>
        <w:t>8</w:t>
      </w:r>
      <w:r>
        <w:rPr>
          <w:rFonts w:hint="default" w:ascii="Times New Roman" w:hAnsi="Times New Roman" w:eastAsia="宋体" w:cs="Times New Roman"/>
          <w:bCs/>
          <w:color w:val="auto"/>
          <w:sz w:val="21"/>
          <w:szCs w:val="21"/>
          <w:lang w:val="zh-CN"/>
        </w:rPr>
        <w:fldChar w:fldCharType="end"/>
      </w:r>
      <w:r>
        <w:rPr>
          <w:rFonts w:hint="eastAsia" w:ascii="Times New Roman" w:hAnsi="Times New Roman" w:eastAsia="宋体" w:cs="Times New Roman"/>
          <w:bCs/>
          <w:color w:val="auto"/>
          <w:sz w:val="21"/>
          <w:szCs w:val="21"/>
          <w:lang w:val="en-US" w:eastAsia="zh-CN"/>
        </w:rPr>
        <w:t>0</w:t>
      </w:r>
    </w:p>
    <w:p w14:paraId="03D6AA88">
      <w:pPr>
        <w:pStyle w:val="21"/>
        <w:tabs>
          <w:tab w:val="right" w:leader="dot" w:pos="8844"/>
        </w:tabs>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bCs/>
          <w:color w:val="auto"/>
          <w:sz w:val="21"/>
          <w:szCs w:val="21"/>
          <w:lang w:val="zh-CN"/>
        </w:rPr>
        <w:fldChar w:fldCharType="begin"/>
      </w:r>
      <w:r>
        <w:rPr>
          <w:rFonts w:hint="default" w:ascii="Times New Roman" w:hAnsi="Times New Roman" w:eastAsia="宋体" w:cs="Times New Roman"/>
          <w:bCs/>
          <w:color w:val="auto"/>
          <w:sz w:val="21"/>
          <w:szCs w:val="21"/>
          <w:lang w:val="zh-CN"/>
        </w:rPr>
        <w:instrText xml:space="preserve"> HYPERLINK \l _Toc24980 </w:instrText>
      </w:r>
      <w:r>
        <w:rPr>
          <w:rFonts w:hint="default" w:ascii="Times New Roman" w:hAnsi="Times New Roman" w:eastAsia="宋体" w:cs="Times New Roman"/>
          <w:bCs/>
          <w:color w:val="auto"/>
          <w:sz w:val="21"/>
          <w:szCs w:val="21"/>
          <w:lang w:val="zh-CN"/>
        </w:rPr>
        <w:fldChar w:fldCharType="separate"/>
      </w:r>
      <w:r>
        <w:rPr>
          <w:rFonts w:hint="default" w:ascii="Times New Roman" w:hAnsi="Times New Roman" w:eastAsia="宋体" w:cs="Times New Roman"/>
          <w:bCs/>
          <w:snapToGrid w:val="0"/>
          <w:color w:val="auto"/>
          <w:sz w:val="21"/>
          <w:szCs w:val="21"/>
        </w:rPr>
        <w:t>附表</w:t>
      </w:r>
      <w:r>
        <w:rPr>
          <w:rFonts w:hint="default" w:ascii="Times New Roman" w:hAnsi="Times New Roman" w:eastAsia="宋体" w:cs="Times New Roman"/>
          <w:color w:val="auto"/>
          <w:sz w:val="21"/>
          <w:szCs w:val="21"/>
        </w:rPr>
        <w:tab/>
      </w:r>
      <w:r>
        <w:rPr>
          <w:rFonts w:hint="eastAsia" w:ascii="Times New Roman" w:hAnsi="Times New Roman" w:eastAsia="宋体" w:cs="Times New Roman"/>
          <w:color w:val="auto"/>
          <w:sz w:val="21"/>
          <w:szCs w:val="21"/>
          <w:lang w:val="en-US" w:eastAsia="zh-CN"/>
        </w:rPr>
        <w:t>8</w:t>
      </w:r>
      <w:r>
        <w:rPr>
          <w:rFonts w:hint="default" w:ascii="Times New Roman" w:hAnsi="Times New Roman" w:eastAsia="宋体" w:cs="Times New Roman"/>
          <w:bCs/>
          <w:color w:val="auto"/>
          <w:sz w:val="21"/>
          <w:szCs w:val="21"/>
          <w:lang w:val="zh-CN"/>
        </w:rPr>
        <w:fldChar w:fldCharType="end"/>
      </w:r>
      <w:r>
        <w:rPr>
          <w:rFonts w:hint="eastAsia" w:ascii="Times New Roman" w:hAnsi="Times New Roman" w:eastAsia="宋体" w:cs="Times New Roman"/>
          <w:bCs/>
          <w:color w:val="auto"/>
          <w:sz w:val="21"/>
          <w:szCs w:val="21"/>
          <w:lang w:val="en-US" w:eastAsia="zh-CN"/>
        </w:rPr>
        <w:t>1</w:t>
      </w:r>
    </w:p>
    <w:p w14:paraId="310FE548">
      <w:pPr>
        <w:pStyle w:val="21"/>
        <w:tabs>
          <w:tab w:val="right" w:leader="dot" w:pos="8844"/>
        </w:tabs>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bCs/>
          <w:color w:val="auto"/>
          <w:sz w:val="21"/>
          <w:szCs w:val="21"/>
          <w:lang w:val="zh-CN"/>
        </w:rPr>
        <w:fldChar w:fldCharType="begin"/>
      </w:r>
      <w:r>
        <w:rPr>
          <w:rFonts w:hint="default" w:ascii="Times New Roman" w:hAnsi="Times New Roman" w:eastAsia="宋体" w:cs="Times New Roman"/>
          <w:bCs/>
          <w:color w:val="auto"/>
          <w:sz w:val="21"/>
          <w:szCs w:val="21"/>
          <w:lang w:val="zh-CN"/>
        </w:rPr>
        <w:instrText xml:space="preserve"> HYPERLINK \l _Toc1460 </w:instrText>
      </w:r>
      <w:r>
        <w:rPr>
          <w:rFonts w:hint="default" w:ascii="Times New Roman" w:hAnsi="Times New Roman" w:eastAsia="宋体" w:cs="Times New Roman"/>
          <w:bCs/>
          <w:color w:val="auto"/>
          <w:sz w:val="21"/>
          <w:szCs w:val="21"/>
          <w:lang w:val="zh-CN"/>
        </w:rPr>
        <w:fldChar w:fldCharType="separate"/>
      </w:r>
      <w:r>
        <w:rPr>
          <w:rFonts w:hint="default" w:ascii="Times New Roman" w:hAnsi="Times New Roman" w:eastAsia="宋体" w:cs="Times New Roman"/>
          <w:bCs/>
          <w:snapToGrid w:val="0"/>
          <w:color w:val="auto"/>
          <w:sz w:val="21"/>
          <w:szCs w:val="21"/>
        </w:rPr>
        <w:t>建设项目污染物排放量汇总表</w:t>
      </w:r>
      <w:r>
        <w:rPr>
          <w:rFonts w:hint="default" w:ascii="Times New Roman" w:hAnsi="Times New Roman" w:eastAsia="宋体" w:cs="Times New Roman"/>
          <w:color w:val="auto"/>
          <w:sz w:val="21"/>
          <w:szCs w:val="21"/>
        </w:rPr>
        <w:tab/>
      </w:r>
      <w:r>
        <w:rPr>
          <w:rFonts w:hint="eastAsia" w:ascii="Times New Roman" w:hAnsi="Times New Roman" w:eastAsia="宋体" w:cs="Times New Roman"/>
          <w:color w:val="auto"/>
          <w:sz w:val="21"/>
          <w:szCs w:val="21"/>
          <w:lang w:val="en-US" w:eastAsia="zh-CN"/>
        </w:rPr>
        <w:t>8</w:t>
      </w:r>
      <w:r>
        <w:rPr>
          <w:rFonts w:hint="default" w:ascii="Times New Roman" w:hAnsi="Times New Roman" w:eastAsia="宋体" w:cs="Times New Roman"/>
          <w:bCs/>
          <w:color w:val="auto"/>
          <w:sz w:val="21"/>
          <w:szCs w:val="21"/>
          <w:lang w:val="zh-CN"/>
        </w:rPr>
        <w:fldChar w:fldCharType="end"/>
      </w:r>
      <w:r>
        <w:rPr>
          <w:rFonts w:hint="eastAsia" w:ascii="Times New Roman" w:hAnsi="Times New Roman" w:eastAsia="宋体" w:cs="Times New Roman"/>
          <w:bCs/>
          <w:color w:val="auto"/>
          <w:sz w:val="21"/>
          <w:szCs w:val="21"/>
          <w:lang w:val="en-US" w:eastAsia="zh-CN"/>
        </w:rPr>
        <w:t>1</w:t>
      </w:r>
    </w:p>
    <w:p w14:paraId="66D41007">
      <w:pPr>
        <w:rPr>
          <w:b/>
          <w:bCs/>
          <w:color w:val="auto"/>
          <w:lang w:val="zh-CN"/>
        </w:rPr>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r>
        <w:rPr>
          <w:rFonts w:hint="default" w:ascii="Times New Roman" w:hAnsi="Times New Roman" w:eastAsia="宋体" w:cs="Times New Roman"/>
          <w:bCs/>
          <w:color w:val="auto"/>
          <w:sz w:val="21"/>
          <w:szCs w:val="21"/>
          <w:lang w:val="zh-CN"/>
        </w:rPr>
        <w:fldChar w:fldCharType="end"/>
      </w:r>
    </w:p>
    <w:p w14:paraId="1FD96C88">
      <w:pPr>
        <w:pStyle w:val="6"/>
        <w:rPr>
          <w:rFonts w:hint="default"/>
          <w:color w:val="auto"/>
        </w:rPr>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4D073C77">
      <w:pPr>
        <w:adjustRightInd w:val="0"/>
        <w:snapToGrid w:val="0"/>
        <w:spacing w:line="360" w:lineRule="auto"/>
        <w:ind w:firstLine="632" w:firstLineChars="300"/>
        <w:rPr>
          <w:b/>
          <w:bCs/>
          <w:color w:val="auto"/>
          <w:szCs w:val="21"/>
        </w:rPr>
      </w:pPr>
      <w:r>
        <w:rPr>
          <w:b/>
          <w:bCs/>
          <w:color w:val="auto"/>
          <w:szCs w:val="21"/>
        </w:rPr>
        <w:t>附图：</w:t>
      </w:r>
    </w:p>
    <w:p w14:paraId="1672906B">
      <w:pPr>
        <w:adjustRightInd w:val="0"/>
        <w:snapToGrid w:val="0"/>
        <w:spacing w:line="360" w:lineRule="auto"/>
        <w:ind w:firstLine="630" w:firstLineChars="300"/>
        <w:rPr>
          <w:color w:val="auto"/>
          <w:szCs w:val="21"/>
        </w:rPr>
      </w:pPr>
      <w:r>
        <w:rPr>
          <w:color w:val="auto"/>
          <w:szCs w:val="21"/>
        </w:rPr>
        <w:t>附图</w:t>
      </w:r>
      <w:r>
        <w:rPr>
          <w:rFonts w:hint="eastAsia"/>
          <w:color w:val="auto"/>
          <w:szCs w:val="21"/>
          <w:lang w:val="en-US" w:eastAsia="zh-CN"/>
        </w:rPr>
        <w:t>1</w:t>
      </w:r>
      <w:r>
        <w:rPr>
          <w:color w:val="auto"/>
          <w:szCs w:val="21"/>
        </w:rPr>
        <w:t xml:space="preserve">   项目地理位置图</w:t>
      </w:r>
    </w:p>
    <w:p w14:paraId="67F8380B">
      <w:pPr>
        <w:adjustRightInd w:val="0"/>
        <w:snapToGrid w:val="0"/>
        <w:spacing w:line="360" w:lineRule="auto"/>
        <w:ind w:firstLine="630" w:firstLineChars="300"/>
        <w:rPr>
          <w:color w:val="auto"/>
          <w:szCs w:val="21"/>
        </w:rPr>
      </w:pPr>
      <w:r>
        <w:rPr>
          <w:color w:val="auto"/>
          <w:szCs w:val="21"/>
        </w:rPr>
        <w:t>附图</w:t>
      </w:r>
      <w:r>
        <w:rPr>
          <w:rFonts w:hint="eastAsia"/>
          <w:color w:val="auto"/>
          <w:szCs w:val="21"/>
          <w:lang w:val="en-US" w:eastAsia="zh-CN"/>
        </w:rPr>
        <w:t>2</w:t>
      </w:r>
      <w:r>
        <w:rPr>
          <w:color w:val="auto"/>
          <w:szCs w:val="21"/>
        </w:rPr>
        <w:t xml:space="preserve">   项目周边概况</w:t>
      </w:r>
    </w:p>
    <w:p w14:paraId="287EC006">
      <w:pPr>
        <w:adjustRightInd w:val="0"/>
        <w:snapToGrid w:val="0"/>
        <w:spacing w:line="360" w:lineRule="auto"/>
        <w:ind w:firstLine="630" w:firstLineChars="300"/>
        <w:rPr>
          <w:color w:val="auto"/>
          <w:szCs w:val="21"/>
        </w:rPr>
      </w:pPr>
      <w:r>
        <w:rPr>
          <w:color w:val="auto"/>
          <w:szCs w:val="21"/>
        </w:rPr>
        <w:t>附图</w:t>
      </w:r>
      <w:r>
        <w:rPr>
          <w:rFonts w:hint="eastAsia"/>
          <w:color w:val="auto"/>
          <w:szCs w:val="21"/>
          <w:lang w:val="en-US" w:eastAsia="zh-CN"/>
        </w:rPr>
        <w:t>3</w:t>
      </w:r>
      <w:r>
        <w:rPr>
          <w:color w:val="auto"/>
          <w:szCs w:val="21"/>
        </w:rPr>
        <w:t xml:space="preserve">   项目</w:t>
      </w:r>
      <w:r>
        <w:rPr>
          <w:rFonts w:hint="eastAsia"/>
          <w:color w:val="auto"/>
          <w:szCs w:val="21"/>
          <w:lang w:val="en-US" w:eastAsia="zh-CN"/>
        </w:rPr>
        <w:t>厂区</w:t>
      </w:r>
      <w:r>
        <w:rPr>
          <w:color w:val="auto"/>
          <w:szCs w:val="21"/>
        </w:rPr>
        <w:t>平面布置图</w:t>
      </w:r>
    </w:p>
    <w:p w14:paraId="7180C56B">
      <w:pPr>
        <w:adjustRightInd w:val="0"/>
        <w:snapToGrid w:val="0"/>
        <w:spacing w:line="360" w:lineRule="auto"/>
        <w:ind w:firstLine="630" w:firstLineChars="300"/>
        <w:rPr>
          <w:color w:val="auto"/>
          <w:szCs w:val="21"/>
        </w:rPr>
      </w:pPr>
      <w:r>
        <w:rPr>
          <w:color w:val="auto"/>
          <w:szCs w:val="21"/>
        </w:rPr>
        <w:t>附图</w:t>
      </w:r>
      <w:r>
        <w:rPr>
          <w:rFonts w:hint="eastAsia"/>
          <w:color w:val="auto"/>
          <w:szCs w:val="21"/>
          <w:lang w:val="en-US" w:eastAsia="zh-CN"/>
        </w:rPr>
        <w:t>4</w:t>
      </w:r>
      <w:r>
        <w:rPr>
          <w:color w:val="auto"/>
          <w:szCs w:val="21"/>
        </w:rPr>
        <w:t xml:space="preserve">   项目</w:t>
      </w:r>
      <w:r>
        <w:rPr>
          <w:rFonts w:hint="eastAsia"/>
          <w:color w:val="auto"/>
          <w:szCs w:val="21"/>
          <w:lang w:val="en-US" w:eastAsia="zh-CN"/>
        </w:rPr>
        <w:t>车间</w:t>
      </w:r>
      <w:r>
        <w:rPr>
          <w:color w:val="auto"/>
          <w:szCs w:val="21"/>
        </w:rPr>
        <w:t>平面布置图</w:t>
      </w:r>
    </w:p>
    <w:p w14:paraId="6B818DC5">
      <w:pPr>
        <w:adjustRightInd w:val="0"/>
        <w:snapToGrid w:val="0"/>
        <w:spacing w:line="360" w:lineRule="auto"/>
        <w:ind w:firstLine="630" w:firstLineChars="300"/>
        <w:rPr>
          <w:rFonts w:hint="default" w:eastAsia="宋体"/>
          <w:color w:val="auto"/>
          <w:szCs w:val="21"/>
          <w:lang w:val="en-US" w:eastAsia="zh-CN"/>
        </w:rPr>
      </w:pPr>
      <w:r>
        <w:rPr>
          <w:color w:val="auto"/>
          <w:szCs w:val="21"/>
        </w:rPr>
        <w:t>附图</w:t>
      </w:r>
      <w:r>
        <w:rPr>
          <w:rFonts w:hint="eastAsia"/>
          <w:color w:val="auto"/>
          <w:szCs w:val="21"/>
          <w:lang w:val="en-US" w:eastAsia="zh-CN"/>
        </w:rPr>
        <w:t>5</w:t>
      </w:r>
      <w:r>
        <w:rPr>
          <w:color w:val="auto"/>
          <w:szCs w:val="21"/>
        </w:rPr>
        <w:t xml:space="preserve">   生态红线区域保护图</w:t>
      </w:r>
    </w:p>
    <w:p w14:paraId="4DE2EB0A">
      <w:pPr>
        <w:adjustRightInd w:val="0"/>
        <w:snapToGrid w:val="0"/>
        <w:spacing w:line="360" w:lineRule="auto"/>
        <w:ind w:firstLine="630" w:firstLineChars="300"/>
        <w:rPr>
          <w:color w:val="auto"/>
          <w:szCs w:val="21"/>
        </w:rPr>
      </w:pPr>
      <w:r>
        <w:rPr>
          <w:color w:val="auto"/>
          <w:szCs w:val="21"/>
        </w:rPr>
        <w:t>附图</w:t>
      </w:r>
      <w:r>
        <w:rPr>
          <w:rFonts w:hint="eastAsia"/>
          <w:color w:val="auto"/>
          <w:szCs w:val="21"/>
          <w:lang w:val="en-US" w:eastAsia="zh-CN"/>
        </w:rPr>
        <w:t>6</w:t>
      </w:r>
      <w:r>
        <w:rPr>
          <w:color w:val="auto"/>
          <w:szCs w:val="21"/>
        </w:rPr>
        <w:t xml:space="preserve">   </w:t>
      </w:r>
      <w:r>
        <w:rPr>
          <w:rFonts w:hint="eastAsia"/>
          <w:color w:val="auto"/>
          <w:szCs w:val="21"/>
          <w:lang w:val="en-US" w:eastAsia="zh-CN"/>
        </w:rPr>
        <w:t>常州市“三线一单”生态环境分区管控图</w:t>
      </w:r>
    </w:p>
    <w:p w14:paraId="13E5DE30">
      <w:pPr>
        <w:adjustRightInd w:val="0"/>
        <w:snapToGrid w:val="0"/>
        <w:spacing w:line="360" w:lineRule="auto"/>
        <w:ind w:firstLine="630" w:firstLineChars="300"/>
        <w:rPr>
          <w:color w:val="auto"/>
          <w:szCs w:val="21"/>
        </w:rPr>
      </w:pPr>
      <w:r>
        <w:rPr>
          <w:color w:val="auto"/>
          <w:szCs w:val="21"/>
        </w:rPr>
        <w:t>附图</w:t>
      </w:r>
      <w:r>
        <w:rPr>
          <w:rFonts w:hint="eastAsia"/>
          <w:color w:val="auto"/>
          <w:szCs w:val="21"/>
          <w:lang w:val="en-US" w:eastAsia="zh-CN"/>
        </w:rPr>
        <w:t>7</w:t>
      </w:r>
      <w:r>
        <w:rPr>
          <w:color w:val="auto"/>
          <w:szCs w:val="21"/>
        </w:rPr>
        <w:t xml:space="preserve">   土地利用规划图</w:t>
      </w:r>
    </w:p>
    <w:p w14:paraId="2805D1C0">
      <w:pPr>
        <w:adjustRightInd w:val="0"/>
        <w:snapToGrid w:val="0"/>
        <w:spacing w:line="360" w:lineRule="auto"/>
        <w:ind w:firstLine="630" w:firstLineChars="300"/>
        <w:rPr>
          <w:rFonts w:hint="eastAsia"/>
          <w:color w:val="auto"/>
          <w:szCs w:val="21"/>
          <w:lang w:val="en-US" w:eastAsia="zh-CN"/>
        </w:rPr>
      </w:pPr>
      <w:r>
        <w:rPr>
          <w:rFonts w:hint="eastAsia"/>
          <w:color w:val="auto"/>
          <w:szCs w:val="21"/>
          <w:lang w:val="en-US" w:eastAsia="zh-CN"/>
        </w:rPr>
        <w:t xml:space="preserve">附图8   </w:t>
      </w:r>
      <w:r>
        <w:rPr>
          <w:color w:val="auto"/>
          <w:szCs w:val="21"/>
        </w:rPr>
        <w:t>水系图</w:t>
      </w:r>
    </w:p>
    <w:p w14:paraId="4F8A75A7">
      <w:pPr>
        <w:adjustRightInd w:val="0"/>
        <w:snapToGrid w:val="0"/>
        <w:spacing w:line="360" w:lineRule="auto"/>
        <w:ind w:firstLine="630" w:firstLineChars="300"/>
        <w:rPr>
          <w:rFonts w:hint="default"/>
          <w:color w:val="auto"/>
          <w:szCs w:val="21"/>
          <w:lang w:val="en-US" w:eastAsia="zh-CN"/>
        </w:rPr>
      </w:pPr>
      <w:r>
        <w:rPr>
          <w:rFonts w:hint="eastAsia"/>
          <w:color w:val="auto"/>
          <w:szCs w:val="21"/>
          <w:lang w:val="en-US" w:eastAsia="zh-CN"/>
        </w:rPr>
        <w:t xml:space="preserve">附图9   </w:t>
      </w:r>
      <w:r>
        <w:rPr>
          <w:color w:val="auto"/>
          <w:szCs w:val="21"/>
        </w:rPr>
        <w:t>声环境功能区规划图</w:t>
      </w:r>
    </w:p>
    <w:p w14:paraId="5BD5ECE4">
      <w:pPr>
        <w:spacing w:line="360" w:lineRule="auto"/>
        <w:ind w:firstLine="630" w:firstLineChars="300"/>
        <w:rPr>
          <w:rFonts w:hint="default" w:eastAsia="宋体"/>
          <w:b w:val="0"/>
          <w:bCs w:val="0"/>
          <w:color w:val="auto"/>
          <w:szCs w:val="21"/>
          <w:lang w:val="en-US" w:eastAsia="zh-CN"/>
        </w:rPr>
      </w:pPr>
      <w:r>
        <w:rPr>
          <w:rFonts w:hint="eastAsia"/>
          <w:b w:val="0"/>
          <w:bCs w:val="0"/>
          <w:color w:val="auto"/>
          <w:szCs w:val="21"/>
          <w:lang w:val="en-US" w:eastAsia="zh-CN"/>
        </w:rPr>
        <w:t xml:space="preserve">附图10  </w:t>
      </w:r>
      <w:r>
        <w:rPr>
          <w:rFonts w:hint="eastAsia"/>
          <w:color w:val="auto"/>
          <w:szCs w:val="21"/>
          <w:lang w:val="en-US" w:eastAsia="zh-CN"/>
        </w:rPr>
        <w:t>市辖区国土空间规划分区图</w:t>
      </w:r>
    </w:p>
    <w:p w14:paraId="3CA9F375">
      <w:pPr>
        <w:spacing w:line="360" w:lineRule="auto"/>
        <w:ind w:firstLine="630" w:firstLineChars="300"/>
        <w:rPr>
          <w:rFonts w:hint="default" w:eastAsia="宋体"/>
          <w:b w:val="0"/>
          <w:bCs w:val="0"/>
          <w:color w:val="auto"/>
          <w:szCs w:val="21"/>
          <w:lang w:val="en-US" w:eastAsia="zh-CN"/>
        </w:rPr>
      </w:pPr>
      <w:r>
        <w:rPr>
          <w:rFonts w:hint="eastAsia"/>
          <w:b w:val="0"/>
          <w:bCs w:val="0"/>
          <w:color w:val="auto"/>
          <w:szCs w:val="21"/>
          <w:lang w:val="en-US" w:eastAsia="zh-CN"/>
        </w:rPr>
        <w:t xml:space="preserve">附图11  </w:t>
      </w:r>
      <w:r>
        <w:rPr>
          <w:rFonts w:hint="eastAsia"/>
          <w:color w:val="auto"/>
          <w:szCs w:val="21"/>
          <w:lang w:val="en-US" w:eastAsia="zh-CN"/>
        </w:rPr>
        <w:t>市域国土空间控制线规划图</w:t>
      </w:r>
    </w:p>
    <w:p w14:paraId="351CE5AF">
      <w:pPr>
        <w:spacing w:line="360" w:lineRule="auto"/>
        <w:ind w:firstLine="632" w:firstLineChars="300"/>
        <w:rPr>
          <w:rFonts w:hint="default"/>
          <w:b/>
          <w:bCs/>
          <w:color w:val="auto"/>
          <w:szCs w:val="21"/>
          <w:lang w:val="en-US"/>
        </w:rPr>
      </w:pPr>
    </w:p>
    <w:p w14:paraId="00C67725">
      <w:pPr>
        <w:spacing w:line="360" w:lineRule="auto"/>
        <w:ind w:firstLine="632" w:firstLineChars="300"/>
        <w:rPr>
          <w:b/>
          <w:bCs/>
          <w:color w:val="auto"/>
          <w:szCs w:val="21"/>
        </w:rPr>
      </w:pPr>
      <w:r>
        <w:rPr>
          <w:b/>
          <w:bCs/>
          <w:color w:val="auto"/>
          <w:szCs w:val="21"/>
        </w:rPr>
        <w:t>附件：</w:t>
      </w:r>
    </w:p>
    <w:p w14:paraId="66161385">
      <w:pPr>
        <w:spacing w:line="360" w:lineRule="auto"/>
        <w:ind w:firstLine="630" w:firstLineChars="300"/>
        <w:rPr>
          <w:color w:val="auto"/>
          <w:szCs w:val="21"/>
        </w:rPr>
      </w:pPr>
      <w:r>
        <w:rPr>
          <w:color w:val="auto"/>
          <w:szCs w:val="21"/>
        </w:rPr>
        <w:t>附件</w:t>
      </w:r>
      <w:r>
        <w:rPr>
          <w:rFonts w:hint="eastAsia"/>
          <w:color w:val="auto"/>
          <w:szCs w:val="21"/>
          <w:lang w:val="en-US" w:eastAsia="zh-CN"/>
        </w:rPr>
        <w:t>1</w:t>
      </w:r>
      <w:r>
        <w:rPr>
          <w:color w:val="auto"/>
          <w:szCs w:val="21"/>
        </w:rPr>
        <w:t xml:space="preserve">   营业执照</w:t>
      </w:r>
    </w:p>
    <w:p w14:paraId="26652598">
      <w:pPr>
        <w:spacing w:line="360" w:lineRule="auto"/>
        <w:ind w:firstLine="630" w:firstLineChars="300"/>
        <w:rPr>
          <w:color w:val="auto"/>
          <w:szCs w:val="21"/>
        </w:rPr>
      </w:pPr>
      <w:r>
        <w:rPr>
          <w:color w:val="auto"/>
          <w:szCs w:val="21"/>
        </w:rPr>
        <w:t>附件</w:t>
      </w:r>
      <w:r>
        <w:rPr>
          <w:rFonts w:hint="eastAsia"/>
          <w:color w:val="auto"/>
          <w:szCs w:val="21"/>
          <w:lang w:val="en-US" w:eastAsia="zh-CN"/>
        </w:rPr>
        <w:t>2</w:t>
      </w:r>
      <w:r>
        <w:rPr>
          <w:color w:val="auto"/>
          <w:szCs w:val="21"/>
        </w:rPr>
        <w:t xml:space="preserve">   法人身份证</w:t>
      </w:r>
    </w:p>
    <w:p w14:paraId="6C071AFB">
      <w:pPr>
        <w:spacing w:line="360" w:lineRule="auto"/>
        <w:ind w:firstLine="630" w:firstLineChars="300"/>
        <w:rPr>
          <w:color w:val="auto"/>
          <w:szCs w:val="21"/>
        </w:rPr>
      </w:pPr>
      <w:r>
        <w:rPr>
          <w:color w:val="auto"/>
          <w:szCs w:val="21"/>
        </w:rPr>
        <w:t>附件</w:t>
      </w:r>
      <w:r>
        <w:rPr>
          <w:rFonts w:hint="eastAsia"/>
          <w:color w:val="auto"/>
          <w:szCs w:val="21"/>
          <w:lang w:val="en-US" w:eastAsia="zh-CN"/>
        </w:rPr>
        <w:t>3</w:t>
      </w:r>
      <w:r>
        <w:rPr>
          <w:color w:val="auto"/>
          <w:szCs w:val="21"/>
        </w:rPr>
        <w:t xml:space="preserve">   项目备案文件</w:t>
      </w:r>
    </w:p>
    <w:p w14:paraId="56978590">
      <w:pPr>
        <w:spacing w:line="360" w:lineRule="auto"/>
        <w:ind w:firstLine="630" w:firstLineChars="300"/>
        <w:rPr>
          <w:rFonts w:hint="eastAsia"/>
          <w:color w:val="auto"/>
          <w:szCs w:val="21"/>
        </w:rPr>
      </w:pPr>
      <w:r>
        <w:rPr>
          <w:color w:val="auto"/>
          <w:szCs w:val="21"/>
        </w:rPr>
        <w:t>附件</w:t>
      </w:r>
      <w:r>
        <w:rPr>
          <w:rFonts w:hint="eastAsia"/>
          <w:color w:val="auto"/>
          <w:szCs w:val="21"/>
          <w:lang w:val="en-US" w:eastAsia="zh-CN"/>
        </w:rPr>
        <w:t>4</w:t>
      </w:r>
      <w:r>
        <w:rPr>
          <w:color w:val="auto"/>
          <w:szCs w:val="21"/>
        </w:rPr>
        <w:t xml:space="preserve">   </w:t>
      </w:r>
      <w:r>
        <w:rPr>
          <w:rFonts w:hint="eastAsia"/>
          <w:color w:val="auto"/>
          <w:szCs w:val="21"/>
          <w:lang w:val="en-US" w:eastAsia="zh-CN"/>
        </w:rPr>
        <w:t>房产证、土地证、</w:t>
      </w:r>
      <w:bookmarkStart w:id="36" w:name="_GoBack"/>
      <w:bookmarkEnd w:id="36"/>
      <w:r>
        <w:rPr>
          <w:rFonts w:hint="eastAsia"/>
          <w:color w:val="auto"/>
          <w:szCs w:val="21"/>
          <w:lang w:val="en-US" w:eastAsia="zh-CN"/>
        </w:rPr>
        <w:t>租赁</w:t>
      </w:r>
      <w:r>
        <w:rPr>
          <w:rFonts w:hint="eastAsia"/>
          <w:color w:val="auto"/>
          <w:szCs w:val="21"/>
        </w:rPr>
        <w:t>协议</w:t>
      </w:r>
    </w:p>
    <w:p w14:paraId="46E20C0E">
      <w:pPr>
        <w:spacing w:line="360" w:lineRule="auto"/>
        <w:ind w:firstLine="630" w:firstLineChars="300"/>
        <w:rPr>
          <w:rFonts w:hint="default" w:eastAsia="宋体"/>
          <w:color w:val="auto"/>
          <w:szCs w:val="21"/>
          <w:lang w:val="en-US" w:eastAsia="zh-CN"/>
        </w:rPr>
      </w:pPr>
      <w:r>
        <w:rPr>
          <w:color w:val="auto"/>
          <w:szCs w:val="21"/>
        </w:rPr>
        <w:t>附件</w:t>
      </w:r>
      <w:r>
        <w:rPr>
          <w:rFonts w:hint="eastAsia"/>
          <w:color w:val="auto"/>
          <w:szCs w:val="21"/>
          <w:lang w:val="en-US" w:eastAsia="zh-CN"/>
        </w:rPr>
        <w:t>5</w:t>
      </w:r>
      <w:r>
        <w:rPr>
          <w:color w:val="auto"/>
          <w:szCs w:val="21"/>
        </w:rPr>
        <w:t xml:space="preserve">   </w:t>
      </w:r>
      <w:r>
        <w:rPr>
          <w:rFonts w:hint="eastAsia"/>
          <w:color w:val="auto"/>
          <w:szCs w:val="21"/>
          <w:lang w:val="en-US" w:eastAsia="zh-CN"/>
        </w:rPr>
        <w:t>环评批复、验收材料、应急预案备案表、</w:t>
      </w:r>
      <w:r>
        <w:rPr>
          <w:rFonts w:hint="eastAsia"/>
          <w:color w:val="auto"/>
          <w:szCs w:val="21"/>
        </w:rPr>
        <w:t>排污许可登记</w:t>
      </w:r>
    </w:p>
    <w:p w14:paraId="052E71F3">
      <w:pPr>
        <w:spacing w:line="360" w:lineRule="auto"/>
        <w:ind w:firstLine="630" w:firstLineChars="300"/>
        <w:rPr>
          <w:color w:val="auto"/>
          <w:szCs w:val="21"/>
        </w:rPr>
      </w:pPr>
      <w:r>
        <w:rPr>
          <w:rFonts w:hint="eastAsia"/>
          <w:color w:val="auto"/>
          <w:szCs w:val="21"/>
        </w:rPr>
        <w:t>附件</w:t>
      </w:r>
      <w:r>
        <w:rPr>
          <w:rFonts w:hint="eastAsia"/>
          <w:color w:val="auto"/>
          <w:szCs w:val="21"/>
          <w:lang w:val="en-US" w:eastAsia="zh-CN"/>
        </w:rPr>
        <w:t>6</w:t>
      </w:r>
      <w:r>
        <w:rPr>
          <w:rFonts w:hint="eastAsia"/>
          <w:color w:val="auto"/>
          <w:szCs w:val="21"/>
        </w:rPr>
        <w:t xml:space="preserve">   </w:t>
      </w:r>
      <w:r>
        <w:rPr>
          <w:color w:val="auto"/>
          <w:szCs w:val="21"/>
        </w:rPr>
        <w:t>环评委托合同</w:t>
      </w:r>
    </w:p>
    <w:p w14:paraId="445AA309">
      <w:pPr>
        <w:spacing w:line="360" w:lineRule="auto"/>
        <w:ind w:firstLine="630" w:firstLineChars="300"/>
        <w:rPr>
          <w:color w:val="auto"/>
          <w:szCs w:val="21"/>
        </w:rPr>
      </w:pPr>
      <w:r>
        <w:rPr>
          <w:rFonts w:hint="eastAsia"/>
          <w:color w:val="auto"/>
          <w:szCs w:val="21"/>
        </w:rPr>
        <w:t>附件</w:t>
      </w:r>
      <w:r>
        <w:rPr>
          <w:rFonts w:hint="eastAsia"/>
          <w:color w:val="auto"/>
          <w:szCs w:val="21"/>
          <w:lang w:val="en-US" w:eastAsia="zh-CN"/>
        </w:rPr>
        <w:t>7</w:t>
      </w:r>
      <w:r>
        <w:rPr>
          <w:color w:val="auto"/>
          <w:szCs w:val="21"/>
        </w:rPr>
        <w:t xml:space="preserve">   </w:t>
      </w:r>
      <w:r>
        <w:rPr>
          <w:rFonts w:hint="eastAsia"/>
          <w:color w:val="auto"/>
          <w:szCs w:val="21"/>
        </w:rPr>
        <w:t>常州市金坛区人民政府关于同意常州市金坛区金沙老城控制性详细规划(修改 )的批复</w:t>
      </w:r>
    </w:p>
    <w:p w14:paraId="351E7A97">
      <w:pPr>
        <w:pStyle w:val="2"/>
        <w:ind w:firstLine="630" w:firstLineChars="300"/>
        <w:rPr>
          <w:rFonts w:hint="eastAsia" w:eastAsia="宋体"/>
          <w:color w:val="auto"/>
          <w:lang w:eastAsia="zh-CN"/>
        </w:rPr>
      </w:pPr>
      <w:r>
        <w:rPr>
          <w:color w:val="auto"/>
          <w:szCs w:val="21"/>
        </w:rPr>
        <w:t>附件</w:t>
      </w:r>
      <w:r>
        <w:rPr>
          <w:rFonts w:hint="eastAsia"/>
          <w:color w:val="auto"/>
          <w:szCs w:val="21"/>
          <w:lang w:val="en-US" w:eastAsia="zh-CN"/>
        </w:rPr>
        <w:t>8</w:t>
      </w:r>
      <w:r>
        <w:rPr>
          <w:rFonts w:hint="eastAsia"/>
          <w:color w:val="auto"/>
          <w:szCs w:val="21"/>
        </w:rPr>
        <w:t xml:space="preserve">   </w:t>
      </w:r>
      <w:r>
        <w:rPr>
          <w:color w:val="auto"/>
          <w:szCs w:val="21"/>
        </w:rPr>
        <w:t>现状检测报告及引用说明</w:t>
      </w:r>
    </w:p>
    <w:p w14:paraId="5F95613F">
      <w:pPr>
        <w:spacing w:line="360" w:lineRule="auto"/>
        <w:ind w:firstLine="630" w:firstLineChars="300"/>
        <w:rPr>
          <w:color w:val="auto"/>
          <w:szCs w:val="21"/>
        </w:rPr>
      </w:pPr>
      <w:r>
        <w:rPr>
          <w:color w:val="auto"/>
          <w:szCs w:val="21"/>
        </w:rPr>
        <w:t>附件</w:t>
      </w:r>
      <w:r>
        <w:rPr>
          <w:rFonts w:hint="eastAsia"/>
          <w:color w:val="auto"/>
          <w:szCs w:val="21"/>
          <w:lang w:val="en-US" w:eastAsia="zh-CN"/>
        </w:rPr>
        <w:t>9</w:t>
      </w:r>
      <w:r>
        <w:rPr>
          <w:color w:val="auto"/>
          <w:szCs w:val="21"/>
        </w:rPr>
        <w:t xml:space="preserve">   环评公示截图</w:t>
      </w:r>
    </w:p>
    <w:p w14:paraId="7A08FB19">
      <w:pPr>
        <w:spacing w:line="360" w:lineRule="auto"/>
        <w:ind w:firstLine="630" w:firstLineChars="300"/>
        <w:rPr>
          <w:color w:val="auto"/>
          <w:szCs w:val="21"/>
        </w:rPr>
      </w:pPr>
      <w:r>
        <w:rPr>
          <w:color w:val="auto"/>
          <w:szCs w:val="21"/>
        </w:rPr>
        <w:t>附件</w:t>
      </w:r>
      <w:r>
        <w:rPr>
          <w:rFonts w:hint="eastAsia"/>
          <w:color w:val="auto"/>
          <w:szCs w:val="21"/>
          <w:lang w:val="en-US" w:eastAsia="zh-CN"/>
        </w:rPr>
        <w:t>10</w:t>
      </w:r>
      <w:r>
        <w:rPr>
          <w:rFonts w:hint="eastAsia"/>
          <w:color w:val="auto"/>
          <w:szCs w:val="21"/>
        </w:rPr>
        <w:t xml:space="preserve">  </w:t>
      </w:r>
      <w:r>
        <w:rPr>
          <w:color w:val="auto"/>
          <w:szCs w:val="21"/>
        </w:rPr>
        <w:t>建设单位承诺书</w:t>
      </w:r>
    </w:p>
    <w:p w14:paraId="3B79650D">
      <w:pPr>
        <w:spacing w:line="360" w:lineRule="auto"/>
        <w:ind w:firstLine="630" w:firstLineChars="300"/>
        <w:rPr>
          <w:color w:val="auto"/>
          <w:szCs w:val="21"/>
        </w:rPr>
      </w:pPr>
      <w:r>
        <w:rPr>
          <w:color w:val="auto"/>
          <w:szCs w:val="21"/>
        </w:rPr>
        <w:t>附件</w:t>
      </w:r>
      <w:r>
        <w:rPr>
          <w:rFonts w:hint="eastAsia"/>
          <w:color w:val="auto"/>
          <w:szCs w:val="21"/>
          <w:lang w:val="en-US" w:eastAsia="zh-CN"/>
        </w:rPr>
        <w:t xml:space="preserve">11 </w:t>
      </w:r>
      <w:r>
        <w:rPr>
          <w:color w:val="auto"/>
          <w:szCs w:val="21"/>
        </w:rPr>
        <w:t xml:space="preserve"> 建设单位</w:t>
      </w:r>
      <w:r>
        <w:rPr>
          <w:rFonts w:hint="eastAsia"/>
          <w:color w:val="auto"/>
          <w:szCs w:val="21"/>
        </w:rPr>
        <w:t>、</w:t>
      </w:r>
      <w:r>
        <w:rPr>
          <w:color w:val="auto"/>
          <w:szCs w:val="21"/>
        </w:rPr>
        <w:t>环评单位承诺</w:t>
      </w:r>
      <w:r>
        <w:rPr>
          <w:rFonts w:hint="eastAsia"/>
          <w:color w:val="auto"/>
          <w:szCs w:val="21"/>
        </w:rPr>
        <w:t>书</w:t>
      </w:r>
    </w:p>
    <w:p w14:paraId="43203C9D">
      <w:pPr>
        <w:spacing w:line="360" w:lineRule="auto"/>
        <w:ind w:firstLine="630" w:firstLineChars="300"/>
        <w:rPr>
          <w:rFonts w:hint="eastAsia"/>
          <w:color w:val="auto"/>
          <w:szCs w:val="21"/>
        </w:rPr>
      </w:pPr>
      <w:r>
        <w:rPr>
          <w:color w:val="auto"/>
          <w:szCs w:val="21"/>
        </w:rPr>
        <w:t>附件</w:t>
      </w:r>
      <w:r>
        <w:rPr>
          <w:rFonts w:hint="eastAsia"/>
          <w:color w:val="auto"/>
          <w:szCs w:val="21"/>
          <w:lang w:val="en-US" w:eastAsia="zh-CN"/>
        </w:rPr>
        <w:t xml:space="preserve">12 </w:t>
      </w:r>
      <w:r>
        <w:rPr>
          <w:color w:val="auto"/>
          <w:szCs w:val="21"/>
        </w:rPr>
        <w:t xml:space="preserve"> 委托书</w:t>
      </w:r>
    </w:p>
    <w:p w14:paraId="241CD6B6">
      <w:pPr>
        <w:spacing w:line="360" w:lineRule="auto"/>
        <w:ind w:firstLine="630" w:firstLineChars="300"/>
        <w:rPr>
          <w:color w:val="auto"/>
          <w:szCs w:val="21"/>
        </w:rPr>
      </w:pPr>
      <w:r>
        <w:rPr>
          <w:color w:val="auto"/>
          <w:szCs w:val="21"/>
        </w:rPr>
        <w:t>附件</w:t>
      </w:r>
      <w:r>
        <w:rPr>
          <w:rFonts w:hint="eastAsia"/>
          <w:color w:val="auto"/>
          <w:szCs w:val="21"/>
          <w:lang w:val="en-US" w:eastAsia="zh-CN"/>
        </w:rPr>
        <w:t xml:space="preserve">13 </w:t>
      </w:r>
      <w:r>
        <w:rPr>
          <w:color w:val="auto"/>
          <w:szCs w:val="21"/>
        </w:rPr>
        <w:t xml:space="preserve"> 危废处置承诺书</w:t>
      </w:r>
    </w:p>
    <w:p w14:paraId="2A2A4F96">
      <w:pPr>
        <w:spacing w:line="360" w:lineRule="auto"/>
        <w:ind w:firstLine="630" w:firstLineChars="300"/>
        <w:rPr>
          <w:color w:val="auto"/>
          <w:szCs w:val="21"/>
        </w:rPr>
      </w:pPr>
      <w:r>
        <w:rPr>
          <w:color w:val="auto"/>
          <w:szCs w:val="21"/>
        </w:rPr>
        <w:t>附件</w:t>
      </w:r>
      <w:r>
        <w:rPr>
          <w:rFonts w:hint="eastAsia"/>
          <w:color w:val="auto"/>
          <w:szCs w:val="21"/>
          <w:lang w:val="en-US" w:eastAsia="zh-CN"/>
        </w:rPr>
        <w:t xml:space="preserve">14 </w:t>
      </w:r>
      <w:r>
        <w:rPr>
          <w:color w:val="auto"/>
          <w:szCs w:val="21"/>
        </w:rPr>
        <w:t xml:space="preserve"> 声明确认单</w:t>
      </w:r>
    </w:p>
    <w:p w14:paraId="1AECA664">
      <w:pPr>
        <w:spacing w:line="360" w:lineRule="auto"/>
        <w:ind w:firstLine="630" w:firstLineChars="300"/>
        <w:rPr>
          <w:rFonts w:ascii="Times New Roman" w:hAnsi="Times New Roman" w:eastAsia="宋体" w:cs="Times New Roman"/>
          <w:color w:val="auto"/>
          <w:szCs w:val="21"/>
        </w:rPr>
      </w:pPr>
      <w:r>
        <w:rPr>
          <w:color w:val="auto"/>
          <w:szCs w:val="21"/>
        </w:rPr>
        <w:t>附件</w:t>
      </w:r>
      <w:r>
        <w:rPr>
          <w:rFonts w:hint="eastAsia" w:cs="Times New Roman"/>
          <w:color w:val="auto"/>
          <w:szCs w:val="21"/>
          <w:lang w:val="en-US" w:eastAsia="zh-CN"/>
        </w:rPr>
        <w:t xml:space="preserve">15 </w:t>
      </w:r>
      <w:r>
        <w:rPr>
          <w:rFonts w:ascii="Times New Roman" w:hAnsi="Times New Roman" w:eastAsia="宋体" w:cs="Times New Roman"/>
          <w:color w:val="auto"/>
          <w:szCs w:val="21"/>
        </w:rPr>
        <w:t xml:space="preserve"> 工程师现场照</w:t>
      </w:r>
    </w:p>
    <w:p w14:paraId="520D0319">
      <w:pPr>
        <w:pStyle w:val="3"/>
        <w:numPr>
          <w:ilvl w:val="0"/>
          <w:numId w:val="0"/>
        </w:numPr>
        <w:ind w:firstLine="630" w:firstLineChars="300"/>
        <w:rPr>
          <w:rFonts w:hint="default"/>
          <w:color w:val="auto"/>
          <w:lang w:val="en-US"/>
        </w:rPr>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116D4039">
      <w:pPr>
        <w:pStyle w:val="6"/>
        <w:rPr>
          <w:rFonts w:hint="default"/>
          <w:color w:val="auto"/>
        </w:rPr>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738C7165">
      <w:pPr>
        <w:pStyle w:val="25"/>
        <w:spacing w:before="0" w:beforeAutospacing="0" w:after="0" w:afterAutospacing="0"/>
        <w:outlineLvl w:val="0"/>
        <w:rPr>
          <w:rFonts w:ascii="Times New Roman" w:hAnsi="Times New Roman"/>
          <w:b/>
          <w:bCs/>
          <w:snapToGrid w:val="0"/>
          <w:color w:val="auto"/>
          <w:sz w:val="30"/>
          <w:szCs w:val="30"/>
        </w:rPr>
      </w:pPr>
      <w:bookmarkStart w:id="1" w:name="_Toc16352"/>
      <w:r>
        <w:rPr>
          <w:rFonts w:ascii="Times New Roman" w:hAnsi="Times New Roman"/>
          <w:b/>
          <w:bCs/>
          <w:snapToGrid w:val="0"/>
          <w:color w:val="auto"/>
          <w:sz w:val="30"/>
          <w:szCs w:val="30"/>
        </w:rPr>
        <w:t>一、建设项目基本情况</w:t>
      </w:r>
      <w:bookmarkEnd w:id="1"/>
    </w:p>
    <w:tbl>
      <w:tblPr>
        <w:tblStyle w:val="28"/>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654"/>
        <w:gridCol w:w="1066"/>
        <w:gridCol w:w="2298"/>
        <w:gridCol w:w="2211"/>
        <w:gridCol w:w="2639"/>
      </w:tblGrid>
      <w:tr w14:paraId="042E5B4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720" w:type="dxa"/>
            <w:gridSpan w:val="2"/>
            <w:noWrap w:val="0"/>
            <w:tcMar>
              <w:top w:w="16" w:type="dxa"/>
              <w:left w:w="16" w:type="dxa"/>
              <w:right w:w="16" w:type="dxa"/>
            </w:tcMar>
            <w:vAlign w:val="center"/>
          </w:tcPr>
          <w:p w14:paraId="64BB67A1">
            <w:pPr>
              <w:adjustRightInd w:val="0"/>
              <w:snapToGrid w:val="0"/>
              <w:jc w:val="center"/>
              <w:rPr>
                <w:color w:val="auto"/>
                <w:szCs w:val="21"/>
              </w:rPr>
            </w:pPr>
            <w:r>
              <w:rPr>
                <w:color w:val="auto"/>
                <w:szCs w:val="21"/>
              </w:rPr>
              <w:t>建设项目名称</w:t>
            </w:r>
          </w:p>
        </w:tc>
        <w:tc>
          <w:tcPr>
            <w:tcW w:w="7148" w:type="dxa"/>
            <w:gridSpan w:val="3"/>
            <w:noWrap w:val="0"/>
            <w:vAlign w:val="center"/>
          </w:tcPr>
          <w:p w14:paraId="057D9946">
            <w:pPr>
              <w:adjustRightInd w:val="0"/>
              <w:snapToGrid w:val="0"/>
              <w:jc w:val="center"/>
              <w:rPr>
                <w:rFonts w:hint="eastAsia" w:eastAsia="宋体"/>
                <w:color w:val="auto"/>
                <w:szCs w:val="21"/>
                <w:lang w:eastAsia="zh-CN"/>
              </w:rPr>
            </w:pPr>
            <w:r>
              <w:rPr>
                <w:rFonts w:hint="eastAsia"/>
                <w:color w:val="auto"/>
                <w:szCs w:val="21"/>
                <w:lang w:eastAsia="zh-CN"/>
              </w:rPr>
              <w:t>新建热塑性弹性体及汽车密封件项目</w:t>
            </w:r>
          </w:p>
        </w:tc>
      </w:tr>
      <w:tr w14:paraId="3EAE098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720" w:type="dxa"/>
            <w:gridSpan w:val="2"/>
            <w:noWrap w:val="0"/>
            <w:tcMar>
              <w:top w:w="16" w:type="dxa"/>
              <w:left w:w="16" w:type="dxa"/>
              <w:right w:w="16" w:type="dxa"/>
            </w:tcMar>
            <w:vAlign w:val="center"/>
          </w:tcPr>
          <w:p w14:paraId="038FA34A">
            <w:pPr>
              <w:adjustRightInd w:val="0"/>
              <w:snapToGrid w:val="0"/>
              <w:jc w:val="center"/>
              <w:rPr>
                <w:color w:val="auto"/>
                <w:szCs w:val="21"/>
              </w:rPr>
            </w:pPr>
            <w:r>
              <w:rPr>
                <w:color w:val="auto"/>
                <w:szCs w:val="21"/>
              </w:rPr>
              <w:t>项目代码</w:t>
            </w:r>
          </w:p>
        </w:tc>
        <w:tc>
          <w:tcPr>
            <w:tcW w:w="7148" w:type="dxa"/>
            <w:gridSpan w:val="3"/>
            <w:noWrap w:val="0"/>
            <w:vAlign w:val="center"/>
          </w:tcPr>
          <w:p w14:paraId="17B7EA93">
            <w:pPr>
              <w:adjustRightInd w:val="0"/>
              <w:snapToGrid w:val="0"/>
              <w:jc w:val="center"/>
              <w:rPr>
                <w:rFonts w:hint="eastAsia" w:eastAsia="宋体"/>
                <w:color w:val="auto"/>
                <w:szCs w:val="21"/>
                <w:lang w:eastAsia="zh-CN"/>
              </w:rPr>
            </w:pPr>
            <w:r>
              <w:rPr>
                <w:rFonts w:hint="eastAsia" w:eastAsia="宋体"/>
                <w:color w:val="auto"/>
                <w:szCs w:val="21"/>
                <w:lang w:eastAsia="zh-CN"/>
              </w:rPr>
              <w:t>2512-320458-89-01-873292</w:t>
            </w:r>
          </w:p>
        </w:tc>
      </w:tr>
      <w:tr w14:paraId="0FC266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720" w:type="dxa"/>
            <w:gridSpan w:val="2"/>
            <w:noWrap w:val="0"/>
            <w:tcMar>
              <w:top w:w="16" w:type="dxa"/>
              <w:left w:w="16" w:type="dxa"/>
              <w:right w:w="16" w:type="dxa"/>
            </w:tcMar>
            <w:vAlign w:val="center"/>
          </w:tcPr>
          <w:p w14:paraId="5424F720">
            <w:pPr>
              <w:adjustRightInd w:val="0"/>
              <w:snapToGrid w:val="0"/>
              <w:jc w:val="center"/>
              <w:rPr>
                <w:color w:val="auto"/>
                <w:szCs w:val="21"/>
              </w:rPr>
            </w:pPr>
            <w:r>
              <w:rPr>
                <w:color w:val="auto"/>
                <w:szCs w:val="21"/>
              </w:rPr>
              <w:t>建设单位联系人</w:t>
            </w:r>
          </w:p>
        </w:tc>
        <w:tc>
          <w:tcPr>
            <w:tcW w:w="2298" w:type="dxa"/>
            <w:noWrap w:val="0"/>
            <w:vAlign w:val="center"/>
          </w:tcPr>
          <w:p w14:paraId="3C2909A8">
            <w:pPr>
              <w:adjustRightInd w:val="0"/>
              <w:snapToGrid w:val="0"/>
              <w:jc w:val="center"/>
              <w:rPr>
                <w:color w:val="auto"/>
                <w:szCs w:val="21"/>
              </w:rPr>
            </w:pPr>
            <w:r>
              <w:rPr>
                <w:rFonts w:hint="eastAsia"/>
                <w:color w:val="auto"/>
                <w:szCs w:val="21"/>
              </w:rPr>
              <w:t>钱云峰</w:t>
            </w:r>
          </w:p>
        </w:tc>
        <w:tc>
          <w:tcPr>
            <w:tcW w:w="2211" w:type="dxa"/>
            <w:noWrap w:val="0"/>
            <w:vAlign w:val="center"/>
          </w:tcPr>
          <w:p w14:paraId="22E56551">
            <w:pPr>
              <w:adjustRightInd w:val="0"/>
              <w:snapToGrid w:val="0"/>
              <w:jc w:val="center"/>
              <w:rPr>
                <w:color w:val="auto"/>
                <w:szCs w:val="21"/>
              </w:rPr>
            </w:pPr>
            <w:r>
              <w:rPr>
                <w:color w:val="auto"/>
                <w:szCs w:val="21"/>
              </w:rPr>
              <w:t>联系方式</w:t>
            </w:r>
          </w:p>
        </w:tc>
        <w:tc>
          <w:tcPr>
            <w:tcW w:w="2639" w:type="dxa"/>
            <w:noWrap w:val="0"/>
            <w:vAlign w:val="center"/>
          </w:tcPr>
          <w:p w14:paraId="7D9AD845">
            <w:pPr>
              <w:adjustRightInd w:val="0"/>
              <w:snapToGrid w:val="0"/>
              <w:jc w:val="center"/>
              <w:rPr>
                <w:color w:val="auto"/>
                <w:szCs w:val="21"/>
              </w:rPr>
            </w:pPr>
            <w:r>
              <w:rPr>
                <w:rFonts w:hint="eastAsia"/>
                <w:color w:val="auto"/>
                <w:szCs w:val="21"/>
              </w:rPr>
              <w:t>13328173018</w:t>
            </w:r>
          </w:p>
        </w:tc>
      </w:tr>
      <w:tr w14:paraId="7463E8E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720" w:type="dxa"/>
            <w:gridSpan w:val="2"/>
            <w:noWrap w:val="0"/>
            <w:tcMar>
              <w:top w:w="16" w:type="dxa"/>
              <w:left w:w="16" w:type="dxa"/>
              <w:right w:w="16" w:type="dxa"/>
            </w:tcMar>
            <w:vAlign w:val="center"/>
          </w:tcPr>
          <w:p w14:paraId="1206B67B">
            <w:pPr>
              <w:adjustRightInd w:val="0"/>
              <w:snapToGrid w:val="0"/>
              <w:jc w:val="center"/>
              <w:rPr>
                <w:color w:val="auto"/>
                <w:szCs w:val="21"/>
              </w:rPr>
            </w:pPr>
            <w:r>
              <w:rPr>
                <w:color w:val="auto"/>
                <w:szCs w:val="21"/>
              </w:rPr>
              <w:t>建设地点</w:t>
            </w:r>
          </w:p>
        </w:tc>
        <w:tc>
          <w:tcPr>
            <w:tcW w:w="7148" w:type="dxa"/>
            <w:gridSpan w:val="3"/>
            <w:noWrap w:val="0"/>
            <w:vAlign w:val="center"/>
          </w:tcPr>
          <w:p w14:paraId="656B9219">
            <w:pPr>
              <w:adjustRightInd w:val="0"/>
              <w:snapToGrid w:val="0"/>
              <w:jc w:val="center"/>
              <w:rPr>
                <w:rFonts w:hint="eastAsia" w:eastAsia="宋体"/>
                <w:color w:val="auto"/>
                <w:szCs w:val="21"/>
                <w:lang w:eastAsia="zh-CN"/>
              </w:rPr>
            </w:pPr>
            <w:r>
              <w:rPr>
                <w:rFonts w:hint="eastAsia" w:eastAsia="宋体"/>
                <w:color w:val="auto"/>
                <w:szCs w:val="21"/>
                <w:lang w:val="en-US" w:eastAsia="zh-CN"/>
              </w:rPr>
              <w:t>江苏省</w:t>
            </w:r>
            <w:r>
              <w:rPr>
                <w:rFonts w:hint="eastAsia" w:eastAsia="宋体"/>
                <w:color w:val="auto"/>
                <w:szCs w:val="21"/>
                <w:lang w:eastAsia="zh-CN"/>
              </w:rPr>
              <w:t>金坛经济开发区东湖路28号</w:t>
            </w:r>
          </w:p>
        </w:tc>
      </w:tr>
      <w:tr w14:paraId="6DFF11C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720" w:type="dxa"/>
            <w:gridSpan w:val="2"/>
            <w:noWrap w:val="0"/>
            <w:tcMar>
              <w:top w:w="16" w:type="dxa"/>
              <w:left w:w="16" w:type="dxa"/>
              <w:right w:w="16" w:type="dxa"/>
            </w:tcMar>
            <w:vAlign w:val="center"/>
          </w:tcPr>
          <w:p w14:paraId="42E15447">
            <w:pPr>
              <w:adjustRightInd w:val="0"/>
              <w:snapToGrid w:val="0"/>
              <w:jc w:val="center"/>
              <w:rPr>
                <w:color w:val="auto"/>
                <w:szCs w:val="21"/>
              </w:rPr>
            </w:pPr>
            <w:r>
              <w:rPr>
                <w:color w:val="auto"/>
                <w:szCs w:val="21"/>
              </w:rPr>
              <w:t>地理坐标</w:t>
            </w:r>
          </w:p>
        </w:tc>
        <w:tc>
          <w:tcPr>
            <w:tcW w:w="7148" w:type="dxa"/>
            <w:gridSpan w:val="3"/>
            <w:noWrap w:val="0"/>
            <w:vAlign w:val="center"/>
          </w:tcPr>
          <w:p w14:paraId="52287A83">
            <w:pPr>
              <w:jc w:val="center"/>
              <w:rPr>
                <w:color w:val="auto"/>
                <w:szCs w:val="21"/>
              </w:rPr>
            </w:pPr>
            <w:r>
              <w:rPr>
                <w:color w:val="auto"/>
                <w:szCs w:val="21"/>
              </w:rPr>
              <w:t>（</w:t>
            </w:r>
            <w:r>
              <w:rPr>
                <w:rFonts w:hint="eastAsia"/>
                <w:color w:val="auto"/>
                <w:szCs w:val="21"/>
              </w:rPr>
              <w:t>经度119°36′32.868″，纬度31°45′32.044″</w:t>
            </w:r>
            <w:r>
              <w:rPr>
                <w:color w:val="auto"/>
                <w:szCs w:val="21"/>
              </w:rPr>
              <w:t>）‬</w:t>
            </w:r>
          </w:p>
        </w:tc>
      </w:tr>
      <w:tr w14:paraId="0C4AED4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637" w:hRule="atLeast"/>
          <w:jc w:val="center"/>
        </w:trPr>
        <w:tc>
          <w:tcPr>
            <w:tcW w:w="1720" w:type="dxa"/>
            <w:gridSpan w:val="2"/>
            <w:noWrap w:val="0"/>
            <w:tcMar>
              <w:top w:w="16" w:type="dxa"/>
              <w:left w:w="16" w:type="dxa"/>
              <w:right w:w="16" w:type="dxa"/>
            </w:tcMar>
            <w:vAlign w:val="center"/>
          </w:tcPr>
          <w:p w14:paraId="37EE1C90">
            <w:pPr>
              <w:adjustRightInd w:val="0"/>
              <w:snapToGrid w:val="0"/>
              <w:jc w:val="center"/>
              <w:rPr>
                <w:color w:val="auto"/>
                <w:szCs w:val="21"/>
              </w:rPr>
            </w:pPr>
            <w:r>
              <w:rPr>
                <w:color w:val="auto"/>
                <w:szCs w:val="21"/>
              </w:rPr>
              <w:t>国民经济行业类别</w:t>
            </w:r>
          </w:p>
        </w:tc>
        <w:tc>
          <w:tcPr>
            <w:tcW w:w="2298" w:type="dxa"/>
            <w:noWrap w:val="0"/>
            <w:vAlign w:val="center"/>
          </w:tcPr>
          <w:p w14:paraId="075AB660">
            <w:pPr>
              <w:adjustRightInd w:val="0"/>
              <w:snapToGrid w:val="0"/>
              <w:jc w:val="center"/>
              <w:rPr>
                <w:rFonts w:hint="eastAsia" w:eastAsia="宋体"/>
                <w:color w:val="auto"/>
                <w:szCs w:val="21"/>
                <w:lang w:eastAsia="zh-CN"/>
              </w:rPr>
            </w:pPr>
            <w:r>
              <w:rPr>
                <w:rFonts w:hint="eastAsia" w:eastAsia="宋体"/>
                <w:color w:val="auto"/>
                <w:szCs w:val="21"/>
                <w:lang w:eastAsia="zh-CN"/>
              </w:rPr>
              <w:t>C2929塑料零件及其他塑料制品制造</w:t>
            </w:r>
          </w:p>
        </w:tc>
        <w:tc>
          <w:tcPr>
            <w:tcW w:w="2211" w:type="dxa"/>
            <w:noWrap w:val="0"/>
            <w:vAlign w:val="center"/>
          </w:tcPr>
          <w:p w14:paraId="4CD0BD39">
            <w:pPr>
              <w:adjustRightInd w:val="0"/>
              <w:snapToGrid w:val="0"/>
              <w:jc w:val="center"/>
              <w:rPr>
                <w:color w:val="auto"/>
                <w:szCs w:val="21"/>
              </w:rPr>
            </w:pPr>
            <w:bookmarkStart w:id="2" w:name="_Hlk49843745"/>
            <w:r>
              <w:rPr>
                <w:color w:val="auto"/>
                <w:szCs w:val="21"/>
              </w:rPr>
              <w:t>建设项目行业类别</w:t>
            </w:r>
            <w:bookmarkEnd w:id="2"/>
          </w:p>
        </w:tc>
        <w:tc>
          <w:tcPr>
            <w:tcW w:w="2639" w:type="dxa"/>
            <w:noWrap w:val="0"/>
            <w:vAlign w:val="center"/>
          </w:tcPr>
          <w:p w14:paraId="70D08935">
            <w:pPr>
              <w:adjustRightInd w:val="0"/>
              <w:snapToGrid w:val="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二十六</w:t>
            </w:r>
            <w:r>
              <w:rPr>
                <w:rFonts w:hint="default" w:ascii="Times New Roman" w:hAnsi="Times New Roman" w:eastAsia="宋体" w:cs="Times New Roman"/>
                <w:color w:val="auto"/>
                <w:sz w:val="21"/>
                <w:szCs w:val="21"/>
              </w:rPr>
              <w:t>、橡胶和塑料制品业</w:t>
            </w:r>
            <w:r>
              <w:rPr>
                <w:rFonts w:hint="default" w:ascii="Times New Roman" w:hAnsi="Times New Roman" w:eastAsia="宋体" w:cs="Times New Roman"/>
                <w:color w:val="auto"/>
                <w:sz w:val="21"/>
                <w:szCs w:val="21"/>
                <w:lang w:val="en-US" w:eastAsia="zh-CN"/>
              </w:rPr>
              <w:t>29</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53塑料制品业292</w:t>
            </w:r>
            <w:r>
              <w:rPr>
                <w:rFonts w:hint="default" w:ascii="Times New Roman" w:hAnsi="Times New Roman" w:eastAsia="宋体" w:cs="Times New Roman"/>
                <w:color w:val="auto"/>
                <w:sz w:val="21"/>
                <w:szCs w:val="21"/>
              </w:rPr>
              <w:t>—其他</w:t>
            </w:r>
          </w:p>
        </w:tc>
      </w:tr>
      <w:tr w14:paraId="16B6DDB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1219" w:hRule="atLeast"/>
          <w:jc w:val="center"/>
        </w:trPr>
        <w:tc>
          <w:tcPr>
            <w:tcW w:w="1720" w:type="dxa"/>
            <w:gridSpan w:val="2"/>
            <w:noWrap w:val="0"/>
            <w:tcMar>
              <w:top w:w="16" w:type="dxa"/>
              <w:left w:w="16" w:type="dxa"/>
              <w:right w:w="16" w:type="dxa"/>
            </w:tcMar>
            <w:vAlign w:val="center"/>
          </w:tcPr>
          <w:p w14:paraId="4D40D186">
            <w:pPr>
              <w:adjustRightInd w:val="0"/>
              <w:snapToGrid w:val="0"/>
              <w:jc w:val="center"/>
              <w:rPr>
                <w:color w:val="auto"/>
                <w:szCs w:val="21"/>
              </w:rPr>
            </w:pPr>
            <w:r>
              <w:rPr>
                <w:color w:val="auto"/>
                <w:szCs w:val="21"/>
              </w:rPr>
              <w:t>建设性质</w:t>
            </w:r>
          </w:p>
        </w:tc>
        <w:tc>
          <w:tcPr>
            <w:tcW w:w="2298" w:type="dxa"/>
            <w:noWrap w:val="0"/>
            <w:vAlign w:val="center"/>
          </w:tcPr>
          <w:p w14:paraId="5D70E603">
            <w:pPr>
              <w:jc w:val="left"/>
              <w:rPr>
                <w:color w:val="auto"/>
                <w:szCs w:val="21"/>
              </w:rPr>
            </w:pPr>
            <w:r>
              <w:rPr>
                <w:color w:val="auto"/>
                <w:szCs w:val="21"/>
              </w:rPr>
              <w:sym w:font="Wingdings 2" w:char="0052"/>
            </w:r>
            <w:r>
              <w:rPr>
                <w:color w:val="auto"/>
                <w:szCs w:val="21"/>
              </w:rPr>
              <w:t>新建（迁建）</w:t>
            </w:r>
          </w:p>
          <w:p w14:paraId="66D38CAE">
            <w:pPr>
              <w:jc w:val="left"/>
              <w:rPr>
                <w:color w:val="auto"/>
                <w:szCs w:val="21"/>
              </w:rPr>
            </w:pPr>
            <w:r>
              <w:rPr>
                <w:color w:val="auto"/>
                <w:szCs w:val="21"/>
              </w:rPr>
              <w:sym w:font="Wingdings 2" w:char="00A3"/>
            </w:r>
            <w:r>
              <w:rPr>
                <w:color w:val="auto"/>
                <w:szCs w:val="21"/>
              </w:rPr>
              <w:t>改建</w:t>
            </w:r>
          </w:p>
          <w:p w14:paraId="54AB0AFB">
            <w:pPr>
              <w:jc w:val="left"/>
              <w:rPr>
                <w:color w:val="auto"/>
                <w:szCs w:val="21"/>
              </w:rPr>
            </w:pPr>
            <w:r>
              <w:rPr>
                <w:color w:val="auto"/>
                <w:szCs w:val="21"/>
              </w:rPr>
              <w:sym w:font="Wingdings 2" w:char="00A3"/>
            </w:r>
            <w:r>
              <w:rPr>
                <w:color w:val="auto"/>
                <w:szCs w:val="21"/>
              </w:rPr>
              <w:t>扩建</w:t>
            </w:r>
          </w:p>
          <w:p w14:paraId="1DC6F8AA">
            <w:pPr>
              <w:jc w:val="left"/>
              <w:rPr>
                <w:color w:val="auto"/>
                <w:szCs w:val="21"/>
              </w:rPr>
            </w:pPr>
            <w:r>
              <w:rPr>
                <w:color w:val="auto"/>
                <w:szCs w:val="21"/>
              </w:rPr>
              <w:sym w:font="Wingdings 2" w:char="00A3"/>
            </w:r>
            <w:r>
              <w:rPr>
                <w:color w:val="auto"/>
                <w:szCs w:val="21"/>
              </w:rPr>
              <w:t>技术改造</w:t>
            </w:r>
          </w:p>
        </w:tc>
        <w:tc>
          <w:tcPr>
            <w:tcW w:w="2211" w:type="dxa"/>
            <w:noWrap w:val="0"/>
            <w:vAlign w:val="center"/>
          </w:tcPr>
          <w:p w14:paraId="4078292B">
            <w:pPr>
              <w:adjustRightInd w:val="0"/>
              <w:snapToGrid w:val="0"/>
              <w:jc w:val="center"/>
              <w:rPr>
                <w:color w:val="auto"/>
                <w:szCs w:val="21"/>
              </w:rPr>
            </w:pPr>
            <w:r>
              <w:rPr>
                <w:color w:val="auto"/>
                <w:szCs w:val="21"/>
              </w:rPr>
              <w:t>建设项目申报情形</w:t>
            </w:r>
          </w:p>
        </w:tc>
        <w:tc>
          <w:tcPr>
            <w:tcW w:w="2639" w:type="dxa"/>
            <w:noWrap w:val="0"/>
            <w:vAlign w:val="center"/>
          </w:tcPr>
          <w:p w14:paraId="595D8682">
            <w:pPr>
              <w:jc w:val="left"/>
              <w:rPr>
                <w:color w:val="auto"/>
                <w:szCs w:val="21"/>
              </w:rPr>
            </w:pPr>
            <w:r>
              <w:rPr>
                <w:color w:val="auto"/>
                <w:szCs w:val="21"/>
              </w:rPr>
              <w:sym w:font="Wingdings 2" w:char="0052"/>
            </w:r>
            <w:r>
              <w:rPr>
                <w:color w:val="auto"/>
                <w:szCs w:val="21"/>
              </w:rPr>
              <w:t>首次申报项目</w:t>
            </w:r>
          </w:p>
          <w:p w14:paraId="151A751E">
            <w:pPr>
              <w:jc w:val="left"/>
              <w:rPr>
                <w:color w:val="auto"/>
                <w:szCs w:val="21"/>
              </w:rPr>
            </w:pPr>
            <w:r>
              <w:rPr>
                <w:color w:val="auto"/>
                <w:szCs w:val="21"/>
              </w:rPr>
              <w:sym w:font="Wingdings 2" w:char="00A3"/>
            </w:r>
            <w:r>
              <w:rPr>
                <w:color w:val="auto"/>
                <w:szCs w:val="21"/>
              </w:rPr>
              <w:t>不予批准后再次申报项目</w:t>
            </w:r>
          </w:p>
          <w:p w14:paraId="243C6B94">
            <w:pPr>
              <w:jc w:val="left"/>
              <w:rPr>
                <w:color w:val="auto"/>
                <w:szCs w:val="21"/>
              </w:rPr>
            </w:pPr>
            <w:r>
              <w:rPr>
                <w:color w:val="auto"/>
                <w:szCs w:val="21"/>
              </w:rPr>
              <w:sym w:font="Wingdings 2" w:char="00A3"/>
            </w:r>
            <w:r>
              <w:rPr>
                <w:color w:val="auto"/>
                <w:szCs w:val="21"/>
              </w:rPr>
              <w:t>超五年重新审核项目</w:t>
            </w:r>
          </w:p>
          <w:p w14:paraId="7B02E5B9">
            <w:pPr>
              <w:jc w:val="left"/>
              <w:rPr>
                <w:color w:val="auto"/>
                <w:szCs w:val="21"/>
              </w:rPr>
            </w:pPr>
            <w:r>
              <w:rPr>
                <w:color w:val="auto"/>
                <w:szCs w:val="21"/>
              </w:rPr>
              <w:sym w:font="Wingdings 2" w:char="00A3"/>
            </w:r>
            <w:r>
              <w:rPr>
                <w:color w:val="auto"/>
                <w:szCs w:val="21"/>
              </w:rPr>
              <w:t>重大变动重新报批项目</w:t>
            </w:r>
          </w:p>
        </w:tc>
      </w:tr>
      <w:tr w14:paraId="2A0D62F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851" w:hRule="atLeast"/>
          <w:jc w:val="center"/>
        </w:trPr>
        <w:tc>
          <w:tcPr>
            <w:tcW w:w="1720" w:type="dxa"/>
            <w:gridSpan w:val="2"/>
            <w:noWrap w:val="0"/>
            <w:tcMar>
              <w:top w:w="16" w:type="dxa"/>
              <w:left w:w="16" w:type="dxa"/>
              <w:right w:w="16" w:type="dxa"/>
            </w:tcMar>
            <w:vAlign w:val="center"/>
          </w:tcPr>
          <w:p w14:paraId="2187C394">
            <w:pPr>
              <w:adjustRightInd w:val="0"/>
              <w:snapToGrid w:val="0"/>
              <w:jc w:val="center"/>
              <w:rPr>
                <w:color w:val="auto"/>
                <w:szCs w:val="21"/>
              </w:rPr>
            </w:pPr>
            <w:r>
              <w:rPr>
                <w:color w:val="auto"/>
                <w:szCs w:val="21"/>
              </w:rPr>
              <w:t>项目审批备案部门</w:t>
            </w:r>
          </w:p>
        </w:tc>
        <w:tc>
          <w:tcPr>
            <w:tcW w:w="2298" w:type="dxa"/>
            <w:noWrap w:val="0"/>
            <w:vAlign w:val="center"/>
          </w:tcPr>
          <w:p w14:paraId="033A276E">
            <w:pPr>
              <w:adjustRightInd w:val="0"/>
              <w:snapToGrid w:val="0"/>
              <w:jc w:val="center"/>
              <w:rPr>
                <w:color w:val="auto"/>
                <w:szCs w:val="21"/>
              </w:rPr>
            </w:pPr>
            <w:r>
              <w:rPr>
                <w:color w:val="auto"/>
                <w:szCs w:val="21"/>
              </w:rPr>
              <w:t>江苏金坛经济开发区经济发展局</w:t>
            </w:r>
          </w:p>
        </w:tc>
        <w:tc>
          <w:tcPr>
            <w:tcW w:w="2211" w:type="dxa"/>
            <w:noWrap w:val="0"/>
            <w:vAlign w:val="center"/>
          </w:tcPr>
          <w:p w14:paraId="08CC0890">
            <w:pPr>
              <w:adjustRightInd w:val="0"/>
              <w:snapToGrid w:val="0"/>
              <w:jc w:val="center"/>
              <w:rPr>
                <w:color w:val="auto"/>
                <w:szCs w:val="21"/>
              </w:rPr>
            </w:pPr>
            <w:r>
              <w:rPr>
                <w:color w:val="auto"/>
                <w:szCs w:val="21"/>
              </w:rPr>
              <w:t>项目审批备案文号</w:t>
            </w:r>
          </w:p>
        </w:tc>
        <w:tc>
          <w:tcPr>
            <w:tcW w:w="2639" w:type="dxa"/>
            <w:noWrap w:val="0"/>
            <w:vAlign w:val="center"/>
          </w:tcPr>
          <w:p w14:paraId="6A2BD8AF">
            <w:pPr>
              <w:adjustRightInd w:val="0"/>
              <w:snapToGrid w:val="0"/>
              <w:jc w:val="center"/>
              <w:rPr>
                <w:rFonts w:hint="eastAsia" w:eastAsia="宋体"/>
                <w:color w:val="auto"/>
                <w:szCs w:val="21"/>
                <w:lang w:eastAsia="zh-CN"/>
              </w:rPr>
            </w:pPr>
            <w:r>
              <w:rPr>
                <w:rFonts w:hint="eastAsia"/>
                <w:color w:val="auto"/>
                <w:szCs w:val="21"/>
                <w:lang w:eastAsia="zh-CN"/>
              </w:rPr>
              <w:t>坛开经发备字[2025]347号</w:t>
            </w:r>
          </w:p>
        </w:tc>
      </w:tr>
      <w:tr w14:paraId="3C8DEF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720" w:type="dxa"/>
            <w:gridSpan w:val="2"/>
            <w:noWrap w:val="0"/>
            <w:tcMar>
              <w:top w:w="16" w:type="dxa"/>
              <w:left w:w="16" w:type="dxa"/>
              <w:right w:w="16" w:type="dxa"/>
            </w:tcMar>
            <w:vAlign w:val="center"/>
          </w:tcPr>
          <w:p w14:paraId="0BDCDDA7">
            <w:pPr>
              <w:adjustRightInd w:val="0"/>
              <w:snapToGrid w:val="0"/>
              <w:jc w:val="center"/>
              <w:rPr>
                <w:color w:val="auto"/>
                <w:szCs w:val="21"/>
              </w:rPr>
            </w:pPr>
            <w:r>
              <w:rPr>
                <w:color w:val="auto"/>
                <w:szCs w:val="21"/>
              </w:rPr>
              <w:t>总投资（万元）</w:t>
            </w:r>
          </w:p>
        </w:tc>
        <w:tc>
          <w:tcPr>
            <w:tcW w:w="2298" w:type="dxa"/>
            <w:noWrap w:val="0"/>
            <w:vAlign w:val="center"/>
          </w:tcPr>
          <w:p w14:paraId="740CA3EC">
            <w:pPr>
              <w:adjustRightInd w:val="0"/>
              <w:snapToGrid w:val="0"/>
              <w:jc w:val="center"/>
              <w:rPr>
                <w:rFonts w:hint="default" w:eastAsia="宋体"/>
                <w:color w:val="auto"/>
                <w:szCs w:val="21"/>
                <w:lang w:val="en-US" w:eastAsia="zh-CN"/>
              </w:rPr>
            </w:pPr>
            <w:r>
              <w:rPr>
                <w:rFonts w:hint="eastAsia"/>
                <w:color w:val="auto"/>
                <w:szCs w:val="21"/>
                <w:lang w:val="en-US" w:eastAsia="zh-CN"/>
              </w:rPr>
              <w:t>500</w:t>
            </w:r>
          </w:p>
        </w:tc>
        <w:tc>
          <w:tcPr>
            <w:tcW w:w="2211" w:type="dxa"/>
            <w:noWrap w:val="0"/>
            <w:tcMar>
              <w:top w:w="16" w:type="dxa"/>
              <w:left w:w="16" w:type="dxa"/>
              <w:right w:w="16" w:type="dxa"/>
            </w:tcMar>
            <w:vAlign w:val="center"/>
          </w:tcPr>
          <w:p w14:paraId="2279965F">
            <w:pPr>
              <w:adjustRightInd w:val="0"/>
              <w:snapToGrid w:val="0"/>
              <w:jc w:val="center"/>
              <w:rPr>
                <w:color w:val="auto"/>
                <w:szCs w:val="21"/>
              </w:rPr>
            </w:pPr>
            <w:r>
              <w:rPr>
                <w:color w:val="auto"/>
                <w:szCs w:val="21"/>
              </w:rPr>
              <w:t>环保投资（万元）</w:t>
            </w:r>
          </w:p>
        </w:tc>
        <w:tc>
          <w:tcPr>
            <w:tcW w:w="2639" w:type="dxa"/>
            <w:noWrap w:val="0"/>
            <w:vAlign w:val="center"/>
          </w:tcPr>
          <w:p w14:paraId="068F79A8">
            <w:pPr>
              <w:adjustRightInd w:val="0"/>
              <w:snapToGrid w:val="0"/>
              <w:jc w:val="center"/>
              <w:rPr>
                <w:rFonts w:hint="default" w:eastAsia="宋体"/>
                <w:color w:val="auto"/>
                <w:szCs w:val="21"/>
                <w:lang w:val="en-US" w:eastAsia="zh-CN"/>
              </w:rPr>
            </w:pPr>
            <w:r>
              <w:rPr>
                <w:rFonts w:hint="eastAsia"/>
                <w:color w:val="auto"/>
                <w:szCs w:val="21"/>
                <w:lang w:val="en-US" w:eastAsia="zh-CN"/>
              </w:rPr>
              <w:t>10</w:t>
            </w:r>
          </w:p>
        </w:tc>
      </w:tr>
      <w:tr w14:paraId="51D342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720" w:type="dxa"/>
            <w:gridSpan w:val="2"/>
            <w:noWrap w:val="0"/>
            <w:tcMar>
              <w:top w:w="16" w:type="dxa"/>
              <w:left w:w="16" w:type="dxa"/>
              <w:right w:w="16" w:type="dxa"/>
            </w:tcMar>
            <w:vAlign w:val="center"/>
          </w:tcPr>
          <w:p w14:paraId="52337655">
            <w:pPr>
              <w:adjustRightInd w:val="0"/>
              <w:snapToGrid w:val="0"/>
              <w:jc w:val="center"/>
              <w:rPr>
                <w:color w:val="auto"/>
                <w:szCs w:val="21"/>
              </w:rPr>
            </w:pPr>
            <w:r>
              <w:rPr>
                <w:color w:val="auto"/>
                <w:szCs w:val="21"/>
              </w:rPr>
              <w:t>环保投资占比（%）</w:t>
            </w:r>
          </w:p>
        </w:tc>
        <w:tc>
          <w:tcPr>
            <w:tcW w:w="2298" w:type="dxa"/>
            <w:noWrap w:val="0"/>
            <w:vAlign w:val="center"/>
          </w:tcPr>
          <w:p w14:paraId="1A1754D8">
            <w:pPr>
              <w:adjustRightInd w:val="0"/>
              <w:snapToGrid w:val="0"/>
              <w:jc w:val="center"/>
              <w:rPr>
                <w:rFonts w:hint="default" w:eastAsia="宋体"/>
                <w:color w:val="auto"/>
                <w:szCs w:val="21"/>
                <w:lang w:val="en-US" w:eastAsia="zh-CN"/>
              </w:rPr>
            </w:pPr>
            <w:r>
              <w:rPr>
                <w:rFonts w:hint="eastAsia"/>
                <w:color w:val="auto"/>
                <w:szCs w:val="21"/>
                <w:lang w:val="en-US" w:eastAsia="zh-CN"/>
              </w:rPr>
              <w:t>2</w:t>
            </w:r>
          </w:p>
        </w:tc>
        <w:tc>
          <w:tcPr>
            <w:tcW w:w="2211" w:type="dxa"/>
            <w:noWrap w:val="0"/>
            <w:tcMar>
              <w:top w:w="16" w:type="dxa"/>
              <w:left w:w="16" w:type="dxa"/>
              <w:right w:w="16" w:type="dxa"/>
            </w:tcMar>
            <w:vAlign w:val="center"/>
          </w:tcPr>
          <w:p w14:paraId="67E67A0F">
            <w:pPr>
              <w:adjustRightInd w:val="0"/>
              <w:snapToGrid w:val="0"/>
              <w:jc w:val="center"/>
              <w:rPr>
                <w:color w:val="auto"/>
                <w:szCs w:val="21"/>
              </w:rPr>
            </w:pPr>
            <w:r>
              <w:rPr>
                <w:color w:val="auto"/>
                <w:szCs w:val="21"/>
              </w:rPr>
              <w:t>施工工期</w:t>
            </w:r>
          </w:p>
        </w:tc>
        <w:tc>
          <w:tcPr>
            <w:tcW w:w="2639" w:type="dxa"/>
            <w:noWrap w:val="0"/>
            <w:vAlign w:val="center"/>
          </w:tcPr>
          <w:p w14:paraId="49DDBA27">
            <w:pPr>
              <w:adjustRightInd w:val="0"/>
              <w:snapToGrid w:val="0"/>
              <w:jc w:val="center"/>
              <w:rPr>
                <w:color w:val="auto"/>
                <w:szCs w:val="21"/>
              </w:rPr>
            </w:pPr>
            <w:r>
              <w:rPr>
                <w:rFonts w:hint="eastAsia"/>
                <w:color w:val="auto"/>
                <w:szCs w:val="21"/>
              </w:rPr>
              <w:t>1</w:t>
            </w:r>
            <w:r>
              <w:rPr>
                <w:color w:val="auto"/>
                <w:szCs w:val="21"/>
              </w:rPr>
              <w:t>个月</w:t>
            </w:r>
          </w:p>
        </w:tc>
      </w:tr>
      <w:tr w14:paraId="4340B93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720" w:type="dxa"/>
            <w:gridSpan w:val="2"/>
            <w:noWrap w:val="0"/>
            <w:tcMar>
              <w:top w:w="16" w:type="dxa"/>
              <w:left w:w="16" w:type="dxa"/>
              <w:right w:w="16" w:type="dxa"/>
            </w:tcMar>
            <w:vAlign w:val="center"/>
          </w:tcPr>
          <w:p w14:paraId="3EB712D9">
            <w:pPr>
              <w:adjustRightInd w:val="0"/>
              <w:snapToGrid w:val="0"/>
              <w:jc w:val="center"/>
              <w:rPr>
                <w:color w:val="auto"/>
                <w:szCs w:val="21"/>
              </w:rPr>
            </w:pPr>
            <w:r>
              <w:rPr>
                <w:color w:val="auto"/>
                <w:szCs w:val="21"/>
              </w:rPr>
              <w:t>是否开工建设</w:t>
            </w:r>
          </w:p>
        </w:tc>
        <w:tc>
          <w:tcPr>
            <w:tcW w:w="2298" w:type="dxa"/>
            <w:noWrap w:val="0"/>
            <w:vAlign w:val="center"/>
          </w:tcPr>
          <w:p w14:paraId="60E03DB7">
            <w:pPr>
              <w:adjustRightInd w:val="0"/>
              <w:snapToGrid w:val="0"/>
              <w:rPr>
                <w:color w:val="auto"/>
                <w:szCs w:val="21"/>
              </w:rPr>
            </w:pPr>
            <w:r>
              <w:rPr>
                <w:color w:val="auto"/>
                <w:szCs w:val="21"/>
              </w:rPr>
              <w:sym w:font="Wingdings 2" w:char="0052"/>
            </w:r>
            <w:r>
              <w:rPr>
                <w:color w:val="auto"/>
                <w:szCs w:val="21"/>
              </w:rPr>
              <w:t>否</w:t>
            </w:r>
          </w:p>
          <w:p w14:paraId="47FAF846">
            <w:pPr>
              <w:adjustRightInd w:val="0"/>
              <w:snapToGrid w:val="0"/>
              <w:rPr>
                <w:color w:val="auto"/>
                <w:szCs w:val="21"/>
              </w:rPr>
            </w:pPr>
            <w:r>
              <w:rPr>
                <w:color w:val="auto"/>
                <w:szCs w:val="21"/>
              </w:rPr>
              <w:sym w:font="Wingdings 2" w:char="00A3"/>
            </w:r>
            <w:r>
              <w:rPr>
                <w:color w:val="auto"/>
                <w:szCs w:val="21"/>
              </w:rPr>
              <w:t>是：</w:t>
            </w:r>
            <w:r>
              <w:rPr>
                <w:color w:val="auto"/>
                <w:szCs w:val="21"/>
                <w:u w:val="single"/>
              </w:rPr>
              <w:t xml:space="preserve">             </w:t>
            </w:r>
          </w:p>
        </w:tc>
        <w:tc>
          <w:tcPr>
            <w:tcW w:w="2211" w:type="dxa"/>
            <w:noWrap w:val="0"/>
            <w:tcMar>
              <w:top w:w="16" w:type="dxa"/>
              <w:left w:w="16" w:type="dxa"/>
              <w:right w:w="16" w:type="dxa"/>
            </w:tcMar>
            <w:vAlign w:val="center"/>
          </w:tcPr>
          <w:p w14:paraId="0AA7A951">
            <w:pPr>
              <w:adjustRightInd w:val="0"/>
              <w:snapToGrid w:val="0"/>
              <w:jc w:val="center"/>
              <w:rPr>
                <w:color w:val="auto"/>
                <w:szCs w:val="21"/>
              </w:rPr>
            </w:pPr>
            <w:r>
              <w:rPr>
                <w:color w:val="auto"/>
                <w:spacing w:val="-6"/>
                <w:szCs w:val="21"/>
              </w:rPr>
              <w:t>用地面积（m</w:t>
            </w:r>
            <w:r>
              <w:rPr>
                <w:color w:val="auto"/>
                <w:spacing w:val="-6"/>
                <w:szCs w:val="21"/>
                <w:vertAlign w:val="superscript"/>
              </w:rPr>
              <w:t>2</w:t>
            </w:r>
            <w:r>
              <w:rPr>
                <w:color w:val="auto"/>
                <w:spacing w:val="-6"/>
                <w:szCs w:val="21"/>
              </w:rPr>
              <w:t>）</w:t>
            </w:r>
          </w:p>
        </w:tc>
        <w:tc>
          <w:tcPr>
            <w:tcW w:w="2639" w:type="dxa"/>
            <w:noWrap w:val="0"/>
            <w:vAlign w:val="center"/>
          </w:tcPr>
          <w:p w14:paraId="4A981AA1">
            <w:pPr>
              <w:adjustRightInd w:val="0"/>
              <w:snapToGrid w:val="0"/>
              <w:jc w:val="center"/>
              <w:rPr>
                <w:rFonts w:hint="default" w:eastAsia="宋体"/>
                <w:color w:val="auto"/>
                <w:szCs w:val="21"/>
                <w:lang w:val="en-US" w:eastAsia="zh-CN"/>
              </w:rPr>
            </w:pPr>
            <w:r>
              <w:rPr>
                <w:rFonts w:hint="eastAsia"/>
                <w:color w:val="auto"/>
                <w:lang w:val="en-US" w:eastAsia="zh-CN"/>
              </w:rPr>
              <w:t>1660（建筑面积）</w:t>
            </w:r>
          </w:p>
        </w:tc>
      </w:tr>
      <w:tr w14:paraId="48488A3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54" w:type="dxa"/>
            <w:noWrap w:val="0"/>
            <w:vAlign w:val="center"/>
          </w:tcPr>
          <w:p w14:paraId="6FCBA132">
            <w:pPr>
              <w:autoSpaceDE w:val="0"/>
              <w:autoSpaceDN w:val="0"/>
              <w:adjustRightInd w:val="0"/>
              <w:snapToGrid w:val="0"/>
              <w:jc w:val="center"/>
              <w:rPr>
                <w:color w:val="auto"/>
                <w:kern w:val="0"/>
                <w:szCs w:val="21"/>
              </w:rPr>
            </w:pPr>
            <w:r>
              <w:rPr>
                <w:color w:val="auto"/>
                <w:kern w:val="0"/>
                <w:szCs w:val="21"/>
              </w:rPr>
              <w:t>专项评价设置情况</w:t>
            </w:r>
          </w:p>
        </w:tc>
        <w:tc>
          <w:tcPr>
            <w:tcW w:w="8214" w:type="dxa"/>
            <w:gridSpan w:val="4"/>
            <w:noWrap w:val="0"/>
            <w:vAlign w:val="center"/>
          </w:tcPr>
          <w:p w14:paraId="34DD6283">
            <w:pPr>
              <w:adjustRightInd w:val="0"/>
              <w:snapToGrid w:val="0"/>
              <w:spacing w:before="120" w:beforeLines="50" w:line="360" w:lineRule="auto"/>
              <w:ind w:firstLine="420" w:firstLineChars="200"/>
              <w:jc w:val="left"/>
              <w:rPr>
                <w:color w:val="auto"/>
                <w:kern w:val="0"/>
                <w:szCs w:val="21"/>
              </w:rPr>
            </w:pPr>
            <w:r>
              <w:rPr>
                <w:color w:val="auto"/>
                <w:kern w:val="0"/>
                <w:szCs w:val="21"/>
              </w:rPr>
              <w:t>根据《建设项目环境影响报告表编制技术指南（污染影响类）试行》，本项目无需设置专项评价，本项目专项设置对照情况见下表：</w:t>
            </w:r>
          </w:p>
          <w:p w14:paraId="6D9D9ECF">
            <w:pPr>
              <w:adjustRightInd w:val="0"/>
              <w:snapToGrid w:val="0"/>
              <w:jc w:val="center"/>
              <w:rPr>
                <w:b/>
                <w:color w:val="auto"/>
                <w:szCs w:val="21"/>
              </w:rPr>
            </w:pPr>
            <w:r>
              <w:rPr>
                <w:b/>
                <w:color w:val="auto"/>
                <w:szCs w:val="21"/>
              </w:rPr>
              <w:t>表1-1 专项评价设置对照表</w:t>
            </w:r>
          </w:p>
          <w:tbl>
            <w:tblPr>
              <w:tblStyle w:val="28"/>
              <w:tblW w:w="5000" w:type="pct"/>
              <w:tblInd w:w="5"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0" w:type="dxa"/>
                <w:bottom w:w="0" w:type="dxa"/>
                <w:right w:w="0" w:type="dxa"/>
              </w:tblCellMar>
            </w:tblPr>
            <w:tblGrid>
              <w:gridCol w:w="891"/>
              <w:gridCol w:w="4434"/>
              <w:gridCol w:w="1774"/>
              <w:gridCol w:w="899"/>
            </w:tblGrid>
            <w:tr w14:paraId="00FFEF0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557" w:type="pct"/>
                  <w:noWrap w:val="0"/>
                  <w:vAlign w:val="center"/>
                </w:tcPr>
                <w:p w14:paraId="0D56E556">
                  <w:pPr>
                    <w:adjustRightInd w:val="0"/>
                    <w:snapToGrid w:val="0"/>
                    <w:jc w:val="center"/>
                    <w:rPr>
                      <w:b/>
                      <w:color w:val="auto"/>
                      <w:szCs w:val="21"/>
                    </w:rPr>
                  </w:pPr>
                  <w:r>
                    <w:rPr>
                      <w:b/>
                      <w:color w:val="auto"/>
                      <w:szCs w:val="21"/>
                    </w:rPr>
                    <w:t>类别</w:t>
                  </w:r>
                </w:p>
              </w:tc>
              <w:tc>
                <w:tcPr>
                  <w:tcW w:w="2771" w:type="pct"/>
                  <w:noWrap w:val="0"/>
                  <w:vAlign w:val="center"/>
                </w:tcPr>
                <w:p w14:paraId="784C6C95">
                  <w:pPr>
                    <w:adjustRightInd w:val="0"/>
                    <w:snapToGrid w:val="0"/>
                    <w:jc w:val="center"/>
                    <w:rPr>
                      <w:b/>
                      <w:color w:val="auto"/>
                      <w:szCs w:val="21"/>
                    </w:rPr>
                  </w:pPr>
                  <w:r>
                    <w:rPr>
                      <w:b/>
                      <w:color w:val="auto"/>
                      <w:szCs w:val="21"/>
                    </w:rPr>
                    <w:t>设置原则</w:t>
                  </w:r>
                </w:p>
              </w:tc>
              <w:tc>
                <w:tcPr>
                  <w:tcW w:w="1109" w:type="pct"/>
                  <w:noWrap w:val="0"/>
                  <w:vAlign w:val="center"/>
                </w:tcPr>
                <w:p w14:paraId="610AB3D2">
                  <w:pPr>
                    <w:adjustRightInd w:val="0"/>
                    <w:snapToGrid w:val="0"/>
                    <w:jc w:val="center"/>
                    <w:rPr>
                      <w:b/>
                      <w:color w:val="auto"/>
                      <w:szCs w:val="21"/>
                    </w:rPr>
                  </w:pPr>
                  <w:r>
                    <w:rPr>
                      <w:b/>
                      <w:color w:val="auto"/>
                      <w:szCs w:val="21"/>
                    </w:rPr>
                    <w:t>对照情况</w:t>
                  </w:r>
                </w:p>
              </w:tc>
              <w:tc>
                <w:tcPr>
                  <w:tcW w:w="562" w:type="pct"/>
                  <w:noWrap w:val="0"/>
                  <w:vAlign w:val="center"/>
                </w:tcPr>
                <w:p w14:paraId="52F9214A">
                  <w:pPr>
                    <w:adjustRightInd w:val="0"/>
                    <w:snapToGrid w:val="0"/>
                    <w:jc w:val="center"/>
                    <w:rPr>
                      <w:b/>
                      <w:color w:val="auto"/>
                      <w:szCs w:val="21"/>
                    </w:rPr>
                  </w:pPr>
                  <w:r>
                    <w:rPr>
                      <w:b/>
                      <w:color w:val="auto"/>
                      <w:szCs w:val="21"/>
                    </w:rPr>
                    <w:t>是否设置</w:t>
                  </w:r>
                </w:p>
              </w:tc>
            </w:tr>
            <w:tr w14:paraId="4F1AB09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557" w:type="pct"/>
                  <w:noWrap w:val="0"/>
                  <w:vAlign w:val="center"/>
                </w:tcPr>
                <w:p w14:paraId="3A969B73">
                  <w:pPr>
                    <w:adjustRightInd w:val="0"/>
                    <w:snapToGrid w:val="0"/>
                    <w:jc w:val="center"/>
                    <w:rPr>
                      <w:color w:val="auto"/>
                      <w:szCs w:val="21"/>
                    </w:rPr>
                  </w:pPr>
                  <w:r>
                    <w:rPr>
                      <w:color w:val="auto"/>
                      <w:szCs w:val="21"/>
                    </w:rPr>
                    <w:t>大气</w:t>
                  </w:r>
                </w:p>
              </w:tc>
              <w:tc>
                <w:tcPr>
                  <w:tcW w:w="2771" w:type="pct"/>
                  <w:noWrap w:val="0"/>
                  <w:vAlign w:val="center"/>
                </w:tcPr>
                <w:p w14:paraId="15F4BC08">
                  <w:pPr>
                    <w:adjustRightInd w:val="0"/>
                    <w:snapToGrid w:val="0"/>
                    <w:jc w:val="center"/>
                    <w:rPr>
                      <w:color w:val="auto"/>
                      <w:szCs w:val="21"/>
                    </w:rPr>
                  </w:pPr>
                  <w:r>
                    <w:rPr>
                      <w:color w:val="auto"/>
                      <w:szCs w:val="21"/>
                    </w:rPr>
                    <w:t>排放废气含有毒有害污染物</w:t>
                  </w:r>
                  <w:r>
                    <w:rPr>
                      <w:color w:val="auto"/>
                      <w:szCs w:val="21"/>
                      <w:vertAlign w:val="superscript"/>
                    </w:rPr>
                    <w:t>1</w:t>
                  </w:r>
                  <w:r>
                    <w:rPr>
                      <w:color w:val="auto"/>
                      <w:szCs w:val="21"/>
                    </w:rPr>
                    <w:t>、二噁英、苯并[a]芘、氰化物、氯气且厂界外500米范围内有环境空气保护目标</w:t>
                  </w:r>
                  <w:r>
                    <w:rPr>
                      <w:color w:val="auto"/>
                      <w:szCs w:val="21"/>
                      <w:vertAlign w:val="superscript"/>
                    </w:rPr>
                    <w:t>2</w:t>
                  </w:r>
                  <w:r>
                    <w:rPr>
                      <w:color w:val="auto"/>
                      <w:szCs w:val="21"/>
                    </w:rPr>
                    <w:t>的建设项目</w:t>
                  </w:r>
                </w:p>
              </w:tc>
              <w:tc>
                <w:tcPr>
                  <w:tcW w:w="1109" w:type="pct"/>
                  <w:noWrap w:val="0"/>
                  <w:vAlign w:val="center"/>
                </w:tcPr>
                <w:p w14:paraId="22E8C765">
                  <w:pPr>
                    <w:adjustRightInd w:val="0"/>
                    <w:snapToGrid w:val="0"/>
                    <w:jc w:val="center"/>
                    <w:rPr>
                      <w:color w:val="auto"/>
                      <w:szCs w:val="21"/>
                    </w:rPr>
                  </w:pPr>
                  <w:r>
                    <w:rPr>
                      <w:color w:val="auto"/>
                      <w:szCs w:val="21"/>
                    </w:rPr>
                    <w:t>本项目不排放有毒有害废气</w:t>
                  </w:r>
                </w:p>
              </w:tc>
              <w:tc>
                <w:tcPr>
                  <w:tcW w:w="562" w:type="pct"/>
                  <w:noWrap w:val="0"/>
                  <w:vAlign w:val="center"/>
                </w:tcPr>
                <w:p w14:paraId="25D2B293">
                  <w:pPr>
                    <w:adjustRightInd w:val="0"/>
                    <w:snapToGrid w:val="0"/>
                    <w:jc w:val="center"/>
                    <w:rPr>
                      <w:color w:val="auto"/>
                      <w:szCs w:val="21"/>
                    </w:rPr>
                  </w:pPr>
                  <w:r>
                    <w:rPr>
                      <w:color w:val="auto"/>
                      <w:szCs w:val="21"/>
                    </w:rPr>
                    <w:t>否</w:t>
                  </w:r>
                </w:p>
              </w:tc>
            </w:tr>
            <w:tr w14:paraId="33BFD7E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557" w:type="pct"/>
                  <w:noWrap w:val="0"/>
                  <w:vAlign w:val="center"/>
                </w:tcPr>
                <w:p w14:paraId="3E1F44CD">
                  <w:pPr>
                    <w:adjustRightInd w:val="0"/>
                    <w:snapToGrid w:val="0"/>
                    <w:jc w:val="center"/>
                    <w:rPr>
                      <w:color w:val="auto"/>
                      <w:szCs w:val="21"/>
                    </w:rPr>
                  </w:pPr>
                  <w:r>
                    <w:rPr>
                      <w:color w:val="auto"/>
                      <w:szCs w:val="21"/>
                    </w:rPr>
                    <w:t>地表水</w:t>
                  </w:r>
                </w:p>
              </w:tc>
              <w:tc>
                <w:tcPr>
                  <w:tcW w:w="2771" w:type="pct"/>
                  <w:noWrap w:val="0"/>
                  <w:vAlign w:val="center"/>
                </w:tcPr>
                <w:p w14:paraId="0C9905DD">
                  <w:pPr>
                    <w:adjustRightInd w:val="0"/>
                    <w:snapToGrid w:val="0"/>
                    <w:jc w:val="center"/>
                    <w:rPr>
                      <w:color w:val="auto"/>
                      <w:szCs w:val="21"/>
                    </w:rPr>
                  </w:pPr>
                  <w:r>
                    <w:rPr>
                      <w:color w:val="auto"/>
                      <w:szCs w:val="21"/>
                    </w:rPr>
                    <w:t>新增工业废水直排建设项目（槽罐车外送污水处理厂的除外）；新增废水直排的污水集中处理厂</w:t>
                  </w:r>
                </w:p>
              </w:tc>
              <w:tc>
                <w:tcPr>
                  <w:tcW w:w="1109" w:type="pct"/>
                  <w:noWrap w:val="0"/>
                  <w:vAlign w:val="center"/>
                </w:tcPr>
                <w:p w14:paraId="537DA037">
                  <w:pPr>
                    <w:adjustRightInd w:val="0"/>
                    <w:snapToGrid w:val="0"/>
                    <w:jc w:val="center"/>
                    <w:rPr>
                      <w:color w:val="auto"/>
                      <w:szCs w:val="21"/>
                    </w:rPr>
                  </w:pPr>
                  <w:r>
                    <w:rPr>
                      <w:color w:val="auto"/>
                      <w:szCs w:val="21"/>
                    </w:rPr>
                    <w:t>本项目不涉及</w:t>
                  </w:r>
                </w:p>
              </w:tc>
              <w:tc>
                <w:tcPr>
                  <w:tcW w:w="562" w:type="pct"/>
                  <w:noWrap w:val="0"/>
                  <w:vAlign w:val="center"/>
                </w:tcPr>
                <w:p w14:paraId="3138B01D">
                  <w:pPr>
                    <w:adjustRightInd w:val="0"/>
                    <w:snapToGrid w:val="0"/>
                    <w:jc w:val="center"/>
                    <w:rPr>
                      <w:color w:val="auto"/>
                      <w:szCs w:val="21"/>
                    </w:rPr>
                  </w:pPr>
                  <w:r>
                    <w:rPr>
                      <w:color w:val="auto"/>
                      <w:szCs w:val="21"/>
                    </w:rPr>
                    <w:t>否</w:t>
                  </w:r>
                </w:p>
              </w:tc>
            </w:tr>
            <w:tr w14:paraId="3216281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557" w:type="pct"/>
                  <w:noWrap w:val="0"/>
                  <w:vAlign w:val="center"/>
                </w:tcPr>
                <w:p w14:paraId="3A09FE4B">
                  <w:pPr>
                    <w:adjustRightInd w:val="0"/>
                    <w:snapToGrid w:val="0"/>
                    <w:jc w:val="center"/>
                    <w:rPr>
                      <w:color w:val="auto"/>
                      <w:szCs w:val="21"/>
                    </w:rPr>
                  </w:pPr>
                  <w:r>
                    <w:rPr>
                      <w:color w:val="auto"/>
                      <w:szCs w:val="21"/>
                    </w:rPr>
                    <w:t>环境风险</w:t>
                  </w:r>
                </w:p>
              </w:tc>
              <w:tc>
                <w:tcPr>
                  <w:tcW w:w="2771" w:type="pct"/>
                  <w:noWrap w:val="0"/>
                  <w:vAlign w:val="center"/>
                </w:tcPr>
                <w:p w14:paraId="395D759D">
                  <w:pPr>
                    <w:adjustRightInd w:val="0"/>
                    <w:snapToGrid w:val="0"/>
                    <w:jc w:val="center"/>
                    <w:rPr>
                      <w:color w:val="auto"/>
                      <w:szCs w:val="21"/>
                    </w:rPr>
                  </w:pPr>
                  <w:r>
                    <w:rPr>
                      <w:color w:val="auto"/>
                      <w:szCs w:val="21"/>
                    </w:rPr>
                    <w:t>有毒有害和易燃易爆危险物质存储量超过临界量</w:t>
                  </w:r>
                  <w:r>
                    <w:rPr>
                      <w:color w:val="auto"/>
                      <w:szCs w:val="21"/>
                      <w:vertAlign w:val="superscript"/>
                    </w:rPr>
                    <w:t>3</w:t>
                  </w:r>
                  <w:r>
                    <w:rPr>
                      <w:color w:val="auto"/>
                      <w:szCs w:val="21"/>
                    </w:rPr>
                    <w:t>的建设项目</w:t>
                  </w:r>
                </w:p>
              </w:tc>
              <w:tc>
                <w:tcPr>
                  <w:tcW w:w="1109" w:type="pct"/>
                  <w:noWrap w:val="0"/>
                  <w:vAlign w:val="center"/>
                </w:tcPr>
                <w:p w14:paraId="4A12F0C2">
                  <w:pPr>
                    <w:adjustRightInd w:val="0"/>
                    <w:snapToGrid w:val="0"/>
                    <w:jc w:val="center"/>
                    <w:rPr>
                      <w:color w:val="auto"/>
                      <w:szCs w:val="21"/>
                    </w:rPr>
                  </w:pPr>
                  <w:r>
                    <w:rPr>
                      <w:color w:val="auto"/>
                      <w:szCs w:val="21"/>
                    </w:rPr>
                    <w:t>本项目风险物质存储量未超过临界量</w:t>
                  </w:r>
                </w:p>
              </w:tc>
              <w:tc>
                <w:tcPr>
                  <w:tcW w:w="562" w:type="pct"/>
                  <w:noWrap w:val="0"/>
                  <w:vAlign w:val="center"/>
                </w:tcPr>
                <w:p w14:paraId="13CFEC73">
                  <w:pPr>
                    <w:adjustRightInd w:val="0"/>
                    <w:snapToGrid w:val="0"/>
                    <w:jc w:val="center"/>
                    <w:rPr>
                      <w:color w:val="auto"/>
                      <w:szCs w:val="21"/>
                    </w:rPr>
                  </w:pPr>
                  <w:r>
                    <w:rPr>
                      <w:color w:val="auto"/>
                      <w:szCs w:val="21"/>
                    </w:rPr>
                    <w:t>否</w:t>
                  </w:r>
                </w:p>
              </w:tc>
            </w:tr>
            <w:tr w14:paraId="53B261E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557" w:type="pct"/>
                  <w:noWrap w:val="0"/>
                  <w:vAlign w:val="center"/>
                </w:tcPr>
                <w:p w14:paraId="5F6016A0">
                  <w:pPr>
                    <w:adjustRightInd w:val="0"/>
                    <w:snapToGrid w:val="0"/>
                    <w:jc w:val="center"/>
                    <w:rPr>
                      <w:color w:val="auto"/>
                      <w:szCs w:val="21"/>
                    </w:rPr>
                  </w:pPr>
                  <w:r>
                    <w:rPr>
                      <w:color w:val="auto"/>
                      <w:szCs w:val="21"/>
                    </w:rPr>
                    <w:t>生态</w:t>
                  </w:r>
                </w:p>
              </w:tc>
              <w:tc>
                <w:tcPr>
                  <w:tcW w:w="2771" w:type="pct"/>
                  <w:noWrap w:val="0"/>
                  <w:vAlign w:val="center"/>
                </w:tcPr>
                <w:p w14:paraId="5C3FBD72">
                  <w:pPr>
                    <w:adjustRightInd w:val="0"/>
                    <w:snapToGrid w:val="0"/>
                    <w:jc w:val="center"/>
                    <w:rPr>
                      <w:color w:val="auto"/>
                      <w:szCs w:val="21"/>
                    </w:rPr>
                  </w:pPr>
                  <w:r>
                    <w:rPr>
                      <w:color w:val="auto"/>
                      <w:szCs w:val="21"/>
                    </w:rPr>
                    <w:t>取水口下游500米范围内有重要水生生物的自然产卵场、索饵场、越冬场和洄游通道的新增河道取水的污染类建设项目</w:t>
                  </w:r>
                </w:p>
              </w:tc>
              <w:tc>
                <w:tcPr>
                  <w:tcW w:w="1109" w:type="pct"/>
                  <w:noWrap w:val="0"/>
                  <w:vAlign w:val="center"/>
                </w:tcPr>
                <w:p w14:paraId="2FD9C958">
                  <w:pPr>
                    <w:adjustRightInd w:val="0"/>
                    <w:snapToGrid w:val="0"/>
                    <w:jc w:val="center"/>
                    <w:rPr>
                      <w:color w:val="auto"/>
                      <w:szCs w:val="21"/>
                    </w:rPr>
                  </w:pPr>
                  <w:r>
                    <w:rPr>
                      <w:color w:val="auto"/>
                      <w:szCs w:val="21"/>
                    </w:rPr>
                    <w:t>本项目不涉及</w:t>
                  </w:r>
                </w:p>
              </w:tc>
              <w:tc>
                <w:tcPr>
                  <w:tcW w:w="562" w:type="pct"/>
                  <w:noWrap w:val="0"/>
                  <w:vAlign w:val="center"/>
                </w:tcPr>
                <w:p w14:paraId="195C4291">
                  <w:pPr>
                    <w:adjustRightInd w:val="0"/>
                    <w:snapToGrid w:val="0"/>
                    <w:jc w:val="center"/>
                    <w:rPr>
                      <w:color w:val="auto"/>
                      <w:szCs w:val="21"/>
                    </w:rPr>
                  </w:pPr>
                  <w:r>
                    <w:rPr>
                      <w:color w:val="auto"/>
                      <w:szCs w:val="21"/>
                    </w:rPr>
                    <w:t>否</w:t>
                  </w:r>
                </w:p>
              </w:tc>
            </w:tr>
            <w:tr w14:paraId="6F8CC3A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557" w:type="pct"/>
                  <w:noWrap w:val="0"/>
                  <w:vAlign w:val="center"/>
                </w:tcPr>
                <w:p w14:paraId="6DA40E9E">
                  <w:pPr>
                    <w:adjustRightInd w:val="0"/>
                    <w:snapToGrid w:val="0"/>
                    <w:jc w:val="center"/>
                    <w:rPr>
                      <w:color w:val="auto"/>
                      <w:szCs w:val="21"/>
                    </w:rPr>
                  </w:pPr>
                  <w:r>
                    <w:rPr>
                      <w:color w:val="auto"/>
                      <w:szCs w:val="21"/>
                    </w:rPr>
                    <w:t>海洋</w:t>
                  </w:r>
                </w:p>
              </w:tc>
              <w:tc>
                <w:tcPr>
                  <w:tcW w:w="2771" w:type="pct"/>
                  <w:noWrap w:val="0"/>
                  <w:vAlign w:val="center"/>
                </w:tcPr>
                <w:p w14:paraId="7AA5B512">
                  <w:pPr>
                    <w:adjustRightInd w:val="0"/>
                    <w:snapToGrid w:val="0"/>
                    <w:jc w:val="center"/>
                    <w:rPr>
                      <w:color w:val="auto"/>
                      <w:szCs w:val="21"/>
                    </w:rPr>
                  </w:pPr>
                  <w:r>
                    <w:rPr>
                      <w:color w:val="auto"/>
                      <w:szCs w:val="21"/>
                    </w:rPr>
                    <w:t>直接向海排放污染物的海洋工程建设项目</w:t>
                  </w:r>
                </w:p>
              </w:tc>
              <w:tc>
                <w:tcPr>
                  <w:tcW w:w="1109" w:type="pct"/>
                  <w:noWrap w:val="0"/>
                  <w:vAlign w:val="center"/>
                </w:tcPr>
                <w:p w14:paraId="26A510F3">
                  <w:pPr>
                    <w:adjustRightInd w:val="0"/>
                    <w:snapToGrid w:val="0"/>
                    <w:jc w:val="center"/>
                    <w:rPr>
                      <w:color w:val="auto"/>
                      <w:szCs w:val="21"/>
                    </w:rPr>
                  </w:pPr>
                  <w:r>
                    <w:rPr>
                      <w:color w:val="auto"/>
                      <w:szCs w:val="21"/>
                    </w:rPr>
                    <w:t>本项目不涉及</w:t>
                  </w:r>
                </w:p>
              </w:tc>
              <w:tc>
                <w:tcPr>
                  <w:tcW w:w="562" w:type="pct"/>
                  <w:noWrap w:val="0"/>
                  <w:vAlign w:val="center"/>
                </w:tcPr>
                <w:p w14:paraId="6BA4E130">
                  <w:pPr>
                    <w:adjustRightInd w:val="0"/>
                    <w:snapToGrid w:val="0"/>
                    <w:jc w:val="center"/>
                    <w:rPr>
                      <w:color w:val="auto"/>
                      <w:szCs w:val="21"/>
                    </w:rPr>
                  </w:pPr>
                  <w:r>
                    <w:rPr>
                      <w:color w:val="auto"/>
                      <w:szCs w:val="21"/>
                    </w:rPr>
                    <w:t>否</w:t>
                  </w:r>
                </w:p>
              </w:tc>
            </w:tr>
          </w:tbl>
          <w:p w14:paraId="20676BCB">
            <w:pPr>
              <w:autoSpaceDE w:val="0"/>
              <w:autoSpaceDN w:val="0"/>
              <w:adjustRightInd w:val="0"/>
              <w:snapToGrid w:val="0"/>
              <w:spacing w:before="120" w:beforeLines="50" w:line="360" w:lineRule="auto"/>
              <w:ind w:firstLine="420" w:firstLineChars="200"/>
              <w:jc w:val="left"/>
              <w:rPr>
                <w:rFonts w:hint="eastAsia"/>
                <w:color w:val="auto"/>
                <w:kern w:val="0"/>
                <w:szCs w:val="21"/>
              </w:rPr>
            </w:pPr>
            <w:r>
              <w:rPr>
                <w:color w:val="auto"/>
                <w:kern w:val="0"/>
                <w:szCs w:val="21"/>
              </w:rPr>
              <w:t>注：1.废气中有毒有害污染物指纳入《有毒有害大气污染物名录》的污染物（不包括无排放标准</w:t>
            </w:r>
            <w:r>
              <w:rPr>
                <w:color w:val="auto"/>
                <w:spacing w:val="-99"/>
                <w:kern w:val="0"/>
                <w:szCs w:val="21"/>
              </w:rPr>
              <w:t xml:space="preserve"> </w:t>
            </w:r>
            <w:r>
              <w:rPr>
                <w:color w:val="auto"/>
                <w:kern w:val="0"/>
                <w:szCs w:val="21"/>
              </w:rPr>
              <w:t>的污染物）</w:t>
            </w:r>
            <w:r>
              <w:rPr>
                <w:bCs/>
                <w:color w:val="auto"/>
                <w:kern w:val="0"/>
                <w:szCs w:val="21"/>
              </w:rPr>
              <w:t>；</w:t>
            </w:r>
            <w:r>
              <w:rPr>
                <w:color w:val="auto"/>
                <w:kern w:val="0"/>
                <w:szCs w:val="21"/>
              </w:rPr>
              <w:t>2.环境空气保护目标指自然保护区、风景名胜区、居住区、文化区和农村地区中人群较集中的区域；</w:t>
            </w:r>
            <w:r>
              <w:rPr>
                <w:color w:val="auto"/>
                <w:spacing w:val="-3"/>
                <w:kern w:val="0"/>
                <w:szCs w:val="21"/>
              </w:rPr>
              <w:t>3.临界量及其计算方法可参考《建设项目环境风险评价技术导则》（HJ</w:t>
            </w:r>
            <w:r>
              <w:rPr>
                <w:color w:val="auto"/>
                <w:spacing w:val="-5"/>
                <w:kern w:val="0"/>
                <w:szCs w:val="21"/>
              </w:rPr>
              <w:t>169）附录</w:t>
            </w:r>
            <w:r>
              <w:rPr>
                <w:color w:val="auto"/>
                <w:spacing w:val="-7"/>
                <w:kern w:val="0"/>
                <w:szCs w:val="21"/>
              </w:rPr>
              <w:t>B、附录</w:t>
            </w:r>
            <w:r>
              <w:rPr>
                <w:color w:val="auto"/>
                <w:kern w:val="0"/>
                <w:szCs w:val="21"/>
              </w:rPr>
              <w:t>C</w:t>
            </w:r>
            <w:r>
              <w:rPr>
                <w:rFonts w:hint="eastAsia"/>
                <w:color w:val="auto"/>
                <w:kern w:val="0"/>
                <w:szCs w:val="21"/>
              </w:rPr>
              <w:t>。</w:t>
            </w:r>
          </w:p>
        </w:tc>
      </w:tr>
      <w:tr w14:paraId="6FA42DC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021" w:hRule="atLeast"/>
          <w:jc w:val="center"/>
        </w:trPr>
        <w:tc>
          <w:tcPr>
            <w:tcW w:w="654" w:type="dxa"/>
            <w:noWrap w:val="0"/>
            <w:vAlign w:val="center"/>
          </w:tcPr>
          <w:p w14:paraId="6908CA32">
            <w:pPr>
              <w:autoSpaceDE w:val="0"/>
              <w:autoSpaceDN w:val="0"/>
              <w:adjustRightInd w:val="0"/>
              <w:snapToGrid w:val="0"/>
              <w:jc w:val="center"/>
              <w:rPr>
                <w:color w:val="auto"/>
                <w:kern w:val="0"/>
                <w:szCs w:val="21"/>
              </w:rPr>
            </w:pPr>
            <w:r>
              <w:rPr>
                <w:color w:val="auto"/>
                <w:szCs w:val="21"/>
              </w:rPr>
              <w:t>规划情况</w:t>
            </w:r>
          </w:p>
        </w:tc>
        <w:tc>
          <w:tcPr>
            <w:tcW w:w="8214" w:type="dxa"/>
            <w:gridSpan w:val="4"/>
            <w:noWrap w:val="0"/>
            <w:vAlign w:val="center"/>
          </w:tcPr>
          <w:p w14:paraId="4849FD8A">
            <w:pPr>
              <w:pStyle w:val="2"/>
              <w:spacing w:after="0" w:line="360" w:lineRule="auto"/>
              <w:rPr>
                <w:rFonts w:hint="eastAsia"/>
                <w:color w:val="auto"/>
              </w:rPr>
            </w:pPr>
            <w:r>
              <w:rPr>
                <w:rFonts w:hint="eastAsia"/>
                <w:color w:val="auto"/>
              </w:rPr>
              <w:t>产业园区规划名称：《常州市金坛区金沙老城控制性详细规划（修改）》</w:t>
            </w:r>
          </w:p>
          <w:p w14:paraId="2D1B38F5">
            <w:pPr>
              <w:pStyle w:val="2"/>
              <w:spacing w:after="0" w:line="360" w:lineRule="auto"/>
              <w:rPr>
                <w:rFonts w:hint="eastAsia"/>
                <w:color w:val="auto"/>
              </w:rPr>
            </w:pPr>
            <w:r>
              <w:rPr>
                <w:rFonts w:hint="eastAsia"/>
                <w:color w:val="auto"/>
              </w:rPr>
              <w:t>审批机关：常州市金坛区人民政府</w:t>
            </w:r>
          </w:p>
          <w:p w14:paraId="2FBA30DD">
            <w:pPr>
              <w:pStyle w:val="2"/>
              <w:spacing w:after="0" w:line="360" w:lineRule="auto"/>
              <w:rPr>
                <w:color w:val="auto"/>
              </w:rPr>
            </w:pPr>
            <w:r>
              <w:rPr>
                <w:rFonts w:hint="eastAsia"/>
                <w:color w:val="auto"/>
              </w:rPr>
              <w:t>审批文件名称及文号：《常州市金坛区人民政府关于同意常州市金坛区金沙老城控制性详细规划（修改）的批复》（坛政复[2021]166号）</w:t>
            </w:r>
          </w:p>
        </w:tc>
      </w:tr>
      <w:tr w14:paraId="1C850A9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021" w:hRule="atLeast"/>
          <w:jc w:val="center"/>
        </w:trPr>
        <w:tc>
          <w:tcPr>
            <w:tcW w:w="654" w:type="dxa"/>
            <w:noWrap w:val="0"/>
            <w:vAlign w:val="center"/>
          </w:tcPr>
          <w:p w14:paraId="03397EC9">
            <w:pPr>
              <w:adjustRightInd w:val="0"/>
              <w:snapToGrid w:val="0"/>
              <w:jc w:val="center"/>
              <w:rPr>
                <w:color w:val="auto"/>
                <w:szCs w:val="21"/>
              </w:rPr>
            </w:pPr>
            <w:r>
              <w:rPr>
                <w:color w:val="auto"/>
                <w:szCs w:val="21"/>
              </w:rPr>
              <w:t>规划环境影响</w:t>
            </w:r>
          </w:p>
          <w:p w14:paraId="301034FF">
            <w:pPr>
              <w:adjustRightInd w:val="0"/>
              <w:snapToGrid w:val="0"/>
              <w:jc w:val="center"/>
              <w:rPr>
                <w:color w:val="auto"/>
                <w:kern w:val="0"/>
                <w:szCs w:val="21"/>
              </w:rPr>
            </w:pPr>
            <w:r>
              <w:rPr>
                <w:color w:val="auto"/>
                <w:szCs w:val="21"/>
              </w:rPr>
              <w:t>评价情况</w:t>
            </w:r>
          </w:p>
        </w:tc>
        <w:tc>
          <w:tcPr>
            <w:tcW w:w="8214" w:type="dxa"/>
            <w:gridSpan w:val="4"/>
            <w:noWrap w:val="0"/>
            <w:vAlign w:val="center"/>
          </w:tcPr>
          <w:p w14:paraId="2C81AA1E">
            <w:pPr>
              <w:autoSpaceDE w:val="0"/>
              <w:autoSpaceDN w:val="0"/>
              <w:adjustRightInd w:val="0"/>
              <w:snapToGrid w:val="0"/>
              <w:spacing w:line="360" w:lineRule="auto"/>
              <w:rPr>
                <w:rFonts w:hint="eastAsia" w:eastAsia="宋体"/>
                <w:color w:val="auto"/>
                <w:lang w:eastAsia="zh-CN"/>
              </w:rPr>
            </w:pPr>
            <w:r>
              <w:rPr>
                <w:rFonts w:hint="eastAsia" w:cs="Times New Roman"/>
                <w:color w:val="auto"/>
                <w:szCs w:val="21"/>
                <w:lang w:val="en-US" w:eastAsia="zh-CN"/>
              </w:rPr>
              <w:t>无</w:t>
            </w:r>
          </w:p>
        </w:tc>
      </w:tr>
      <w:tr w14:paraId="007440F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654" w:type="dxa"/>
            <w:noWrap w:val="0"/>
            <w:vAlign w:val="center"/>
          </w:tcPr>
          <w:p w14:paraId="782E7752">
            <w:pPr>
              <w:autoSpaceDE w:val="0"/>
              <w:autoSpaceDN w:val="0"/>
              <w:adjustRightInd w:val="0"/>
              <w:snapToGrid w:val="0"/>
              <w:jc w:val="center"/>
              <w:rPr>
                <w:color w:val="auto"/>
                <w:kern w:val="0"/>
                <w:szCs w:val="21"/>
              </w:rPr>
            </w:pPr>
            <w:r>
              <w:rPr>
                <w:color w:val="auto"/>
                <w:kern w:val="0"/>
                <w:szCs w:val="21"/>
              </w:rPr>
              <w:t>规划及规划环境影响评价符合性分析</w:t>
            </w:r>
          </w:p>
        </w:tc>
        <w:tc>
          <w:tcPr>
            <w:tcW w:w="8214" w:type="dxa"/>
            <w:gridSpan w:val="4"/>
            <w:noWrap w:val="0"/>
            <w:vAlign w:val="center"/>
          </w:tcPr>
          <w:p w14:paraId="0947F443">
            <w:pPr>
              <w:keepNext w:val="0"/>
              <w:keepLines w:val="0"/>
              <w:pageBreakBefore w:val="0"/>
              <w:widowControl w:val="0"/>
              <w:tabs>
                <w:tab w:val="left" w:pos="4410"/>
              </w:tabs>
              <w:kinsoku/>
              <w:wordWrap/>
              <w:overflowPunct/>
              <w:topLinePunct w:val="0"/>
              <w:autoSpaceDE/>
              <w:autoSpaceDN/>
              <w:bidi w:val="0"/>
              <w:adjustRightInd w:val="0"/>
              <w:snapToGrid w:val="0"/>
              <w:spacing w:before="157" w:beforeLines="50" w:line="360" w:lineRule="auto"/>
              <w:ind w:firstLine="422" w:firstLineChars="200"/>
              <w:textAlignment w:val="auto"/>
              <w:rPr>
                <w:rFonts w:hint="default"/>
                <w:b/>
                <w:bCs/>
                <w:color w:val="auto"/>
                <w:szCs w:val="21"/>
              </w:rPr>
            </w:pPr>
            <w:r>
              <w:rPr>
                <w:rFonts w:hint="default"/>
                <w:b/>
                <w:bCs/>
                <w:color w:val="auto"/>
                <w:szCs w:val="21"/>
                <w:lang w:val="en-US" w:eastAsia="zh-CN"/>
              </w:rPr>
              <w:t>一、</w:t>
            </w:r>
            <w:r>
              <w:rPr>
                <w:rFonts w:hint="default"/>
                <w:b/>
                <w:bCs/>
                <w:color w:val="auto"/>
                <w:szCs w:val="21"/>
              </w:rPr>
              <w:t>规划相符性分析</w:t>
            </w:r>
          </w:p>
          <w:p w14:paraId="6B48AC94">
            <w:pPr>
              <w:keepNext w:val="0"/>
              <w:keepLines w:val="0"/>
              <w:pageBreakBefore w:val="0"/>
              <w:widowControl w:val="0"/>
              <w:tabs>
                <w:tab w:val="left" w:pos="4410"/>
              </w:tabs>
              <w:kinsoku/>
              <w:wordWrap/>
              <w:overflowPunct/>
              <w:topLinePunct w:val="0"/>
              <w:autoSpaceDE/>
              <w:autoSpaceDN/>
              <w:bidi w:val="0"/>
              <w:adjustRightInd w:val="0"/>
              <w:snapToGrid w:val="0"/>
              <w:spacing w:line="360" w:lineRule="auto"/>
              <w:ind w:firstLine="420" w:firstLineChars="200"/>
              <w:textAlignment w:val="auto"/>
              <w:rPr>
                <w:rFonts w:hint="default"/>
                <w:color w:val="auto"/>
                <w:szCs w:val="21"/>
              </w:rPr>
            </w:pPr>
            <w:r>
              <w:rPr>
                <w:rFonts w:hint="eastAsia"/>
                <w:color w:val="auto"/>
                <w:szCs w:val="21"/>
                <w:lang w:val="en-US" w:eastAsia="zh-CN"/>
              </w:rPr>
              <w:t>根据</w:t>
            </w:r>
            <w:r>
              <w:rPr>
                <w:rFonts w:hint="default"/>
                <w:color w:val="auto"/>
                <w:szCs w:val="21"/>
              </w:rPr>
              <w:t>《常州市金坛区金沙老城控制性详细规划</w:t>
            </w:r>
            <w:r>
              <w:rPr>
                <w:rFonts w:hint="eastAsia"/>
                <w:color w:val="auto"/>
                <w:szCs w:val="21"/>
                <w:lang w:eastAsia="zh-CN"/>
              </w:rPr>
              <w:t>（</w:t>
            </w:r>
            <w:r>
              <w:rPr>
                <w:rFonts w:hint="default"/>
                <w:color w:val="auto"/>
                <w:szCs w:val="21"/>
              </w:rPr>
              <w:t>修改</w:t>
            </w:r>
            <w:r>
              <w:rPr>
                <w:rFonts w:hint="eastAsia"/>
                <w:color w:val="auto"/>
                <w:szCs w:val="21"/>
                <w:lang w:eastAsia="zh-CN"/>
              </w:rPr>
              <w:t>）</w:t>
            </w:r>
            <w:r>
              <w:rPr>
                <w:rFonts w:hint="default"/>
                <w:color w:val="auto"/>
                <w:szCs w:val="21"/>
              </w:rPr>
              <w:t>》</w:t>
            </w:r>
            <w:r>
              <w:rPr>
                <w:rFonts w:hint="eastAsia"/>
                <w:color w:val="auto"/>
                <w:szCs w:val="21"/>
                <w:lang w:val="en-US" w:eastAsia="zh-CN"/>
              </w:rPr>
              <w:t>可知，</w:t>
            </w:r>
            <w:r>
              <w:rPr>
                <w:rFonts w:hint="default"/>
                <w:color w:val="auto"/>
                <w:szCs w:val="21"/>
              </w:rPr>
              <w:t>常州市金坛区金沙老城规划具体范围</w:t>
            </w:r>
            <w:r>
              <w:rPr>
                <w:rFonts w:hint="eastAsia"/>
                <w:color w:val="auto"/>
                <w:szCs w:val="21"/>
                <w:lang w:eastAsia="zh-CN"/>
              </w:rPr>
              <w:t>：</w:t>
            </w:r>
            <w:r>
              <w:rPr>
                <w:rFonts w:hint="eastAsia"/>
                <w:color w:val="auto"/>
                <w:szCs w:val="21"/>
                <w:lang w:val="en-US" w:eastAsia="zh-CN"/>
              </w:rPr>
              <w:t>东至240省道、南至鑫城大道、西至新丹金溧漕河、北至340省道，规划面积25.6平方公里，本项目位于常州市金坛区经济开发区东湖路28号</w:t>
            </w:r>
            <w:r>
              <w:rPr>
                <w:rFonts w:hint="eastAsia"/>
                <w:color w:val="auto"/>
                <w:szCs w:val="21"/>
                <w:lang w:eastAsia="zh-CN"/>
              </w:rPr>
              <w:t>，</w:t>
            </w:r>
            <w:r>
              <w:rPr>
                <w:rFonts w:hint="eastAsia"/>
                <w:color w:val="auto"/>
                <w:szCs w:val="21"/>
                <w:lang w:val="en-US" w:eastAsia="zh-CN"/>
              </w:rPr>
              <w:t>属于</w:t>
            </w:r>
            <w:r>
              <w:rPr>
                <w:rFonts w:hint="default"/>
                <w:color w:val="auto"/>
                <w:szCs w:val="21"/>
              </w:rPr>
              <w:t>常州市金坛区金沙老城</w:t>
            </w:r>
            <w:r>
              <w:rPr>
                <w:rFonts w:hint="eastAsia"/>
                <w:color w:val="auto"/>
                <w:szCs w:val="21"/>
                <w:lang w:val="en-US" w:eastAsia="zh-CN"/>
              </w:rPr>
              <w:t>规划范围内，该地块属于工业用地</w:t>
            </w:r>
            <w:r>
              <w:rPr>
                <w:rFonts w:hint="eastAsia"/>
                <w:color w:val="auto"/>
                <w:szCs w:val="21"/>
                <w:lang w:eastAsia="zh-CN"/>
              </w:rPr>
              <w:t>，因此选址符合区域总体规划</w:t>
            </w:r>
            <w:r>
              <w:rPr>
                <w:rFonts w:hint="default"/>
                <w:color w:val="auto"/>
                <w:szCs w:val="21"/>
              </w:rPr>
              <w:t>。</w:t>
            </w:r>
          </w:p>
          <w:p w14:paraId="6709B003">
            <w:pPr>
              <w:keepNext w:val="0"/>
              <w:keepLines w:val="0"/>
              <w:pageBreakBefore w:val="0"/>
              <w:widowControl w:val="0"/>
              <w:tabs>
                <w:tab w:val="left" w:pos="4410"/>
              </w:tabs>
              <w:kinsoku/>
              <w:wordWrap/>
              <w:overflowPunct/>
              <w:topLinePunct w:val="0"/>
              <w:autoSpaceDE/>
              <w:autoSpaceDN/>
              <w:bidi w:val="0"/>
              <w:adjustRightInd w:val="0"/>
              <w:snapToGrid w:val="0"/>
              <w:spacing w:line="360" w:lineRule="auto"/>
              <w:ind w:firstLine="422" w:firstLineChars="200"/>
              <w:textAlignment w:val="auto"/>
              <w:rPr>
                <w:rFonts w:hint="default"/>
                <w:b/>
                <w:bCs/>
                <w:color w:val="auto"/>
                <w:szCs w:val="21"/>
              </w:rPr>
            </w:pPr>
            <w:r>
              <w:rPr>
                <w:rFonts w:hint="default"/>
                <w:b/>
                <w:bCs/>
                <w:color w:val="auto"/>
                <w:szCs w:val="21"/>
                <w:lang w:val="en-US" w:eastAsia="zh-CN"/>
              </w:rPr>
              <w:t>二、</w:t>
            </w:r>
            <w:r>
              <w:rPr>
                <w:rFonts w:hint="default"/>
                <w:b/>
                <w:bCs/>
                <w:color w:val="auto"/>
                <w:szCs w:val="21"/>
              </w:rPr>
              <w:t>与规划环评相符性分析：</w:t>
            </w:r>
          </w:p>
          <w:p w14:paraId="70341445">
            <w:pPr>
              <w:keepNext w:val="0"/>
              <w:keepLines w:val="0"/>
              <w:pageBreakBefore w:val="0"/>
              <w:widowControl w:val="0"/>
              <w:tabs>
                <w:tab w:val="left" w:pos="4410"/>
              </w:tabs>
              <w:kinsoku/>
              <w:wordWrap/>
              <w:overflowPunct/>
              <w:topLinePunct w:val="0"/>
              <w:autoSpaceDE/>
              <w:autoSpaceDN/>
              <w:bidi w:val="0"/>
              <w:adjustRightInd w:val="0"/>
              <w:snapToGrid w:val="0"/>
              <w:spacing w:line="360" w:lineRule="auto"/>
              <w:ind w:firstLine="420" w:firstLineChars="200"/>
              <w:textAlignment w:val="auto"/>
              <w:rPr>
                <w:color w:val="auto"/>
                <w:kern w:val="0"/>
                <w:szCs w:val="21"/>
              </w:rPr>
            </w:pPr>
            <w:r>
              <w:rPr>
                <w:rFonts w:hint="eastAsia"/>
                <w:color w:val="auto"/>
                <w:szCs w:val="21"/>
                <w:lang w:val="en-US" w:eastAsia="zh-CN"/>
              </w:rPr>
              <w:t>无</w:t>
            </w:r>
            <w:r>
              <w:rPr>
                <w:rFonts w:hint="default"/>
                <w:color w:val="auto"/>
                <w:szCs w:val="21"/>
                <w:lang w:eastAsia="zh-CN"/>
              </w:rPr>
              <w:t>。</w:t>
            </w:r>
          </w:p>
        </w:tc>
      </w:tr>
      <w:tr w14:paraId="6C53538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654" w:type="dxa"/>
            <w:noWrap w:val="0"/>
            <w:vAlign w:val="center"/>
          </w:tcPr>
          <w:p w14:paraId="71518789">
            <w:pPr>
              <w:autoSpaceDE w:val="0"/>
              <w:autoSpaceDN w:val="0"/>
              <w:adjustRightInd w:val="0"/>
              <w:snapToGrid w:val="0"/>
              <w:jc w:val="center"/>
              <w:rPr>
                <w:color w:val="auto"/>
                <w:kern w:val="0"/>
                <w:szCs w:val="21"/>
              </w:rPr>
            </w:pPr>
            <w:r>
              <w:rPr>
                <w:color w:val="auto"/>
                <w:kern w:val="0"/>
                <w:szCs w:val="21"/>
              </w:rPr>
              <w:t>其他符合性分析</w:t>
            </w:r>
          </w:p>
        </w:tc>
        <w:tc>
          <w:tcPr>
            <w:tcW w:w="8214" w:type="dxa"/>
            <w:gridSpan w:val="4"/>
            <w:noWrap w:val="0"/>
            <w:vAlign w:val="center"/>
          </w:tcPr>
          <w:p w14:paraId="42029FAF">
            <w:pPr>
              <w:keepNext w:val="0"/>
              <w:keepLines w:val="0"/>
              <w:pageBreakBefore w:val="0"/>
              <w:widowControl w:val="0"/>
              <w:kinsoku/>
              <w:wordWrap/>
              <w:overflowPunct/>
              <w:topLinePunct w:val="0"/>
              <w:bidi w:val="0"/>
              <w:adjustRightInd w:val="0"/>
              <w:snapToGrid w:val="0"/>
              <w:spacing w:before="120" w:beforeLines="50" w:line="360" w:lineRule="auto"/>
              <w:ind w:left="420" w:leftChars="200"/>
              <w:textAlignment w:val="auto"/>
              <w:rPr>
                <w:color w:val="auto"/>
                <w:szCs w:val="21"/>
              </w:rPr>
            </w:pPr>
            <w:r>
              <w:rPr>
                <w:rFonts w:hint="eastAsia"/>
                <w:b/>
                <w:bCs/>
                <w:color w:val="auto"/>
                <w:szCs w:val="21"/>
              </w:rPr>
              <w:t>一、</w:t>
            </w:r>
            <w:r>
              <w:rPr>
                <w:b/>
                <w:bCs/>
                <w:color w:val="auto"/>
                <w:szCs w:val="21"/>
              </w:rPr>
              <w:t>产业政策相符性</w:t>
            </w:r>
          </w:p>
          <w:p w14:paraId="6B2966EE">
            <w:pPr>
              <w:keepNext w:val="0"/>
              <w:keepLines w:val="0"/>
              <w:pageBreakBefore w:val="0"/>
              <w:widowControl w:val="0"/>
              <w:kinsoku/>
              <w:wordWrap/>
              <w:overflowPunct/>
              <w:topLinePunct w:val="0"/>
              <w:autoSpaceDE w:val="0"/>
              <w:autoSpaceDN w:val="0"/>
              <w:bidi w:val="0"/>
              <w:adjustRightInd w:val="0"/>
              <w:snapToGrid w:val="0"/>
              <w:spacing w:line="360" w:lineRule="auto"/>
              <w:ind w:firstLine="420" w:firstLineChars="200"/>
              <w:jc w:val="left"/>
              <w:textAlignment w:val="auto"/>
              <w:rPr>
                <w:color w:val="auto"/>
                <w:kern w:val="0"/>
                <w:szCs w:val="21"/>
              </w:rPr>
            </w:pPr>
            <w:r>
              <w:rPr>
                <w:color w:val="auto"/>
                <w:kern w:val="0"/>
                <w:szCs w:val="21"/>
              </w:rPr>
              <w:t>本项目与产业政策相符性具体见下表。</w:t>
            </w:r>
          </w:p>
          <w:p w14:paraId="417475EE">
            <w:pPr>
              <w:keepNext w:val="0"/>
              <w:keepLines w:val="0"/>
              <w:pageBreakBefore w:val="0"/>
              <w:widowControl w:val="0"/>
              <w:kinsoku/>
              <w:wordWrap/>
              <w:overflowPunct/>
              <w:topLinePunct w:val="0"/>
              <w:autoSpaceDE/>
              <w:autoSpaceDN/>
              <w:bidi w:val="0"/>
              <w:adjustRightInd w:val="0"/>
              <w:snapToGrid w:val="0"/>
              <w:jc w:val="center"/>
              <w:textAlignment w:val="auto"/>
              <w:rPr>
                <w:b/>
                <w:color w:val="auto"/>
                <w:szCs w:val="21"/>
              </w:rPr>
            </w:pPr>
            <w:r>
              <w:rPr>
                <w:b/>
                <w:color w:val="auto"/>
                <w:szCs w:val="21"/>
              </w:rPr>
              <w:t>表1-</w:t>
            </w:r>
            <w:r>
              <w:rPr>
                <w:rFonts w:hint="eastAsia"/>
                <w:b/>
                <w:color w:val="auto"/>
                <w:szCs w:val="21"/>
                <w:lang w:val="en-US" w:eastAsia="zh-CN"/>
              </w:rPr>
              <w:t>2</w:t>
            </w:r>
            <w:r>
              <w:rPr>
                <w:b/>
                <w:color w:val="auto"/>
                <w:szCs w:val="21"/>
              </w:rPr>
              <w:t xml:space="preserve"> 产业政策相符性判定分析</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17" w:type="dxa"/>
                <w:left w:w="28" w:type="dxa"/>
                <w:bottom w:w="17" w:type="dxa"/>
                <w:right w:w="28" w:type="dxa"/>
              </w:tblCellMar>
            </w:tblPr>
            <w:tblGrid>
              <w:gridCol w:w="943"/>
              <w:gridCol w:w="6317"/>
              <w:gridCol w:w="738"/>
            </w:tblGrid>
            <w:tr w14:paraId="71B063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7" w:type="dxa"/>
                  <w:left w:w="28" w:type="dxa"/>
                  <w:bottom w:w="17" w:type="dxa"/>
                  <w:right w:w="28" w:type="dxa"/>
                </w:tblCellMar>
              </w:tblPrEx>
              <w:trPr>
                <w:trHeight w:val="20" w:hRule="atLeast"/>
                <w:tblHeader/>
                <w:jc w:val="center"/>
              </w:trPr>
              <w:tc>
                <w:tcPr>
                  <w:tcW w:w="590" w:type="pct"/>
                  <w:noWrap w:val="0"/>
                  <w:vAlign w:val="center"/>
                </w:tcPr>
                <w:p w14:paraId="53A9FAEF">
                  <w:pPr>
                    <w:jc w:val="center"/>
                    <w:rPr>
                      <w:b/>
                      <w:color w:val="auto"/>
                      <w:szCs w:val="21"/>
                    </w:rPr>
                  </w:pPr>
                  <w:r>
                    <w:rPr>
                      <w:b/>
                      <w:color w:val="auto"/>
                      <w:szCs w:val="21"/>
                    </w:rPr>
                    <w:t>判断类型</w:t>
                  </w:r>
                </w:p>
              </w:tc>
              <w:tc>
                <w:tcPr>
                  <w:tcW w:w="3948" w:type="pct"/>
                  <w:noWrap w:val="0"/>
                  <w:vAlign w:val="center"/>
                </w:tcPr>
                <w:p w14:paraId="29D2DBC5">
                  <w:pPr>
                    <w:jc w:val="center"/>
                    <w:rPr>
                      <w:b/>
                      <w:color w:val="auto"/>
                      <w:szCs w:val="21"/>
                    </w:rPr>
                  </w:pPr>
                  <w:r>
                    <w:rPr>
                      <w:b/>
                      <w:color w:val="auto"/>
                      <w:szCs w:val="21"/>
                    </w:rPr>
                    <w:t>对照分析</w:t>
                  </w:r>
                </w:p>
              </w:tc>
              <w:tc>
                <w:tcPr>
                  <w:tcW w:w="461" w:type="pct"/>
                  <w:noWrap w:val="0"/>
                  <w:vAlign w:val="center"/>
                </w:tcPr>
                <w:p w14:paraId="277182E0">
                  <w:pPr>
                    <w:jc w:val="center"/>
                    <w:rPr>
                      <w:rFonts w:hint="eastAsia"/>
                      <w:b/>
                      <w:color w:val="auto"/>
                      <w:szCs w:val="21"/>
                    </w:rPr>
                  </w:pPr>
                  <w:r>
                    <w:rPr>
                      <w:rFonts w:hint="eastAsia"/>
                      <w:b/>
                      <w:color w:val="auto"/>
                      <w:szCs w:val="21"/>
                    </w:rPr>
                    <w:t>相符性</w:t>
                  </w:r>
                </w:p>
              </w:tc>
            </w:tr>
            <w:tr w14:paraId="53FAA2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7" w:type="dxa"/>
                  <w:left w:w="28" w:type="dxa"/>
                  <w:bottom w:w="17" w:type="dxa"/>
                  <w:right w:w="28" w:type="dxa"/>
                </w:tblCellMar>
              </w:tblPrEx>
              <w:trPr>
                <w:trHeight w:val="277" w:hRule="atLeast"/>
                <w:jc w:val="center"/>
              </w:trPr>
              <w:tc>
                <w:tcPr>
                  <w:tcW w:w="590" w:type="pct"/>
                  <w:vMerge w:val="restart"/>
                  <w:noWrap w:val="0"/>
                  <w:vAlign w:val="center"/>
                </w:tcPr>
                <w:p w14:paraId="7CAE87F7">
                  <w:pPr>
                    <w:jc w:val="center"/>
                    <w:rPr>
                      <w:color w:val="auto"/>
                      <w:szCs w:val="21"/>
                    </w:rPr>
                  </w:pPr>
                  <w:r>
                    <w:rPr>
                      <w:color w:val="auto"/>
                      <w:szCs w:val="21"/>
                    </w:rPr>
                    <w:t>产业政策</w:t>
                  </w:r>
                </w:p>
              </w:tc>
              <w:tc>
                <w:tcPr>
                  <w:tcW w:w="3948" w:type="pct"/>
                  <w:noWrap w:val="0"/>
                  <w:vAlign w:val="top"/>
                </w:tcPr>
                <w:p w14:paraId="3BB50473">
                  <w:pPr>
                    <w:pStyle w:val="69"/>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本项目从</w:t>
                  </w:r>
                  <w:r>
                    <w:rPr>
                      <w:rFonts w:hint="eastAsia" w:ascii="Times New Roman" w:hAnsi="Times New Roman" w:eastAsia="宋体" w:cs="Times New Roman"/>
                      <w:color w:val="auto"/>
                      <w:sz w:val="21"/>
                      <w:szCs w:val="21"/>
                      <w:lang w:eastAsia="zh-CN"/>
                    </w:rPr>
                    <w:t>热塑性弹性体颗</w:t>
                  </w:r>
                  <w:r>
                    <w:rPr>
                      <w:rFonts w:hint="eastAsia" w:ascii="Times New Roman" w:hAnsi="Times New Roman" w:eastAsia="宋体" w:cs="Times New Roman"/>
                      <w:color w:val="auto"/>
                      <w:lang w:eastAsia="zh-CN"/>
                    </w:rPr>
                    <w:t>粒</w:t>
                  </w:r>
                  <w:r>
                    <w:rPr>
                      <w:rFonts w:hint="eastAsia" w:ascii="Times New Roman" w:hAnsi="Times New Roman" w:eastAsia="宋体" w:cs="Times New Roman"/>
                      <w:color w:val="auto"/>
                      <w:sz w:val="21"/>
                      <w:szCs w:val="21"/>
                      <w:lang w:eastAsia="zh-CN"/>
                    </w:rPr>
                    <w:t>、汽车密封件</w:t>
                  </w:r>
                  <w:r>
                    <w:rPr>
                      <w:rFonts w:ascii="Times New Roman" w:hAnsi="Times New Roman" w:eastAsia="宋体" w:cs="Times New Roman"/>
                      <w:color w:val="auto"/>
                      <w:sz w:val="21"/>
                      <w:szCs w:val="21"/>
                    </w:rPr>
                    <w:t>的生产，采用的生产工艺、设备等均不属于国家发改委《产业结构调整指导目录（</w:t>
                  </w:r>
                  <w:r>
                    <w:rPr>
                      <w:rFonts w:hint="eastAsia" w:ascii="Times New Roman" w:hAnsi="Times New Roman" w:eastAsia="宋体" w:cs="Times New Roman"/>
                      <w:color w:val="auto"/>
                      <w:sz w:val="21"/>
                      <w:szCs w:val="21"/>
                    </w:rPr>
                    <w:t>2024年本</w:t>
                  </w:r>
                  <w:r>
                    <w:rPr>
                      <w:rFonts w:ascii="Times New Roman" w:hAnsi="Times New Roman" w:eastAsia="宋体" w:cs="Times New Roman"/>
                      <w:color w:val="auto"/>
                      <w:sz w:val="21"/>
                      <w:szCs w:val="21"/>
                    </w:rPr>
                    <w:t>）》中限制类和淘汰类项目。</w:t>
                  </w:r>
                </w:p>
              </w:tc>
              <w:tc>
                <w:tcPr>
                  <w:tcW w:w="461" w:type="pct"/>
                  <w:noWrap w:val="0"/>
                  <w:vAlign w:val="center"/>
                </w:tcPr>
                <w:p w14:paraId="190AF6EB">
                  <w:pPr>
                    <w:jc w:val="center"/>
                    <w:rPr>
                      <w:color w:val="auto"/>
                      <w:kern w:val="0"/>
                      <w:szCs w:val="21"/>
                    </w:rPr>
                  </w:pPr>
                  <w:r>
                    <w:rPr>
                      <w:color w:val="auto"/>
                      <w:szCs w:val="21"/>
                    </w:rPr>
                    <w:t>相符</w:t>
                  </w:r>
                </w:p>
              </w:tc>
            </w:tr>
            <w:tr w14:paraId="7215AD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7" w:type="dxa"/>
                  <w:left w:w="28" w:type="dxa"/>
                  <w:bottom w:w="17" w:type="dxa"/>
                  <w:right w:w="28" w:type="dxa"/>
                </w:tblCellMar>
              </w:tblPrEx>
              <w:trPr>
                <w:trHeight w:val="277" w:hRule="atLeast"/>
                <w:jc w:val="center"/>
              </w:trPr>
              <w:tc>
                <w:tcPr>
                  <w:tcW w:w="590" w:type="pct"/>
                  <w:vMerge w:val="continue"/>
                  <w:noWrap w:val="0"/>
                  <w:vAlign w:val="center"/>
                </w:tcPr>
                <w:p w14:paraId="688BEA14">
                  <w:pPr>
                    <w:jc w:val="center"/>
                    <w:rPr>
                      <w:color w:val="auto"/>
                      <w:szCs w:val="21"/>
                    </w:rPr>
                  </w:pPr>
                </w:p>
              </w:tc>
              <w:tc>
                <w:tcPr>
                  <w:tcW w:w="3948" w:type="pct"/>
                  <w:noWrap w:val="0"/>
                  <w:vAlign w:val="top"/>
                </w:tcPr>
                <w:p w14:paraId="660C593F">
                  <w:pPr>
                    <w:pStyle w:val="69"/>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本项目从事</w:t>
                  </w:r>
                  <w:r>
                    <w:rPr>
                      <w:rFonts w:hint="eastAsia" w:ascii="Times New Roman" w:hAnsi="Times New Roman" w:eastAsia="宋体" w:cs="Times New Roman"/>
                      <w:color w:val="auto"/>
                      <w:sz w:val="21"/>
                      <w:szCs w:val="21"/>
                      <w:lang w:eastAsia="zh-CN"/>
                    </w:rPr>
                    <w:t>热塑性弹性体颗</w:t>
                  </w:r>
                  <w:r>
                    <w:rPr>
                      <w:rFonts w:hint="eastAsia" w:ascii="Times New Roman" w:hAnsi="Times New Roman" w:eastAsia="宋体" w:cs="Times New Roman"/>
                      <w:color w:val="auto"/>
                      <w:lang w:eastAsia="zh-CN"/>
                    </w:rPr>
                    <w:t>粒</w:t>
                  </w:r>
                  <w:r>
                    <w:rPr>
                      <w:rFonts w:hint="eastAsia" w:ascii="Times New Roman" w:hAnsi="Times New Roman" w:eastAsia="宋体" w:cs="Times New Roman"/>
                      <w:color w:val="auto"/>
                      <w:sz w:val="21"/>
                      <w:szCs w:val="21"/>
                      <w:lang w:eastAsia="zh-CN"/>
                    </w:rPr>
                    <w:t>、汽车密封件</w:t>
                  </w:r>
                  <w:r>
                    <w:rPr>
                      <w:rFonts w:ascii="Times New Roman" w:hAnsi="Times New Roman" w:eastAsia="宋体" w:cs="Times New Roman"/>
                      <w:color w:val="auto"/>
                      <w:sz w:val="21"/>
                      <w:szCs w:val="21"/>
                    </w:rPr>
                    <w:t>的生产，采用的生产工艺、设备等均不属于《江苏省产业结构调整限制、淘汰和禁止目录（2018年本）》中限制类</w:t>
                  </w:r>
                  <w:r>
                    <w:rPr>
                      <w:rFonts w:hint="eastAsia" w:ascii="Times New Roman" w:hAnsi="Times New Roman" w:eastAsia="宋体" w:cs="Times New Roman"/>
                      <w:color w:val="auto"/>
                      <w:sz w:val="21"/>
                      <w:szCs w:val="21"/>
                      <w:lang w:eastAsia="zh-CN"/>
                    </w:rPr>
                    <w:t>、</w:t>
                  </w:r>
                  <w:r>
                    <w:rPr>
                      <w:rFonts w:ascii="Times New Roman" w:hAnsi="Times New Roman" w:eastAsia="宋体" w:cs="Times New Roman"/>
                      <w:color w:val="auto"/>
                      <w:sz w:val="21"/>
                      <w:szCs w:val="21"/>
                    </w:rPr>
                    <w:t>淘汰类</w:t>
                  </w:r>
                  <w:r>
                    <w:rPr>
                      <w:rFonts w:hint="eastAsia" w:ascii="Times New Roman" w:hAnsi="Times New Roman" w:eastAsia="宋体" w:cs="Times New Roman"/>
                      <w:color w:val="auto"/>
                      <w:sz w:val="21"/>
                      <w:szCs w:val="21"/>
                      <w:lang w:val="en-US" w:eastAsia="zh-CN"/>
                    </w:rPr>
                    <w:t>和禁止类</w:t>
                  </w:r>
                  <w:r>
                    <w:rPr>
                      <w:rFonts w:ascii="Times New Roman" w:hAnsi="Times New Roman" w:eastAsia="宋体" w:cs="Times New Roman"/>
                      <w:color w:val="auto"/>
                      <w:sz w:val="21"/>
                      <w:szCs w:val="21"/>
                    </w:rPr>
                    <w:t>项目。</w:t>
                  </w:r>
                </w:p>
              </w:tc>
              <w:tc>
                <w:tcPr>
                  <w:tcW w:w="461" w:type="pct"/>
                  <w:noWrap w:val="0"/>
                  <w:vAlign w:val="center"/>
                </w:tcPr>
                <w:p w14:paraId="28EE0E37">
                  <w:pPr>
                    <w:jc w:val="center"/>
                    <w:rPr>
                      <w:color w:val="auto"/>
                      <w:kern w:val="0"/>
                      <w:szCs w:val="21"/>
                    </w:rPr>
                  </w:pPr>
                  <w:r>
                    <w:rPr>
                      <w:color w:val="auto"/>
                      <w:szCs w:val="21"/>
                    </w:rPr>
                    <w:t>相符</w:t>
                  </w:r>
                </w:p>
              </w:tc>
            </w:tr>
            <w:tr w14:paraId="5D7264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7" w:type="dxa"/>
                  <w:left w:w="28" w:type="dxa"/>
                  <w:bottom w:w="17" w:type="dxa"/>
                  <w:right w:w="28" w:type="dxa"/>
                </w:tblCellMar>
              </w:tblPrEx>
              <w:trPr>
                <w:trHeight w:val="277" w:hRule="atLeast"/>
                <w:jc w:val="center"/>
              </w:trPr>
              <w:tc>
                <w:tcPr>
                  <w:tcW w:w="590" w:type="pct"/>
                  <w:vMerge w:val="continue"/>
                  <w:noWrap w:val="0"/>
                  <w:vAlign w:val="center"/>
                </w:tcPr>
                <w:p w14:paraId="38C46B6E">
                  <w:pPr>
                    <w:jc w:val="center"/>
                    <w:rPr>
                      <w:color w:val="auto"/>
                      <w:szCs w:val="21"/>
                    </w:rPr>
                  </w:pPr>
                </w:p>
              </w:tc>
              <w:tc>
                <w:tcPr>
                  <w:tcW w:w="3948" w:type="pct"/>
                  <w:noWrap w:val="0"/>
                  <w:vAlign w:val="top"/>
                </w:tcPr>
                <w:p w14:paraId="253A2E73">
                  <w:pPr>
                    <w:pStyle w:val="69"/>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本项目从</w:t>
                  </w:r>
                  <w:r>
                    <w:rPr>
                      <w:rFonts w:hint="eastAsia" w:ascii="Times New Roman" w:hAnsi="Times New Roman" w:eastAsia="宋体" w:cs="Times New Roman"/>
                      <w:color w:val="auto"/>
                      <w:sz w:val="21"/>
                      <w:szCs w:val="21"/>
                    </w:rPr>
                    <w:t>事</w:t>
                  </w:r>
                  <w:r>
                    <w:rPr>
                      <w:rFonts w:hint="eastAsia" w:ascii="Times New Roman" w:hAnsi="Times New Roman" w:eastAsia="宋体" w:cs="Times New Roman"/>
                      <w:color w:val="auto"/>
                      <w:sz w:val="21"/>
                      <w:szCs w:val="21"/>
                      <w:lang w:eastAsia="zh-CN"/>
                    </w:rPr>
                    <w:t>热塑性弹性体颗</w:t>
                  </w:r>
                  <w:r>
                    <w:rPr>
                      <w:rFonts w:hint="eastAsia" w:ascii="Times New Roman" w:hAnsi="Times New Roman" w:eastAsia="宋体" w:cs="Times New Roman"/>
                      <w:color w:val="auto"/>
                      <w:lang w:eastAsia="zh-CN"/>
                    </w:rPr>
                    <w:t>粒</w:t>
                  </w:r>
                  <w:r>
                    <w:rPr>
                      <w:rFonts w:hint="eastAsia" w:ascii="Times New Roman" w:hAnsi="Times New Roman" w:eastAsia="宋体" w:cs="Times New Roman"/>
                      <w:color w:val="auto"/>
                      <w:sz w:val="21"/>
                      <w:szCs w:val="21"/>
                      <w:lang w:eastAsia="zh-CN"/>
                    </w:rPr>
                    <w:t>、汽车密封件</w:t>
                  </w:r>
                  <w:r>
                    <w:rPr>
                      <w:rFonts w:ascii="Times New Roman" w:hAnsi="Times New Roman" w:eastAsia="宋体" w:cs="Times New Roman"/>
                      <w:color w:val="auto"/>
                      <w:sz w:val="21"/>
                      <w:szCs w:val="21"/>
                    </w:rPr>
                    <w:t>的生产，采用的生产工艺、设备等均不属于</w:t>
                  </w:r>
                  <w:r>
                    <w:rPr>
                      <w:rFonts w:hint="eastAsia" w:ascii="Times New Roman" w:hAnsi="Times New Roman" w:eastAsia="宋体" w:cs="Times New Roman"/>
                      <w:color w:val="auto"/>
                      <w:sz w:val="21"/>
                      <w:szCs w:val="21"/>
                    </w:rPr>
                    <w:t>《</w:t>
                  </w:r>
                  <w:r>
                    <w:rPr>
                      <w:rFonts w:ascii="Times New Roman" w:hAnsi="Times New Roman" w:eastAsia="宋体" w:cs="Times New Roman"/>
                      <w:color w:val="auto"/>
                      <w:sz w:val="21"/>
                      <w:szCs w:val="21"/>
                    </w:rPr>
                    <w:t>中共江苏省委办公厅江苏省人民政府办公厅关于加快全省化工钢铁煤电行业转型升级高质量发展的实施意见》（苏办发[2018]32号）中的附件</w:t>
                  </w:r>
                  <w:r>
                    <w:rPr>
                      <w:rFonts w:hint="eastAsia" w:ascii="Times New Roman" w:hAnsi="Times New Roman" w:eastAsia="宋体" w:cs="Times New Roman"/>
                      <w:color w:val="auto"/>
                      <w:sz w:val="21"/>
                      <w:szCs w:val="21"/>
                    </w:rPr>
                    <w:t>（</w:t>
                  </w:r>
                  <w:r>
                    <w:rPr>
                      <w:rFonts w:ascii="Times New Roman" w:hAnsi="Times New Roman" w:eastAsia="宋体" w:cs="Times New Roman"/>
                      <w:color w:val="auto"/>
                      <w:sz w:val="21"/>
                      <w:szCs w:val="21"/>
                    </w:rPr>
                    <w:t>江苏省产业结构调整限制、淘汰和禁止目录</w:t>
                  </w:r>
                  <w:r>
                    <w:rPr>
                      <w:rFonts w:hint="eastAsia" w:ascii="Times New Roman" w:hAnsi="Times New Roman" w:eastAsia="宋体" w:cs="Times New Roman"/>
                      <w:color w:val="auto"/>
                      <w:sz w:val="21"/>
                      <w:szCs w:val="21"/>
                    </w:rPr>
                    <w:t>）</w:t>
                  </w:r>
                  <w:r>
                    <w:rPr>
                      <w:rFonts w:ascii="Times New Roman" w:hAnsi="Times New Roman" w:eastAsia="宋体" w:cs="Times New Roman"/>
                      <w:color w:val="auto"/>
                      <w:sz w:val="21"/>
                      <w:szCs w:val="21"/>
                    </w:rPr>
                    <w:t>中限制类和淘汰类项目。</w:t>
                  </w:r>
                </w:p>
              </w:tc>
              <w:tc>
                <w:tcPr>
                  <w:tcW w:w="461" w:type="pct"/>
                  <w:noWrap w:val="0"/>
                  <w:vAlign w:val="center"/>
                </w:tcPr>
                <w:p w14:paraId="06875635">
                  <w:pPr>
                    <w:jc w:val="center"/>
                    <w:rPr>
                      <w:color w:val="auto"/>
                      <w:szCs w:val="21"/>
                    </w:rPr>
                  </w:pPr>
                  <w:r>
                    <w:rPr>
                      <w:color w:val="auto"/>
                      <w:szCs w:val="21"/>
                    </w:rPr>
                    <w:t>相符</w:t>
                  </w:r>
                </w:p>
              </w:tc>
            </w:tr>
            <w:tr w14:paraId="4EAD2F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7" w:type="dxa"/>
                  <w:left w:w="28" w:type="dxa"/>
                  <w:bottom w:w="17" w:type="dxa"/>
                  <w:right w:w="28" w:type="dxa"/>
                </w:tblCellMar>
              </w:tblPrEx>
              <w:trPr>
                <w:trHeight w:val="20" w:hRule="atLeast"/>
                <w:jc w:val="center"/>
              </w:trPr>
              <w:tc>
                <w:tcPr>
                  <w:tcW w:w="590" w:type="pct"/>
                  <w:vMerge w:val="continue"/>
                  <w:noWrap w:val="0"/>
                  <w:vAlign w:val="center"/>
                </w:tcPr>
                <w:p w14:paraId="534B9B2A">
                  <w:pPr>
                    <w:jc w:val="center"/>
                    <w:rPr>
                      <w:color w:val="auto"/>
                      <w:szCs w:val="21"/>
                    </w:rPr>
                  </w:pPr>
                </w:p>
              </w:tc>
              <w:tc>
                <w:tcPr>
                  <w:tcW w:w="3948" w:type="pct"/>
                  <w:noWrap w:val="0"/>
                  <w:vAlign w:val="center"/>
                </w:tcPr>
                <w:p w14:paraId="72066273">
                  <w:pPr>
                    <w:pStyle w:val="69"/>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本项目已于</w:t>
                  </w:r>
                  <w:r>
                    <w:rPr>
                      <w:rFonts w:hint="eastAsia" w:ascii="Times New Roman" w:hAnsi="Times New Roman" w:eastAsia="宋体" w:cs="Times New Roman"/>
                      <w:color w:val="auto"/>
                      <w:sz w:val="21"/>
                      <w:szCs w:val="21"/>
                      <w:lang w:eastAsia="zh-CN"/>
                    </w:rPr>
                    <w:t>2025年12月17日</w:t>
                  </w:r>
                  <w:r>
                    <w:rPr>
                      <w:rFonts w:ascii="Times New Roman" w:hAnsi="Times New Roman" w:eastAsia="宋体" w:cs="Times New Roman"/>
                      <w:color w:val="auto"/>
                      <w:sz w:val="21"/>
                      <w:szCs w:val="21"/>
                    </w:rPr>
                    <w:t>取得江苏金坛经济开发区经济发展局关于《</w:t>
                  </w:r>
                  <w:r>
                    <w:rPr>
                      <w:rFonts w:hint="eastAsia" w:ascii="Times New Roman" w:hAnsi="Times New Roman" w:eastAsia="宋体" w:cs="Times New Roman"/>
                      <w:color w:val="auto"/>
                      <w:sz w:val="21"/>
                      <w:szCs w:val="21"/>
                      <w:lang w:eastAsia="zh-CN"/>
                    </w:rPr>
                    <w:t>新建热塑性弹性体及汽车密封件项目</w:t>
                  </w:r>
                  <w:r>
                    <w:rPr>
                      <w:rFonts w:ascii="Times New Roman" w:hAnsi="Times New Roman" w:eastAsia="宋体" w:cs="Times New Roman"/>
                      <w:color w:val="auto"/>
                      <w:sz w:val="21"/>
                      <w:szCs w:val="21"/>
                    </w:rPr>
                    <w:t>》备案（</w:t>
                  </w:r>
                  <w:r>
                    <w:rPr>
                      <w:rFonts w:hint="eastAsia" w:ascii="Times New Roman" w:hAnsi="Times New Roman" w:eastAsia="宋体" w:cs="Times New Roman"/>
                      <w:color w:val="auto"/>
                      <w:sz w:val="21"/>
                      <w:szCs w:val="21"/>
                      <w:lang w:eastAsia="zh-CN"/>
                    </w:rPr>
                    <w:t>坛开经发备字[2025]347号</w:t>
                  </w:r>
                  <w:r>
                    <w:rPr>
                      <w:rFonts w:ascii="Times New Roman" w:hAnsi="Times New Roman" w:eastAsia="宋体" w:cs="Times New Roman"/>
                      <w:color w:val="auto"/>
                      <w:sz w:val="21"/>
                      <w:szCs w:val="21"/>
                    </w:rPr>
                    <w:t>），项目代码为</w:t>
                  </w:r>
                  <w:r>
                    <w:rPr>
                      <w:rFonts w:hint="eastAsia" w:ascii="Times New Roman" w:hAnsi="Times New Roman" w:eastAsia="宋体" w:cs="Times New Roman"/>
                      <w:color w:val="auto"/>
                      <w:sz w:val="21"/>
                      <w:szCs w:val="21"/>
                      <w:lang w:eastAsia="zh-CN"/>
                    </w:rPr>
                    <w:t>2512-320458-89-01-873292</w:t>
                  </w:r>
                  <w:r>
                    <w:rPr>
                      <w:rFonts w:ascii="Times New Roman" w:hAnsi="Times New Roman" w:eastAsia="宋体" w:cs="Times New Roman"/>
                      <w:color w:val="auto"/>
                      <w:sz w:val="21"/>
                      <w:szCs w:val="21"/>
                    </w:rPr>
                    <w:t>。</w:t>
                  </w:r>
                </w:p>
              </w:tc>
              <w:tc>
                <w:tcPr>
                  <w:tcW w:w="461" w:type="pct"/>
                  <w:noWrap w:val="0"/>
                  <w:vAlign w:val="center"/>
                </w:tcPr>
                <w:p w14:paraId="711E74CA">
                  <w:pPr>
                    <w:jc w:val="center"/>
                    <w:rPr>
                      <w:color w:val="auto"/>
                      <w:kern w:val="0"/>
                      <w:szCs w:val="21"/>
                    </w:rPr>
                  </w:pPr>
                  <w:r>
                    <w:rPr>
                      <w:color w:val="auto"/>
                      <w:szCs w:val="21"/>
                    </w:rPr>
                    <w:t>相符</w:t>
                  </w:r>
                </w:p>
              </w:tc>
            </w:tr>
          </w:tbl>
          <w:p w14:paraId="723452E7">
            <w:pPr>
              <w:keepNext w:val="0"/>
              <w:keepLines w:val="0"/>
              <w:pageBreakBefore w:val="0"/>
              <w:widowControl w:val="0"/>
              <w:kinsoku/>
              <w:wordWrap/>
              <w:overflowPunct/>
              <w:topLinePunct w:val="0"/>
              <w:autoSpaceDE/>
              <w:autoSpaceDN/>
              <w:bidi w:val="0"/>
              <w:adjustRightInd w:val="0"/>
              <w:snapToGrid w:val="0"/>
              <w:spacing w:before="120" w:beforeLines="50" w:line="360" w:lineRule="auto"/>
              <w:ind w:firstLine="420" w:firstLineChars="200"/>
              <w:textAlignment w:val="auto"/>
              <w:rPr>
                <w:color w:val="auto"/>
                <w:szCs w:val="21"/>
              </w:rPr>
            </w:pPr>
            <w:r>
              <w:rPr>
                <w:color w:val="auto"/>
                <w:szCs w:val="21"/>
              </w:rPr>
              <w:t>综上，本项目的建设符合相关产业政策要求。</w:t>
            </w:r>
          </w:p>
          <w:p w14:paraId="69F6BEBD">
            <w:pPr>
              <w:keepNext w:val="0"/>
              <w:keepLines w:val="0"/>
              <w:pageBreakBefore w:val="0"/>
              <w:widowControl w:val="0"/>
              <w:kinsoku/>
              <w:wordWrap/>
              <w:overflowPunct/>
              <w:topLinePunct w:val="0"/>
              <w:autoSpaceDE/>
              <w:autoSpaceDN/>
              <w:bidi w:val="0"/>
              <w:adjustRightInd w:val="0"/>
              <w:snapToGrid w:val="0"/>
              <w:spacing w:line="360" w:lineRule="auto"/>
              <w:ind w:left="420" w:leftChars="200"/>
              <w:textAlignment w:val="auto"/>
              <w:rPr>
                <w:b/>
                <w:bCs/>
                <w:color w:val="auto"/>
                <w:szCs w:val="21"/>
              </w:rPr>
            </w:pPr>
            <w:r>
              <w:rPr>
                <w:rFonts w:hint="eastAsia"/>
                <w:b/>
                <w:bCs/>
                <w:color w:val="auto"/>
                <w:szCs w:val="21"/>
              </w:rPr>
              <w:t>二、</w:t>
            </w:r>
            <w:r>
              <w:rPr>
                <w:b/>
                <w:bCs/>
                <w:color w:val="auto"/>
                <w:szCs w:val="21"/>
              </w:rPr>
              <w:t>选址相符性</w:t>
            </w:r>
          </w:p>
          <w:p w14:paraId="76DF4990">
            <w:pPr>
              <w:keepNext w:val="0"/>
              <w:keepLines w:val="0"/>
              <w:pageBreakBefore w:val="0"/>
              <w:widowControl w:val="0"/>
              <w:kinsoku/>
              <w:wordWrap/>
              <w:overflowPunct/>
              <w:topLinePunct w:val="0"/>
              <w:autoSpaceDE/>
              <w:autoSpaceDN/>
              <w:bidi w:val="0"/>
              <w:adjustRightInd w:val="0"/>
              <w:snapToGrid w:val="0"/>
              <w:spacing w:line="360" w:lineRule="auto"/>
              <w:ind w:left="-42" w:firstLine="455" w:firstLineChars="217"/>
              <w:textAlignment w:val="auto"/>
              <w:rPr>
                <w:color w:val="auto"/>
                <w:szCs w:val="21"/>
              </w:rPr>
            </w:pPr>
            <w:r>
              <w:rPr>
                <w:color w:val="auto"/>
                <w:szCs w:val="21"/>
              </w:rPr>
              <w:t>本项目位于</w:t>
            </w:r>
            <w:r>
              <w:rPr>
                <w:rFonts w:hint="eastAsia"/>
                <w:color w:val="auto"/>
                <w:szCs w:val="21"/>
                <w:lang w:eastAsia="zh-CN"/>
              </w:rPr>
              <w:t>常州市金坛区经济开发区东湖路28号</w:t>
            </w:r>
            <w:r>
              <w:rPr>
                <w:color w:val="auto"/>
                <w:szCs w:val="21"/>
              </w:rPr>
              <w:t>，</w:t>
            </w:r>
            <w:r>
              <w:rPr>
                <w:rFonts w:hint="eastAsia"/>
                <w:color w:val="auto"/>
                <w:szCs w:val="21"/>
              </w:rPr>
              <w:t>利用</w:t>
            </w:r>
            <w:r>
              <w:rPr>
                <w:rFonts w:hint="eastAsia"/>
                <w:color w:val="auto"/>
                <w:szCs w:val="21"/>
                <w:lang w:val="en-US" w:eastAsia="zh-CN"/>
              </w:rPr>
              <w:t>租赁厂房</w:t>
            </w:r>
            <w:r>
              <w:rPr>
                <w:rFonts w:hint="eastAsia"/>
                <w:color w:val="auto"/>
                <w:szCs w:val="21"/>
              </w:rPr>
              <w:t>空置部分进行生产</w:t>
            </w:r>
            <w:r>
              <w:rPr>
                <w:color w:val="auto"/>
                <w:szCs w:val="21"/>
              </w:rPr>
              <w:t>，用地性质为工业用地。且项目周边范围内无矿床、文物古迹和军事设施达到环保准入、投入强度、消防安全等相关规定，因此项目选址合理。</w:t>
            </w:r>
          </w:p>
          <w:p w14:paraId="213773B3">
            <w:pPr>
              <w:pStyle w:val="51"/>
              <w:keepNext w:val="0"/>
              <w:keepLines w:val="0"/>
              <w:pageBreakBefore w:val="0"/>
              <w:widowControl w:val="0"/>
              <w:kinsoku/>
              <w:wordWrap/>
              <w:overflowPunct/>
              <w:topLinePunct w:val="0"/>
              <w:autoSpaceDE/>
              <w:autoSpaceDN/>
              <w:bidi w:val="0"/>
              <w:adjustRightInd w:val="0"/>
              <w:snapToGrid w:val="0"/>
              <w:spacing w:line="360" w:lineRule="auto"/>
              <w:ind w:firstLine="422"/>
              <w:textAlignment w:val="auto"/>
              <w:rPr>
                <w:rFonts w:hint="eastAsia"/>
                <w:b/>
                <w:bCs/>
                <w:color w:val="auto"/>
                <w:sz w:val="21"/>
                <w:szCs w:val="21"/>
                <w:lang w:val="en-US" w:eastAsia="zh-CN"/>
              </w:rPr>
            </w:pPr>
            <w:r>
              <w:rPr>
                <w:rFonts w:hint="eastAsia"/>
                <w:b/>
                <w:bCs/>
                <w:color w:val="auto"/>
                <w:sz w:val="21"/>
                <w:szCs w:val="21"/>
                <w:lang w:val="en-US" w:eastAsia="zh-CN"/>
              </w:rPr>
              <w:t>三、国土空间规划及“三区三线”相符性分析</w:t>
            </w:r>
          </w:p>
          <w:p w14:paraId="7DC0C90C">
            <w:pPr>
              <w:pStyle w:val="51"/>
              <w:keepNext w:val="0"/>
              <w:keepLines w:val="0"/>
              <w:pageBreakBefore w:val="0"/>
              <w:widowControl w:val="0"/>
              <w:kinsoku/>
              <w:wordWrap/>
              <w:overflowPunct/>
              <w:topLinePunct w:val="0"/>
              <w:bidi w:val="0"/>
              <w:adjustRightInd w:val="0"/>
              <w:snapToGrid w:val="0"/>
              <w:spacing w:line="360" w:lineRule="auto"/>
              <w:ind w:firstLine="422"/>
              <w:textAlignment w:val="auto"/>
              <w:rPr>
                <w:rFonts w:hint="eastAsia"/>
                <w:b w:val="0"/>
                <w:bCs w:val="0"/>
                <w:color w:val="auto"/>
                <w:sz w:val="21"/>
                <w:szCs w:val="21"/>
                <w:lang w:val="en-US" w:eastAsia="zh-CN"/>
              </w:rPr>
            </w:pPr>
            <w:r>
              <w:rPr>
                <w:rFonts w:hint="eastAsia"/>
                <w:b w:val="0"/>
                <w:bCs w:val="0"/>
                <w:color w:val="auto"/>
                <w:sz w:val="21"/>
                <w:szCs w:val="21"/>
                <w:lang w:val="en-US" w:eastAsia="zh-CN"/>
              </w:rPr>
              <w:t>根据《自然资源部关于在全国开展“三区三线”划定工作的函》（自然资函[2022]47号）以及《江苏省国土空间规划（2021-2035年）》，文件提出创建全国生态文明试验区，以底线约束和安全韧性为前提，优先保障生态、农业、安全等保护性空间。按照耕地和永久基本农田、生态保护红线、城镇开发边界的优先序，统筹划定“三区三线”：到2035年，江苏省耕地保有量不低于5977万亩，其中永久基本农田保护面积不低于5344万亩；生态保护红线不低于1.82万平方千米，其中海洋生态保护红线不低于0.95万平方千米；城镇开发边界扩展倍数控制在基于2020年城镇建设用地规模的1.3倍以内。加强自然资源整体保护与高效利用，统筹安排防灾减灾救灾和重大突发公共事件的应急空间，为保障粮食安全、生态安全、能源安全提供了基础保障。</w:t>
            </w:r>
          </w:p>
          <w:p w14:paraId="766F3C4B">
            <w:pPr>
              <w:pStyle w:val="51"/>
              <w:keepNext w:val="0"/>
              <w:keepLines w:val="0"/>
              <w:pageBreakBefore w:val="0"/>
              <w:widowControl w:val="0"/>
              <w:kinsoku/>
              <w:wordWrap/>
              <w:overflowPunct/>
              <w:topLinePunct w:val="0"/>
              <w:bidi w:val="0"/>
              <w:adjustRightInd w:val="0"/>
              <w:snapToGrid w:val="0"/>
              <w:spacing w:line="360" w:lineRule="auto"/>
              <w:ind w:firstLine="422"/>
              <w:textAlignment w:val="auto"/>
              <w:rPr>
                <w:rFonts w:hint="eastAsia"/>
                <w:b w:val="0"/>
                <w:bCs w:val="0"/>
                <w:color w:val="auto"/>
                <w:sz w:val="21"/>
                <w:szCs w:val="21"/>
              </w:rPr>
            </w:pPr>
            <w:r>
              <w:rPr>
                <w:rFonts w:hint="eastAsia"/>
                <w:b w:val="0"/>
                <w:bCs w:val="0"/>
                <w:color w:val="auto"/>
                <w:sz w:val="21"/>
                <w:szCs w:val="21"/>
                <w:lang w:val="en-US" w:eastAsia="zh-CN"/>
              </w:rPr>
              <w:t>根据《常州市国土空间总体规划》（2021-2035年）、《常州市金坛区国土空间总体规划》（2021-2035年），本项目在城镇开发边界（工业发展区）内，且不占用耕地和永久基本农田，不涉及生态保护红线，因此本项目满足国土空间规划及“三区三线”要求。</w:t>
            </w:r>
          </w:p>
          <w:p w14:paraId="00826742">
            <w:pPr>
              <w:pStyle w:val="51"/>
              <w:keepNext w:val="0"/>
              <w:keepLines w:val="0"/>
              <w:pageBreakBefore w:val="0"/>
              <w:widowControl w:val="0"/>
              <w:kinsoku/>
              <w:wordWrap/>
              <w:overflowPunct/>
              <w:topLinePunct w:val="0"/>
              <w:bidi w:val="0"/>
              <w:adjustRightInd w:val="0"/>
              <w:snapToGrid w:val="0"/>
              <w:spacing w:line="360" w:lineRule="auto"/>
              <w:ind w:firstLine="422"/>
              <w:textAlignment w:val="auto"/>
              <w:rPr>
                <w:b/>
                <w:bCs/>
                <w:color w:val="auto"/>
                <w:sz w:val="21"/>
                <w:szCs w:val="21"/>
              </w:rPr>
            </w:pPr>
            <w:r>
              <w:rPr>
                <w:rFonts w:hint="eastAsia"/>
                <w:b/>
                <w:bCs/>
                <w:color w:val="auto"/>
                <w:sz w:val="21"/>
                <w:szCs w:val="21"/>
                <w:lang w:val="en-US" w:eastAsia="zh-CN"/>
              </w:rPr>
              <w:t>四</w:t>
            </w:r>
            <w:r>
              <w:rPr>
                <w:rFonts w:hint="eastAsia"/>
                <w:b/>
                <w:bCs/>
                <w:color w:val="auto"/>
                <w:sz w:val="21"/>
                <w:szCs w:val="21"/>
              </w:rPr>
              <w:t>、</w:t>
            </w:r>
            <w:r>
              <w:rPr>
                <w:b/>
                <w:bCs/>
                <w:color w:val="auto"/>
                <w:sz w:val="21"/>
                <w:szCs w:val="21"/>
              </w:rPr>
              <w:t>“三线一单”相符性分析</w:t>
            </w:r>
          </w:p>
          <w:p w14:paraId="4CDFC775">
            <w:pPr>
              <w:pStyle w:val="51"/>
              <w:keepNext w:val="0"/>
              <w:keepLines w:val="0"/>
              <w:pageBreakBefore w:val="0"/>
              <w:widowControl w:val="0"/>
              <w:kinsoku/>
              <w:wordWrap/>
              <w:overflowPunct/>
              <w:topLinePunct w:val="0"/>
              <w:bidi w:val="0"/>
              <w:adjustRightInd w:val="0"/>
              <w:snapToGrid w:val="0"/>
              <w:spacing w:line="360" w:lineRule="auto"/>
              <w:ind w:firstLine="420"/>
              <w:textAlignment w:val="auto"/>
              <w:rPr>
                <w:color w:val="auto"/>
                <w:sz w:val="21"/>
                <w:szCs w:val="21"/>
              </w:rPr>
            </w:pPr>
            <w:r>
              <w:rPr>
                <w:rFonts w:hint="eastAsia"/>
                <w:color w:val="auto"/>
                <w:sz w:val="21"/>
                <w:szCs w:val="21"/>
              </w:rPr>
              <w:t>1、</w:t>
            </w:r>
            <w:r>
              <w:rPr>
                <w:color w:val="auto"/>
                <w:sz w:val="21"/>
                <w:szCs w:val="21"/>
              </w:rPr>
              <w:t>与生态红线区域保护规划的相符性</w:t>
            </w:r>
          </w:p>
          <w:p w14:paraId="795AA56C">
            <w:pPr>
              <w:pStyle w:val="51"/>
              <w:keepNext w:val="0"/>
              <w:keepLines w:val="0"/>
              <w:pageBreakBefore w:val="0"/>
              <w:widowControl w:val="0"/>
              <w:kinsoku/>
              <w:wordWrap/>
              <w:overflowPunct/>
              <w:topLinePunct w:val="0"/>
              <w:bidi w:val="0"/>
              <w:adjustRightInd w:val="0"/>
              <w:snapToGrid w:val="0"/>
              <w:spacing w:line="360" w:lineRule="auto"/>
              <w:ind w:firstLine="420"/>
              <w:textAlignment w:val="auto"/>
              <w:rPr>
                <w:rFonts w:hint="eastAsia"/>
                <w:color w:val="auto"/>
                <w:sz w:val="21"/>
                <w:szCs w:val="21"/>
              </w:rPr>
            </w:pPr>
            <w:r>
              <w:rPr>
                <w:rFonts w:hint="default" w:ascii="Times New Roman" w:hAnsi="Times New Roman" w:eastAsia="宋体" w:cs="Times New Roman"/>
                <w:color w:val="auto"/>
                <w:sz w:val="21"/>
                <w:szCs w:val="21"/>
              </w:rPr>
              <w:t>根据《省政府关于印发江苏省生态空间管控区域规划的通知》（苏政发[2020]1号）和《江苏省国家级生态保护红线规划》（苏政发[2018]74号），对照江苏省生态空间保护区域分布图</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金坛区生态红线区域为14片，国家级生态保护红线193.1平方公里，生态管控区域231.25平方公里</w:t>
            </w:r>
            <w:r>
              <w:rPr>
                <w:rFonts w:hint="default" w:ascii="Times New Roman" w:hAnsi="Times New Roman" w:eastAsia="宋体" w:cs="Times New Roman"/>
                <w:color w:val="auto"/>
                <w:sz w:val="21"/>
                <w:szCs w:val="21"/>
                <w:lang w:eastAsia="zh-CN"/>
              </w:rPr>
              <w:t>；本项目距离丹金溧漕河（金坛区）洪水调蓄区</w:t>
            </w:r>
            <w:r>
              <w:rPr>
                <w:rFonts w:hint="eastAsia" w:ascii="Times New Roman" w:hAnsi="Times New Roman" w:eastAsia="宋体" w:cs="Times New Roman"/>
                <w:color w:val="auto"/>
                <w:sz w:val="21"/>
                <w:szCs w:val="21"/>
                <w:lang w:val="en-US" w:eastAsia="zh-CN"/>
              </w:rPr>
              <w:t>7.1</w:t>
            </w:r>
            <w:r>
              <w:rPr>
                <w:rFonts w:hint="default" w:ascii="Times New Roman" w:hAnsi="Times New Roman" w:eastAsia="宋体" w:cs="Times New Roman"/>
                <w:color w:val="auto"/>
                <w:sz w:val="21"/>
                <w:szCs w:val="21"/>
                <w:lang w:eastAsia="zh-CN"/>
              </w:rPr>
              <w:t>km，距离钱资湖湿地</w:t>
            </w:r>
            <w:r>
              <w:rPr>
                <w:rFonts w:hint="eastAsia" w:ascii="Times New Roman" w:hAnsi="Times New Roman" w:eastAsia="宋体" w:cs="Times New Roman"/>
                <w:color w:val="auto"/>
                <w:sz w:val="21"/>
                <w:szCs w:val="21"/>
                <w:lang w:val="en-US" w:eastAsia="zh-CN"/>
              </w:rPr>
              <w:t>5.4</w:t>
            </w:r>
            <w:r>
              <w:rPr>
                <w:rFonts w:hint="default" w:ascii="Times New Roman" w:hAnsi="Times New Roman" w:eastAsia="宋体" w:cs="Times New Roman"/>
                <w:color w:val="auto"/>
                <w:sz w:val="21"/>
                <w:szCs w:val="21"/>
                <w:lang w:eastAsia="zh-CN"/>
              </w:rPr>
              <w:t>km，</w:t>
            </w:r>
            <w:r>
              <w:rPr>
                <w:rFonts w:hint="eastAsia"/>
                <w:color w:val="auto"/>
                <w:sz w:val="21"/>
                <w:szCs w:val="21"/>
              </w:rPr>
              <w:t>长荡湖（金坛区）重要湿地</w:t>
            </w:r>
            <w:r>
              <w:rPr>
                <w:rFonts w:hint="eastAsia" w:ascii="Times New Roman" w:hAnsi="Times New Roman" w:eastAsia="宋体" w:cs="Times New Roman"/>
                <w:color w:val="auto"/>
                <w:sz w:val="21"/>
                <w:szCs w:val="21"/>
                <w:lang w:val="en-US" w:eastAsia="zh-CN"/>
              </w:rPr>
              <w:t>9.5</w:t>
            </w:r>
            <w:r>
              <w:rPr>
                <w:rFonts w:hint="default" w:ascii="Times New Roman" w:hAnsi="Times New Roman" w:eastAsia="宋体" w:cs="Times New Roman"/>
                <w:color w:val="auto"/>
                <w:sz w:val="21"/>
                <w:szCs w:val="21"/>
                <w:lang w:eastAsia="zh-CN"/>
              </w:rPr>
              <w:t>km</w:t>
            </w:r>
            <w:r>
              <w:rPr>
                <w:rFonts w:hint="default" w:ascii="Times New Roman" w:hAnsi="Times New Roman" w:eastAsia="宋体" w:cs="Times New Roman"/>
                <w:color w:val="auto"/>
                <w:sz w:val="21"/>
                <w:szCs w:val="21"/>
                <w:lang w:val="en-US" w:eastAsia="zh-CN"/>
              </w:rPr>
              <w:t>；项目建设区域与国家级生态保护</w:t>
            </w:r>
            <w:r>
              <w:rPr>
                <w:rFonts w:hint="default" w:ascii="Times New Roman" w:hAnsi="Times New Roman" w:eastAsia="宋体" w:cs="Times New Roman"/>
                <w:color w:val="auto"/>
                <w:sz w:val="21"/>
                <w:szCs w:val="21"/>
              </w:rPr>
              <w:t>红线范围及江苏省生态空间管控区域范围均无交集，不涉及金坛区内的生态红线区域，不会导致金坛区辖区内生态红线区域服务功能下降，故本项目的建设符合《江苏省生态空间管控区域规划》（苏政发[2020]1号）和《江苏省国家级生态保护红线规划》（苏政发[2018]74号）相关要求</w:t>
            </w:r>
            <w:r>
              <w:rPr>
                <w:rFonts w:hint="eastAsia"/>
                <w:color w:val="auto"/>
                <w:sz w:val="21"/>
                <w:szCs w:val="21"/>
              </w:rPr>
              <w:t>。</w:t>
            </w:r>
          </w:p>
          <w:p w14:paraId="21A86E78">
            <w:pPr>
              <w:pStyle w:val="51"/>
              <w:keepNext w:val="0"/>
              <w:keepLines w:val="0"/>
              <w:pageBreakBefore w:val="0"/>
              <w:widowControl w:val="0"/>
              <w:kinsoku/>
              <w:wordWrap/>
              <w:overflowPunct/>
              <w:topLinePunct w:val="0"/>
              <w:bidi w:val="0"/>
              <w:adjustRightInd w:val="0"/>
              <w:snapToGrid w:val="0"/>
              <w:spacing w:line="360" w:lineRule="auto"/>
              <w:ind w:firstLine="420"/>
              <w:textAlignment w:val="auto"/>
              <w:rPr>
                <w:color w:val="auto"/>
                <w:sz w:val="21"/>
                <w:szCs w:val="21"/>
              </w:rPr>
            </w:pPr>
            <w:r>
              <w:rPr>
                <w:rFonts w:hint="eastAsia"/>
                <w:color w:val="auto"/>
                <w:sz w:val="21"/>
                <w:szCs w:val="21"/>
              </w:rPr>
              <w:t>2、</w:t>
            </w:r>
            <w:r>
              <w:rPr>
                <w:color w:val="auto"/>
                <w:sz w:val="21"/>
                <w:szCs w:val="21"/>
              </w:rPr>
              <w:t>环境质量底线相符性</w:t>
            </w:r>
          </w:p>
          <w:p w14:paraId="32424241">
            <w:pPr>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eastAsia" w:eastAsia="宋体"/>
                <w:color w:val="auto"/>
                <w:szCs w:val="21"/>
                <w:lang w:eastAsia="zh-CN"/>
              </w:rPr>
            </w:pPr>
            <w:r>
              <w:rPr>
                <w:color w:val="auto"/>
                <w:szCs w:val="21"/>
              </w:rPr>
              <w:t>环境空气：</w:t>
            </w:r>
            <w:r>
              <w:rPr>
                <w:rFonts w:hint="default" w:ascii="Times New Roman" w:hAnsi="Times New Roman" w:eastAsia="宋体" w:cs="Times New Roman"/>
                <w:b w:val="0"/>
                <w:bCs w:val="0"/>
                <w:color w:val="auto"/>
                <w:sz w:val="21"/>
                <w:szCs w:val="21"/>
                <w:highlight w:val="none"/>
              </w:rPr>
              <w:t>根据《202</w:t>
            </w:r>
            <w:r>
              <w:rPr>
                <w:rFonts w:hint="eastAsia" w:ascii="Times New Roman" w:hAnsi="Times New Roman" w:eastAsia="宋体" w:cs="Times New Roman"/>
                <w:b w:val="0"/>
                <w:bCs w:val="0"/>
                <w:color w:val="auto"/>
                <w:sz w:val="21"/>
                <w:szCs w:val="21"/>
                <w:highlight w:val="none"/>
                <w:lang w:val="en-US" w:eastAsia="zh-CN"/>
              </w:rPr>
              <w:t>4</w:t>
            </w:r>
            <w:r>
              <w:rPr>
                <w:rFonts w:hint="default" w:ascii="Times New Roman" w:hAnsi="Times New Roman" w:eastAsia="宋体" w:cs="Times New Roman"/>
                <w:b w:val="0"/>
                <w:bCs w:val="0"/>
                <w:color w:val="auto"/>
                <w:sz w:val="21"/>
                <w:szCs w:val="21"/>
                <w:highlight w:val="none"/>
              </w:rPr>
              <w:t>年常州市生态环境状况公报》</w:t>
            </w:r>
            <w:r>
              <w:rPr>
                <w:rFonts w:hint="eastAsia" w:ascii="Times New Roman" w:hAnsi="Times New Roman" w:eastAsia="宋体" w:cs="Times New Roman"/>
                <w:b w:val="0"/>
                <w:bCs w:val="0"/>
                <w:color w:val="auto"/>
                <w:sz w:val="21"/>
                <w:szCs w:val="21"/>
                <w:highlight w:val="none"/>
                <w:lang w:val="en-US" w:eastAsia="zh-CN"/>
              </w:rPr>
              <w:t>，</w:t>
            </w:r>
            <w:r>
              <w:rPr>
                <w:rFonts w:hint="default" w:ascii="Times New Roman" w:hAnsi="Times New Roman" w:eastAsia="宋体" w:cs="Times New Roman"/>
                <w:b w:val="0"/>
                <w:bCs w:val="0"/>
                <w:color w:val="auto"/>
                <w:sz w:val="21"/>
                <w:szCs w:val="21"/>
                <w:highlight w:val="none"/>
              </w:rPr>
              <w:t>全市环境空气中细颗粒物</w:t>
            </w:r>
            <w:r>
              <w:rPr>
                <w:rFonts w:hint="eastAsia" w:ascii="Times New Roman" w:hAnsi="Times New Roman" w:eastAsia="宋体" w:cs="Times New Roman"/>
                <w:b w:val="0"/>
                <w:bCs w:val="0"/>
                <w:color w:val="auto"/>
                <w:sz w:val="21"/>
                <w:szCs w:val="21"/>
                <w:highlight w:val="none"/>
                <w:lang w:eastAsia="zh-CN"/>
              </w:rPr>
              <w:t>（</w:t>
            </w:r>
            <w:r>
              <w:rPr>
                <w:rFonts w:hint="default" w:ascii="Times New Roman" w:hAnsi="Times New Roman" w:eastAsia="宋体" w:cs="Times New Roman"/>
                <w:b w:val="0"/>
                <w:bCs w:val="0"/>
                <w:color w:val="auto"/>
                <w:sz w:val="21"/>
                <w:szCs w:val="21"/>
                <w:highlight w:val="none"/>
              </w:rPr>
              <w:t>PM</w:t>
            </w:r>
            <w:r>
              <w:rPr>
                <w:rFonts w:hint="eastAsia" w:ascii="Times New Roman" w:hAnsi="Times New Roman" w:eastAsia="宋体" w:cs="Times New Roman"/>
                <w:b w:val="0"/>
                <w:bCs w:val="0"/>
                <w:color w:val="auto"/>
                <w:sz w:val="21"/>
                <w:szCs w:val="21"/>
                <w:highlight w:val="none"/>
                <w:vertAlign w:val="subscript"/>
                <w:lang w:val="en-US" w:eastAsia="zh-CN"/>
              </w:rPr>
              <w:t>2.5</w:t>
            </w:r>
            <w:r>
              <w:rPr>
                <w:rFonts w:hint="eastAsia" w:ascii="Times New Roman" w:hAnsi="Times New Roman" w:eastAsia="宋体" w:cs="Times New Roman"/>
                <w:b w:val="0"/>
                <w:bCs w:val="0"/>
                <w:color w:val="auto"/>
                <w:sz w:val="21"/>
                <w:szCs w:val="21"/>
                <w:highlight w:val="none"/>
                <w:lang w:eastAsia="zh-CN"/>
              </w:rPr>
              <w:t>）</w:t>
            </w:r>
            <w:r>
              <w:rPr>
                <w:rFonts w:hint="default" w:ascii="Times New Roman" w:hAnsi="Times New Roman" w:eastAsia="宋体" w:cs="Times New Roman"/>
                <w:b w:val="0"/>
                <w:bCs w:val="0"/>
                <w:color w:val="auto"/>
                <w:sz w:val="21"/>
                <w:szCs w:val="21"/>
                <w:highlight w:val="none"/>
              </w:rPr>
              <w:t>、可吸入颗粒物</w:t>
            </w:r>
            <w:r>
              <w:rPr>
                <w:rFonts w:hint="eastAsia" w:ascii="Times New Roman" w:hAnsi="Times New Roman" w:eastAsia="宋体" w:cs="Times New Roman"/>
                <w:b w:val="0"/>
                <w:bCs w:val="0"/>
                <w:color w:val="auto"/>
                <w:sz w:val="21"/>
                <w:szCs w:val="21"/>
                <w:highlight w:val="none"/>
                <w:lang w:eastAsia="zh-CN"/>
              </w:rPr>
              <w:t>（</w:t>
            </w:r>
            <w:r>
              <w:rPr>
                <w:rFonts w:hint="default" w:ascii="Times New Roman" w:hAnsi="Times New Roman" w:eastAsia="宋体" w:cs="Times New Roman"/>
                <w:b w:val="0"/>
                <w:bCs w:val="0"/>
                <w:color w:val="auto"/>
                <w:sz w:val="21"/>
                <w:szCs w:val="21"/>
                <w:highlight w:val="none"/>
              </w:rPr>
              <w:t>PM</w:t>
            </w:r>
            <w:r>
              <w:rPr>
                <w:rFonts w:hint="eastAsia" w:ascii="Times New Roman" w:hAnsi="Times New Roman" w:eastAsia="宋体" w:cs="Times New Roman"/>
                <w:b w:val="0"/>
                <w:bCs w:val="0"/>
                <w:color w:val="auto"/>
                <w:sz w:val="21"/>
                <w:szCs w:val="21"/>
                <w:highlight w:val="none"/>
                <w:vertAlign w:val="subscript"/>
                <w:lang w:val="en-US" w:eastAsia="zh-CN"/>
              </w:rPr>
              <w:t>10</w:t>
            </w:r>
            <w:r>
              <w:rPr>
                <w:rFonts w:hint="eastAsia" w:ascii="Times New Roman" w:hAnsi="Times New Roman" w:eastAsia="宋体" w:cs="Times New Roman"/>
                <w:b w:val="0"/>
                <w:bCs w:val="0"/>
                <w:color w:val="auto"/>
                <w:sz w:val="21"/>
                <w:szCs w:val="21"/>
                <w:highlight w:val="none"/>
                <w:lang w:eastAsia="zh-CN"/>
              </w:rPr>
              <w:t>）</w:t>
            </w:r>
            <w:r>
              <w:rPr>
                <w:rFonts w:hint="default" w:ascii="Times New Roman" w:hAnsi="Times New Roman" w:eastAsia="宋体" w:cs="Times New Roman"/>
                <w:b w:val="0"/>
                <w:bCs w:val="0"/>
                <w:color w:val="auto"/>
                <w:sz w:val="21"/>
                <w:szCs w:val="21"/>
                <w:highlight w:val="none"/>
              </w:rPr>
              <w:t>、二氧化硫</w:t>
            </w:r>
            <w:r>
              <w:rPr>
                <w:rFonts w:hint="eastAsia" w:ascii="Times New Roman" w:hAnsi="Times New Roman" w:eastAsia="宋体" w:cs="Times New Roman"/>
                <w:b w:val="0"/>
                <w:bCs w:val="0"/>
                <w:color w:val="auto"/>
                <w:sz w:val="21"/>
                <w:szCs w:val="21"/>
                <w:highlight w:val="none"/>
                <w:lang w:eastAsia="zh-CN"/>
              </w:rPr>
              <w:t>（</w:t>
            </w:r>
            <w:r>
              <w:rPr>
                <w:rFonts w:hint="default" w:ascii="Times New Roman" w:hAnsi="Times New Roman" w:eastAsia="宋体" w:cs="Times New Roman"/>
                <w:b w:val="0"/>
                <w:bCs w:val="0"/>
                <w:color w:val="auto"/>
                <w:sz w:val="21"/>
                <w:szCs w:val="21"/>
                <w:highlight w:val="none"/>
              </w:rPr>
              <w:t>SO</w:t>
            </w:r>
            <w:r>
              <w:rPr>
                <w:rFonts w:hint="eastAsia" w:ascii="Times New Roman" w:hAnsi="Times New Roman" w:eastAsia="宋体" w:cs="Times New Roman"/>
                <w:b w:val="0"/>
                <w:bCs w:val="0"/>
                <w:color w:val="auto"/>
                <w:sz w:val="21"/>
                <w:szCs w:val="21"/>
                <w:highlight w:val="none"/>
                <w:vertAlign w:val="subscript"/>
                <w:lang w:val="en-US" w:eastAsia="zh-CN"/>
              </w:rPr>
              <w:t>2</w:t>
            </w:r>
            <w:r>
              <w:rPr>
                <w:rFonts w:hint="eastAsia" w:ascii="Times New Roman" w:hAnsi="Times New Roman" w:eastAsia="宋体" w:cs="Times New Roman"/>
                <w:b w:val="0"/>
                <w:bCs w:val="0"/>
                <w:color w:val="auto"/>
                <w:sz w:val="21"/>
                <w:szCs w:val="21"/>
                <w:highlight w:val="none"/>
                <w:lang w:eastAsia="zh-CN"/>
              </w:rPr>
              <w:t>）</w:t>
            </w:r>
            <w:r>
              <w:rPr>
                <w:rFonts w:hint="default" w:ascii="Times New Roman" w:hAnsi="Times New Roman" w:eastAsia="宋体" w:cs="Times New Roman"/>
                <w:b w:val="0"/>
                <w:bCs w:val="0"/>
                <w:color w:val="auto"/>
                <w:sz w:val="21"/>
                <w:szCs w:val="21"/>
                <w:highlight w:val="none"/>
              </w:rPr>
              <w:t>、二氧化氮</w:t>
            </w:r>
            <w:r>
              <w:rPr>
                <w:rFonts w:hint="eastAsia" w:ascii="Times New Roman" w:hAnsi="Times New Roman" w:eastAsia="宋体" w:cs="Times New Roman"/>
                <w:b w:val="0"/>
                <w:bCs w:val="0"/>
                <w:color w:val="auto"/>
                <w:sz w:val="21"/>
                <w:szCs w:val="21"/>
                <w:highlight w:val="none"/>
                <w:lang w:eastAsia="zh-CN"/>
              </w:rPr>
              <w:t>（</w:t>
            </w:r>
            <w:r>
              <w:rPr>
                <w:rFonts w:hint="default" w:ascii="Times New Roman" w:hAnsi="Times New Roman" w:eastAsia="宋体" w:cs="Times New Roman"/>
                <w:b w:val="0"/>
                <w:bCs w:val="0"/>
                <w:color w:val="auto"/>
                <w:sz w:val="21"/>
                <w:szCs w:val="21"/>
                <w:highlight w:val="none"/>
              </w:rPr>
              <w:t>NO</w:t>
            </w:r>
            <w:r>
              <w:rPr>
                <w:rFonts w:hint="eastAsia" w:ascii="Times New Roman" w:hAnsi="Times New Roman" w:eastAsia="宋体" w:cs="Times New Roman"/>
                <w:b w:val="0"/>
                <w:bCs w:val="0"/>
                <w:color w:val="auto"/>
                <w:sz w:val="21"/>
                <w:szCs w:val="21"/>
                <w:highlight w:val="none"/>
                <w:vertAlign w:val="subscript"/>
                <w:lang w:val="en-US" w:eastAsia="zh-CN"/>
              </w:rPr>
              <w:t>2</w:t>
            </w:r>
            <w:r>
              <w:rPr>
                <w:rFonts w:hint="eastAsia" w:ascii="Times New Roman" w:hAnsi="Times New Roman" w:eastAsia="宋体" w:cs="Times New Roman"/>
                <w:b w:val="0"/>
                <w:bCs w:val="0"/>
                <w:color w:val="auto"/>
                <w:sz w:val="21"/>
                <w:szCs w:val="21"/>
                <w:highlight w:val="none"/>
                <w:lang w:eastAsia="zh-CN"/>
              </w:rPr>
              <w:t>）</w:t>
            </w:r>
            <w:r>
              <w:rPr>
                <w:rFonts w:hint="default" w:ascii="Times New Roman" w:hAnsi="Times New Roman" w:eastAsia="宋体" w:cs="Times New Roman"/>
                <w:b w:val="0"/>
                <w:bCs w:val="0"/>
                <w:color w:val="auto"/>
                <w:sz w:val="21"/>
                <w:szCs w:val="21"/>
                <w:highlight w:val="none"/>
              </w:rPr>
              <w:t>年均浓度分别为3</w:t>
            </w:r>
            <w:r>
              <w:rPr>
                <w:rFonts w:hint="eastAsia" w:ascii="Times New Roman" w:hAnsi="Times New Roman" w:eastAsia="宋体" w:cs="Times New Roman"/>
                <w:b w:val="0"/>
                <w:bCs w:val="0"/>
                <w:color w:val="auto"/>
                <w:sz w:val="21"/>
                <w:szCs w:val="21"/>
                <w:highlight w:val="none"/>
                <w:lang w:val="en-US" w:eastAsia="zh-CN"/>
              </w:rPr>
              <w:t>2</w:t>
            </w:r>
            <w:r>
              <w:rPr>
                <w:rFonts w:hint="default" w:ascii="Times New Roman" w:hAnsi="Times New Roman" w:eastAsia="宋体" w:cs="Times New Roman"/>
                <w:b w:val="0"/>
                <w:bCs w:val="0"/>
                <w:color w:val="auto"/>
                <w:sz w:val="21"/>
                <w:szCs w:val="21"/>
                <w:highlight w:val="none"/>
              </w:rPr>
              <w:t>微克/立方米、5</w:t>
            </w:r>
            <w:r>
              <w:rPr>
                <w:rFonts w:hint="eastAsia" w:ascii="Times New Roman" w:hAnsi="Times New Roman" w:eastAsia="宋体" w:cs="Times New Roman"/>
                <w:b w:val="0"/>
                <w:bCs w:val="0"/>
                <w:color w:val="auto"/>
                <w:sz w:val="21"/>
                <w:szCs w:val="21"/>
                <w:highlight w:val="none"/>
                <w:lang w:val="en-US" w:eastAsia="zh-CN"/>
              </w:rPr>
              <w:t>2</w:t>
            </w:r>
            <w:r>
              <w:rPr>
                <w:rFonts w:hint="default" w:ascii="Times New Roman" w:hAnsi="Times New Roman" w:eastAsia="宋体" w:cs="Times New Roman"/>
                <w:b w:val="0"/>
                <w:bCs w:val="0"/>
                <w:color w:val="auto"/>
                <w:sz w:val="21"/>
                <w:szCs w:val="21"/>
                <w:highlight w:val="none"/>
              </w:rPr>
              <w:t>微克/立方米、8微克/立方米、</w:t>
            </w:r>
            <w:r>
              <w:rPr>
                <w:rFonts w:hint="eastAsia" w:ascii="Times New Roman" w:hAnsi="Times New Roman" w:eastAsia="宋体" w:cs="Times New Roman"/>
                <w:b w:val="0"/>
                <w:bCs w:val="0"/>
                <w:color w:val="auto"/>
                <w:sz w:val="21"/>
                <w:szCs w:val="21"/>
                <w:highlight w:val="none"/>
                <w:lang w:val="en-US" w:eastAsia="zh-CN"/>
              </w:rPr>
              <w:t>26</w:t>
            </w:r>
            <w:r>
              <w:rPr>
                <w:rFonts w:hint="default" w:ascii="Times New Roman" w:hAnsi="Times New Roman" w:eastAsia="宋体" w:cs="Times New Roman"/>
                <w:b w:val="0"/>
                <w:bCs w:val="0"/>
                <w:color w:val="auto"/>
                <w:sz w:val="21"/>
                <w:szCs w:val="21"/>
                <w:highlight w:val="none"/>
              </w:rPr>
              <w:t>微克/立方米</w:t>
            </w:r>
            <w:r>
              <w:rPr>
                <w:rFonts w:hint="eastAsia" w:ascii="Times New Roman" w:hAnsi="Times New Roman" w:eastAsia="宋体" w:cs="Times New Roman"/>
                <w:b w:val="0"/>
                <w:bCs w:val="0"/>
                <w:color w:val="auto"/>
                <w:sz w:val="21"/>
                <w:szCs w:val="21"/>
                <w:highlight w:val="none"/>
                <w:lang w:eastAsia="zh-CN"/>
              </w:rPr>
              <w:t>；</w:t>
            </w:r>
            <w:r>
              <w:rPr>
                <w:rFonts w:hint="default" w:ascii="Times New Roman" w:hAnsi="Times New Roman" w:eastAsia="宋体" w:cs="Times New Roman"/>
                <w:b w:val="0"/>
                <w:bCs w:val="0"/>
                <w:color w:val="auto"/>
                <w:sz w:val="21"/>
                <w:szCs w:val="21"/>
                <w:highlight w:val="none"/>
              </w:rPr>
              <w:t>一氧化碳</w:t>
            </w:r>
            <w:r>
              <w:rPr>
                <w:rFonts w:hint="eastAsia" w:ascii="Times New Roman" w:hAnsi="Times New Roman" w:eastAsia="宋体" w:cs="Times New Roman"/>
                <w:b w:val="0"/>
                <w:bCs w:val="0"/>
                <w:color w:val="auto"/>
                <w:sz w:val="21"/>
                <w:szCs w:val="21"/>
                <w:highlight w:val="none"/>
                <w:lang w:eastAsia="zh-CN"/>
              </w:rPr>
              <w:t>（</w:t>
            </w:r>
            <w:r>
              <w:rPr>
                <w:rFonts w:hint="default" w:ascii="Times New Roman" w:hAnsi="Times New Roman" w:eastAsia="宋体" w:cs="Times New Roman"/>
                <w:b w:val="0"/>
                <w:bCs w:val="0"/>
                <w:color w:val="auto"/>
                <w:sz w:val="21"/>
                <w:szCs w:val="21"/>
                <w:highlight w:val="none"/>
              </w:rPr>
              <w:t>CO</w:t>
            </w:r>
            <w:r>
              <w:rPr>
                <w:rFonts w:hint="eastAsia" w:ascii="Times New Roman" w:hAnsi="Times New Roman" w:eastAsia="宋体" w:cs="Times New Roman"/>
                <w:b w:val="0"/>
                <w:bCs w:val="0"/>
                <w:color w:val="auto"/>
                <w:sz w:val="21"/>
                <w:szCs w:val="21"/>
                <w:highlight w:val="none"/>
                <w:lang w:eastAsia="zh-CN"/>
              </w:rPr>
              <w:t>）</w:t>
            </w:r>
            <w:r>
              <w:rPr>
                <w:rFonts w:hint="default" w:ascii="Times New Roman" w:hAnsi="Times New Roman" w:eastAsia="宋体" w:cs="Times New Roman"/>
                <w:b w:val="0"/>
                <w:bCs w:val="0"/>
                <w:color w:val="auto"/>
                <w:sz w:val="21"/>
                <w:szCs w:val="21"/>
                <w:highlight w:val="none"/>
              </w:rPr>
              <w:t>和臭氧</w:t>
            </w:r>
            <w:r>
              <w:rPr>
                <w:rFonts w:hint="eastAsia" w:ascii="Times New Roman" w:hAnsi="Times New Roman" w:eastAsia="宋体" w:cs="Times New Roman"/>
                <w:b w:val="0"/>
                <w:bCs w:val="0"/>
                <w:color w:val="auto"/>
                <w:sz w:val="21"/>
                <w:szCs w:val="21"/>
                <w:highlight w:val="none"/>
                <w:lang w:eastAsia="zh-CN"/>
              </w:rPr>
              <w:t>（</w:t>
            </w:r>
            <w:r>
              <w:rPr>
                <w:rFonts w:hint="eastAsia" w:ascii="Times New Roman" w:hAnsi="Times New Roman" w:eastAsia="宋体" w:cs="Times New Roman"/>
                <w:b w:val="0"/>
                <w:bCs w:val="0"/>
                <w:color w:val="auto"/>
                <w:sz w:val="21"/>
                <w:szCs w:val="21"/>
                <w:highlight w:val="none"/>
                <w:lang w:val="en-US" w:eastAsia="zh-CN"/>
              </w:rPr>
              <w:t>O</w:t>
            </w:r>
            <w:r>
              <w:rPr>
                <w:rFonts w:hint="eastAsia" w:ascii="Times New Roman" w:hAnsi="Times New Roman" w:eastAsia="宋体" w:cs="Times New Roman"/>
                <w:b w:val="0"/>
                <w:bCs w:val="0"/>
                <w:color w:val="auto"/>
                <w:sz w:val="21"/>
                <w:szCs w:val="21"/>
                <w:highlight w:val="none"/>
                <w:vertAlign w:val="subscript"/>
                <w:lang w:val="en-US" w:eastAsia="zh-CN"/>
              </w:rPr>
              <w:t>3</w:t>
            </w:r>
            <w:r>
              <w:rPr>
                <w:rFonts w:hint="eastAsia" w:ascii="Times New Roman" w:hAnsi="Times New Roman" w:eastAsia="宋体" w:cs="Times New Roman"/>
                <w:b w:val="0"/>
                <w:bCs w:val="0"/>
                <w:color w:val="auto"/>
                <w:sz w:val="21"/>
                <w:szCs w:val="21"/>
                <w:highlight w:val="none"/>
                <w:lang w:eastAsia="zh-CN"/>
              </w:rPr>
              <w:t>）</w:t>
            </w:r>
            <w:r>
              <w:rPr>
                <w:rFonts w:hint="default" w:ascii="Times New Roman" w:hAnsi="Times New Roman" w:eastAsia="宋体" w:cs="Times New Roman"/>
                <w:b w:val="0"/>
                <w:bCs w:val="0"/>
                <w:color w:val="auto"/>
                <w:sz w:val="21"/>
                <w:szCs w:val="21"/>
                <w:highlight w:val="none"/>
              </w:rPr>
              <w:t>浓度分别为1.1毫克/立方米和1</w:t>
            </w:r>
            <w:r>
              <w:rPr>
                <w:rFonts w:hint="eastAsia" w:ascii="Times New Roman" w:hAnsi="Times New Roman" w:eastAsia="宋体" w:cs="Times New Roman"/>
                <w:b w:val="0"/>
                <w:bCs w:val="0"/>
                <w:color w:val="auto"/>
                <w:sz w:val="21"/>
                <w:szCs w:val="21"/>
                <w:highlight w:val="none"/>
                <w:lang w:val="en-US" w:eastAsia="zh-CN"/>
              </w:rPr>
              <w:t>68</w:t>
            </w:r>
            <w:r>
              <w:rPr>
                <w:rFonts w:hint="default" w:ascii="Times New Roman" w:hAnsi="Times New Roman" w:eastAsia="宋体" w:cs="Times New Roman"/>
                <w:b w:val="0"/>
                <w:bCs w:val="0"/>
                <w:color w:val="auto"/>
                <w:sz w:val="21"/>
                <w:szCs w:val="21"/>
                <w:highlight w:val="none"/>
              </w:rPr>
              <w:t>微克/立方米。其中，市区细颗粒物、可吸入颗粒物、二氧化氮、臭氧和一氧化碳浓度均同比下降，降幅依次为2.9%、10.2%、12.9%、4.5%和9.1%</w:t>
            </w:r>
            <w:r>
              <w:rPr>
                <w:color w:val="auto"/>
                <w:szCs w:val="21"/>
              </w:rPr>
              <w:t>。</w:t>
            </w:r>
            <w:r>
              <w:rPr>
                <w:rFonts w:hint="eastAsia"/>
                <w:color w:val="auto"/>
                <w:szCs w:val="21"/>
              </w:rPr>
              <w:t>PM</w:t>
            </w:r>
            <w:r>
              <w:rPr>
                <w:rFonts w:hint="eastAsia"/>
                <w:color w:val="auto"/>
                <w:szCs w:val="21"/>
                <w:vertAlign w:val="subscript"/>
              </w:rPr>
              <w:t>2.5</w:t>
            </w:r>
            <w:r>
              <w:rPr>
                <w:rFonts w:hint="eastAsia"/>
                <w:color w:val="auto"/>
                <w:szCs w:val="21"/>
              </w:rPr>
              <w:t>日均值</w:t>
            </w:r>
            <w:r>
              <w:rPr>
                <w:rFonts w:hint="eastAsia"/>
                <w:color w:val="auto"/>
                <w:szCs w:val="21"/>
                <w:lang w:eastAsia="zh-CN"/>
              </w:rPr>
              <w:t>、</w:t>
            </w:r>
            <w:r>
              <w:rPr>
                <w:color w:val="auto"/>
                <w:szCs w:val="21"/>
              </w:rPr>
              <w:t>O</w:t>
            </w:r>
            <w:r>
              <w:rPr>
                <w:color w:val="auto"/>
                <w:szCs w:val="21"/>
                <w:vertAlign w:val="subscript"/>
              </w:rPr>
              <w:t>3</w:t>
            </w:r>
            <w:r>
              <w:rPr>
                <w:color w:val="auto"/>
                <w:szCs w:val="21"/>
              </w:rPr>
              <w:t>日最大8小时滑动平均值的第90百分位数</w:t>
            </w:r>
            <w:r>
              <w:rPr>
                <w:rFonts w:hint="eastAsia"/>
                <w:color w:val="auto"/>
                <w:szCs w:val="21"/>
                <w:lang w:val="en-US" w:eastAsia="zh-CN"/>
              </w:rPr>
              <w:t>及日平均值浓度范围</w:t>
            </w:r>
            <w:r>
              <w:rPr>
                <w:color w:val="auto"/>
                <w:szCs w:val="21"/>
              </w:rPr>
              <w:t>超过《环境空气质量标准》（GB3095-2012）中二级标准</w:t>
            </w:r>
            <w:r>
              <w:rPr>
                <w:rFonts w:hint="eastAsia"/>
                <w:color w:val="auto"/>
                <w:szCs w:val="21"/>
                <w:lang w:eastAsia="zh-CN"/>
              </w:rPr>
              <w:t>，</w:t>
            </w:r>
            <w:r>
              <w:rPr>
                <w:color w:val="auto"/>
                <w:szCs w:val="21"/>
              </w:rPr>
              <w:t>项目所在区域202</w:t>
            </w:r>
            <w:r>
              <w:rPr>
                <w:rFonts w:hint="eastAsia"/>
                <w:color w:val="auto"/>
                <w:szCs w:val="21"/>
                <w:lang w:val="en-US" w:eastAsia="zh-CN"/>
              </w:rPr>
              <w:t>4</w:t>
            </w:r>
            <w:r>
              <w:rPr>
                <w:color w:val="auto"/>
                <w:szCs w:val="21"/>
              </w:rPr>
              <w:t>年环境空气质量不达标</w:t>
            </w:r>
            <w:r>
              <w:rPr>
                <w:rFonts w:hint="eastAsia"/>
                <w:color w:val="auto"/>
                <w:szCs w:val="21"/>
                <w:lang w:eastAsia="zh-CN"/>
              </w:rPr>
              <w:t>。</w:t>
            </w:r>
          </w:p>
          <w:p w14:paraId="4965E941">
            <w:pPr>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color w:val="auto"/>
                <w:szCs w:val="21"/>
              </w:rPr>
            </w:pPr>
            <w:r>
              <w:rPr>
                <w:color w:val="auto"/>
                <w:szCs w:val="21"/>
              </w:rPr>
              <w:t>根据现状引用数据可知，项目所在区域空气环境中非甲烷总烃</w:t>
            </w:r>
            <w:r>
              <w:rPr>
                <w:rFonts w:hint="eastAsia"/>
                <w:color w:val="auto"/>
                <w:szCs w:val="21"/>
                <w:lang w:eastAsia="zh-CN"/>
              </w:rPr>
              <w:t>、</w:t>
            </w:r>
            <w:r>
              <w:rPr>
                <w:rFonts w:hint="eastAsia"/>
                <w:color w:val="auto"/>
                <w:szCs w:val="21"/>
                <w:lang w:val="en-US" w:eastAsia="zh-CN"/>
              </w:rPr>
              <w:t>颗粒物</w:t>
            </w:r>
            <w:r>
              <w:rPr>
                <w:color w:val="auto"/>
                <w:szCs w:val="21"/>
              </w:rPr>
              <w:t>满足项目所在地区的环境功能区划要求。</w:t>
            </w:r>
          </w:p>
          <w:p w14:paraId="5B099A3E">
            <w:pPr>
              <w:pStyle w:val="62"/>
              <w:keepNext w:val="0"/>
              <w:keepLines w:val="0"/>
              <w:pageBreakBefore w:val="0"/>
              <w:widowControl w:val="0"/>
              <w:kinsoku/>
              <w:wordWrap/>
              <w:overflowPunct/>
              <w:topLinePunct w:val="0"/>
              <w:bidi w:val="0"/>
              <w:adjustRightInd w:val="0"/>
              <w:snapToGrid w:val="0"/>
              <w:spacing w:after="0" w:line="360" w:lineRule="auto"/>
              <w:ind w:firstLine="420" w:firstLineChars="200"/>
              <w:jc w:val="both"/>
              <w:textAlignment w:val="auto"/>
              <w:rPr>
                <w:rFonts w:ascii="Times New Roman" w:cs="Times New Roman"/>
                <w:color w:val="auto"/>
                <w:sz w:val="21"/>
                <w:szCs w:val="21"/>
              </w:rPr>
            </w:pPr>
            <w:r>
              <w:rPr>
                <w:rFonts w:ascii="Times New Roman" w:cs="Times New Roman"/>
                <w:b w:val="0"/>
                <w:bCs/>
                <w:color w:val="auto"/>
                <w:sz w:val="21"/>
                <w:szCs w:val="21"/>
              </w:rPr>
              <w:t>水环境：本项目污水受纳水体尧塘河2个断面各监测因子均能满足《地表水环境质量标准》（GB3838-2002）III类水标准要求。</w:t>
            </w:r>
          </w:p>
          <w:p w14:paraId="23321968">
            <w:pPr>
              <w:pStyle w:val="62"/>
              <w:keepNext w:val="0"/>
              <w:keepLines w:val="0"/>
              <w:pageBreakBefore w:val="0"/>
              <w:widowControl w:val="0"/>
              <w:kinsoku/>
              <w:wordWrap/>
              <w:overflowPunct/>
              <w:topLinePunct w:val="0"/>
              <w:bidi w:val="0"/>
              <w:adjustRightInd w:val="0"/>
              <w:snapToGrid w:val="0"/>
              <w:spacing w:after="0" w:line="360" w:lineRule="auto"/>
              <w:ind w:firstLine="420" w:firstLineChars="200"/>
              <w:jc w:val="both"/>
              <w:textAlignment w:val="auto"/>
              <w:rPr>
                <w:rFonts w:ascii="Times New Roman" w:cs="Times New Roman"/>
                <w:b w:val="0"/>
                <w:bCs/>
                <w:color w:val="auto"/>
                <w:sz w:val="21"/>
                <w:szCs w:val="21"/>
              </w:rPr>
            </w:pPr>
            <w:r>
              <w:rPr>
                <w:rFonts w:ascii="Times New Roman" w:cs="Times New Roman"/>
                <w:b w:val="0"/>
                <w:bCs/>
                <w:color w:val="auto"/>
                <w:sz w:val="21"/>
                <w:szCs w:val="21"/>
              </w:rPr>
              <w:t>声环境：建设项目所在地各厂界处昼</w:t>
            </w:r>
            <w:r>
              <w:rPr>
                <w:rFonts w:hint="eastAsia" w:ascii="Times New Roman" w:cs="Times New Roman"/>
                <w:b w:val="0"/>
                <w:bCs/>
                <w:color w:val="auto"/>
                <w:sz w:val="21"/>
                <w:szCs w:val="21"/>
                <w:lang w:val="en-US" w:eastAsia="zh-CN"/>
              </w:rPr>
              <w:t>夜</w:t>
            </w:r>
            <w:r>
              <w:rPr>
                <w:rFonts w:ascii="Times New Roman" w:cs="Times New Roman"/>
                <w:b w:val="0"/>
                <w:bCs/>
                <w:color w:val="auto"/>
                <w:sz w:val="21"/>
                <w:szCs w:val="21"/>
              </w:rPr>
              <w:t>间声环境质量监测结果符合《声环境质量标准》（GB3096-2008）中的</w:t>
            </w:r>
            <w:r>
              <w:rPr>
                <w:rFonts w:hint="eastAsia" w:ascii="Times New Roman" w:cs="Times New Roman"/>
                <w:b w:val="0"/>
                <w:bCs/>
                <w:color w:val="auto"/>
                <w:sz w:val="21"/>
                <w:szCs w:val="21"/>
                <w:lang w:val="en-US" w:eastAsia="zh-CN"/>
              </w:rPr>
              <w:t>2</w:t>
            </w:r>
            <w:r>
              <w:rPr>
                <w:rFonts w:ascii="Times New Roman" w:cs="Times New Roman"/>
                <w:b w:val="0"/>
                <w:bCs/>
                <w:color w:val="auto"/>
                <w:sz w:val="21"/>
                <w:szCs w:val="21"/>
              </w:rPr>
              <w:t>类区限值要求。</w:t>
            </w:r>
          </w:p>
          <w:p w14:paraId="02FA1275">
            <w:pPr>
              <w:pStyle w:val="51"/>
              <w:keepNext w:val="0"/>
              <w:keepLines w:val="0"/>
              <w:pageBreakBefore w:val="0"/>
              <w:widowControl w:val="0"/>
              <w:kinsoku/>
              <w:wordWrap/>
              <w:overflowPunct/>
              <w:topLinePunct w:val="0"/>
              <w:bidi w:val="0"/>
              <w:adjustRightInd w:val="0"/>
              <w:snapToGrid w:val="0"/>
              <w:spacing w:line="360" w:lineRule="auto"/>
              <w:ind w:firstLine="420"/>
              <w:textAlignment w:val="auto"/>
              <w:rPr>
                <w:color w:val="auto"/>
                <w:sz w:val="21"/>
                <w:szCs w:val="21"/>
              </w:rPr>
            </w:pPr>
            <w:r>
              <w:rPr>
                <w:rFonts w:hint="eastAsia"/>
                <w:color w:val="auto"/>
                <w:sz w:val="21"/>
                <w:szCs w:val="21"/>
              </w:rPr>
              <w:t>配料、投料粉尘半密闭收集至布袋除尘器处理后通过1根15米高排气筒DA001排放，挤出、烘干、测试废气半密闭收集至1套“水喷淋塔+除湿器+二级活性炭吸附装置”处理后通过1根15米高排气筒DA002排放，破碎过程密闭操作，产生的微量粉尘无组织排放</w:t>
            </w:r>
            <w:r>
              <w:rPr>
                <w:color w:val="auto"/>
                <w:sz w:val="21"/>
                <w:szCs w:val="21"/>
              </w:rPr>
              <w:t>。废气均可达标排放</w:t>
            </w:r>
            <w:r>
              <w:rPr>
                <w:rFonts w:hint="eastAsia"/>
                <w:color w:val="auto"/>
                <w:sz w:val="21"/>
                <w:szCs w:val="21"/>
                <w:lang w:eastAsia="zh-CN"/>
              </w:rPr>
              <w:t>，</w:t>
            </w:r>
            <w:r>
              <w:rPr>
                <w:color w:val="auto"/>
                <w:sz w:val="21"/>
                <w:szCs w:val="21"/>
              </w:rPr>
              <w:t>对大气环境影响较小，不会对区域大气环境质量造成明显</w:t>
            </w:r>
            <w:r>
              <w:rPr>
                <w:rFonts w:hint="eastAsia"/>
                <w:color w:val="auto"/>
                <w:sz w:val="21"/>
                <w:szCs w:val="21"/>
              </w:rPr>
              <w:t>影响</w:t>
            </w:r>
            <w:r>
              <w:rPr>
                <w:color w:val="auto"/>
                <w:sz w:val="21"/>
                <w:szCs w:val="21"/>
              </w:rPr>
              <w:t>；生活污水接管至常州金坛区第二污水处理有限公司集中处理；固体废物均按照要求委托相关单位进行妥善处置。上述措施确保拟建项目污染物排放对环境的影响降到最低，不会突破环境质量底线，改变区域环境功能区。</w:t>
            </w:r>
          </w:p>
          <w:p w14:paraId="4C91363B">
            <w:pPr>
              <w:pStyle w:val="51"/>
              <w:keepNext w:val="0"/>
              <w:keepLines w:val="0"/>
              <w:pageBreakBefore w:val="0"/>
              <w:widowControl w:val="0"/>
              <w:kinsoku/>
              <w:wordWrap/>
              <w:overflowPunct/>
              <w:topLinePunct w:val="0"/>
              <w:bidi w:val="0"/>
              <w:adjustRightInd w:val="0"/>
              <w:snapToGrid w:val="0"/>
              <w:spacing w:line="360" w:lineRule="auto"/>
              <w:ind w:firstLine="420"/>
              <w:textAlignment w:val="auto"/>
              <w:rPr>
                <w:color w:val="auto"/>
                <w:sz w:val="21"/>
                <w:szCs w:val="21"/>
              </w:rPr>
            </w:pPr>
            <w:r>
              <w:rPr>
                <w:rFonts w:hint="eastAsia"/>
                <w:color w:val="auto"/>
                <w:sz w:val="21"/>
                <w:szCs w:val="21"/>
              </w:rPr>
              <w:t>3、</w:t>
            </w:r>
            <w:r>
              <w:rPr>
                <w:color w:val="auto"/>
                <w:sz w:val="21"/>
                <w:szCs w:val="21"/>
              </w:rPr>
              <w:t>资源利用上线相符性</w:t>
            </w:r>
          </w:p>
          <w:p w14:paraId="7B8454EC">
            <w:pPr>
              <w:pStyle w:val="51"/>
              <w:keepNext w:val="0"/>
              <w:keepLines w:val="0"/>
              <w:pageBreakBefore w:val="0"/>
              <w:widowControl w:val="0"/>
              <w:kinsoku/>
              <w:wordWrap/>
              <w:overflowPunct/>
              <w:topLinePunct w:val="0"/>
              <w:bidi w:val="0"/>
              <w:adjustRightInd w:val="0"/>
              <w:snapToGrid w:val="0"/>
              <w:spacing w:line="360" w:lineRule="auto"/>
              <w:ind w:firstLine="420"/>
              <w:textAlignment w:val="auto"/>
              <w:rPr>
                <w:color w:val="auto"/>
                <w:sz w:val="21"/>
                <w:szCs w:val="21"/>
              </w:rPr>
            </w:pPr>
            <w:r>
              <w:rPr>
                <w:rFonts w:hint="eastAsia"/>
                <w:color w:val="auto"/>
                <w:sz w:val="21"/>
                <w:szCs w:val="21"/>
              </w:rPr>
              <w:t>本</w:t>
            </w:r>
            <w:r>
              <w:rPr>
                <w:color w:val="auto"/>
                <w:sz w:val="21"/>
                <w:szCs w:val="21"/>
              </w:rPr>
              <w:t>项目位于</w:t>
            </w:r>
            <w:r>
              <w:rPr>
                <w:rFonts w:hint="eastAsia"/>
                <w:color w:val="auto"/>
                <w:sz w:val="21"/>
                <w:szCs w:val="21"/>
                <w:lang w:eastAsia="zh-CN"/>
              </w:rPr>
              <w:t>常州市金坛区经济开发区东湖路28号</w:t>
            </w:r>
            <w:r>
              <w:rPr>
                <w:color w:val="auto"/>
                <w:sz w:val="21"/>
                <w:szCs w:val="21"/>
              </w:rPr>
              <w:t>，用水来源为市政自来水，用电为开发区供电管网。项目使用的水电量均较小，开发区自来水厂、供电管网均可满足本项目的使用要求。项目所需的原材料均可就近购买，因此建设项目与资源利用上线相符。</w:t>
            </w:r>
          </w:p>
          <w:p w14:paraId="6DC960BF">
            <w:pPr>
              <w:pStyle w:val="51"/>
              <w:keepNext w:val="0"/>
              <w:keepLines w:val="0"/>
              <w:pageBreakBefore w:val="0"/>
              <w:widowControl w:val="0"/>
              <w:kinsoku/>
              <w:wordWrap/>
              <w:overflowPunct/>
              <w:topLinePunct w:val="0"/>
              <w:bidi w:val="0"/>
              <w:adjustRightInd w:val="0"/>
              <w:snapToGrid w:val="0"/>
              <w:spacing w:line="360" w:lineRule="auto"/>
              <w:ind w:firstLine="420"/>
              <w:textAlignment w:val="auto"/>
              <w:rPr>
                <w:color w:val="auto"/>
                <w:sz w:val="21"/>
                <w:szCs w:val="21"/>
              </w:rPr>
            </w:pPr>
            <w:r>
              <w:rPr>
                <w:rFonts w:hint="eastAsia"/>
                <w:color w:val="auto"/>
                <w:sz w:val="21"/>
                <w:szCs w:val="21"/>
              </w:rPr>
              <w:t>4、</w:t>
            </w:r>
            <w:r>
              <w:rPr>
                <w:color w:val="auto"/>
                <w:sz w:val="21"/>
                <w:szCs w:val="21"/>
              </w:rPr>
              <w:t>环境准入负面清单相符性分析</w:t>
            </w:r>
          </w:p>
          <w:p w14:paraId="5041E20A">
            <w:pPr>
              <w:pStyle w:val="51"/>
              <w:keepNext w:val="0"/>
              <w:keepLines w:val="0"/>
              <w:pageBreakBefore w:val="0"/>
              <w:widowControl w:val="0"/>
              <w:kinsoku/>
              <w:wordWrap/>
              <w:overflowPunct/>
              <w:topLinePunct w:val="0"/>
              <w:bidi w:val="0"/>
              <w:adjustRightInd w:val="0"/>
              <w:snapToGrid w:val="0"/>
              <w:spacing w:line="360" w:lineRule="auto"/>
              <w:ind w:firstLine="420"/>
              <w:textAlignment w:val="auto"/>
              <w:rPr>
                <w:color w:val="auto"/>
                <w:sz w:val="21"/>
                <w:szCs w:val="21"/>
              </w:rPr>
            </w:pPr>
            <w:r>
              <w:rPr>
                <w:color w:val="auto"/>
                <w:sz w:val="21"/>
                <w:szCs w:val="21"/>
              </w:rPr>
              <w:t>金坛区尚未颁布环境准入负面清单，因此本次对照国家、地方相关产业政策分析。详见下表：</w:t>
            </w:r>
          </w:p>
          <w:p w14:paraId="72E045E2">
            <w:pPr>
              <w:pStyle w:val="51"/>
              <w:adjustRightInd w:val="0"/>
              <w:snapToGrid w:val="0"/>
              <w:spacing w:line="240" w:lineRule="auto"/>
              <w:ind w:firstLine="0" w:firstLineChars="0"/>
              <w:jc w:val="center"/>
              <w:rPr>
                <w:b/>
                <w:bCs/>
                <w:color w:val="auto"/>
                <w:sz w:val="21"/>
                <w:szCs w:val="21"/>
              </w:rPr>
            </w:pPr>
            <w:r>
              <w:rPr>
                <w:b/>
                <w:bCs/>
                <w:color w:val="auto"/>
                <w:sz w:val="21"/>
                <w:szCs w:val="21"/>
              </w:rPr>
              <w:t>表1-</w:t>
            </w:r>
            <w:r>
              <w:rPr>
                <w:rFonts w:hint="eastAsia"/>
                <w:b/>
                <w:bCs/>
                <w:color w:val="auto"/>
                <w:sz w:val="21"/>
                <w:szCs w:val="21"/>
                <w:lang w:val="en-US" w:eastAsia="zh-CN"/>
              </w:rPr>
              <w:t>3</w:t>
            </w:r>
            <w:r>
              <w:rPr>
                <w:b/>
                <w:bCs/>
                <w:color w:val="auto"/>
                <w:sz w:val="21"/>
                <w:szCs w:val="21"/>
              </w:rPr>
              <w:t xml:space="preserve"> 环境准入负面清单对照</w:t>
            </w:r>
          </w:p>
          <w:tbl>
            <w:tblPr>
              <w:tblStyle w:val="28"/>
              <w:tblW w:w="4998"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776"/>
              <w:gridCol w:w="6288"/>
              <w:gridCol w:w="931"/>
            </w:tblGrid>
            <w:tr w14:paraId="2D391A5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485" w:type="pct"/>
                  <w:noWrap w:val="0"/>
                  <w:tcMar>
                    <w:top w:w="0" w:type="dxa"/>
                    <w:left w:w="0" w:type="dxa"/>
                    <w:bottom w:w="0" w:type="dxa"/>
                    <w:right w:w="0" w:type="dxa"/>
                  </w:tcMar>
                  <w:vAlign w:val="center"/>
                </w:tcPr>
                <w:p w14:paraId="0016348A">
                  <w:pPr>
                    <w:pStyle w:val="69"/>
                    <w:autoSpaceDE/>
                    <w:autoSpaceDN/>
                    <w:adjustRightInd w:val="0"/>
                    <w:jc w:val="center"/>
                    <w:textAlignment w:val="top"/>
                    <w:rPr>
                      <w:rFonts w:ascii="Times New Roman" w:hAnsi="Times New Roman" w:eastAsia="宋体" w:cs="Times New Roman"/>
                      <w:b/>
                      <w:bCs/>
                      <w:color w:val="auto"/>
                      <w:kern w:val="2"/>
                      <w:sz w:val="21"/>
                      <w:szCs w:val="21"/>
                    </w:rPr>
                  </w:pPr>
                  <w:r>
                    <w:rPr>
                      <w:rFonts w:ascii="Times New Roman" w:hAnsi="Times New Roman" w:eastAsia="宋体" w:cs="Times New Roman"/>
                      <w:b/>
                      <w:bCs/>
                      <w:color w:val="auto"/>
                      <w:kern w:val="2"/>
                      <w:sz w:val="21"/>
                      <w:szCs w:val="21"/>
                    </w:rPr>
                    <w:t>类别</w:t>
                  </w:r>
                </w:p>
              </w:tc>
              <w:tc>
                <w:tcPr>
                  <w:tcW w:w="3931" w:type="pct"/>
                  <w:noWrap w:val="0"/>
                  <w:tcMar>
                    <w:top w:w="0" w:type="dxa"/>
                    <w:left w:w="0" w:type="dxa"/>
                    <w:bottom w:w="0" w:type="dxa"/>
                    <w:right w:w="0" w:type="dxa"/>
                  </w:tcMar>
                  <w:vAlign w:val="center"/>
                </w:tcPr>
                <w:p w14:paraId="33286BF6">
                  <w:pPr>
                    <w:pStyle w:val="69"/>
                    <w:autoSpaceDE/>
                    <w:autoSpaceDN/>
                    <w:adjustRightInd w:val="0"/>
                    <w:jc w:val="center"/>
                    <w:textAlignment w:val="top"/>
                    <w:rPr>
                      <w:rFonts w:ascii="Times New Roman" w:hAnsi="Times New Roman" w:eastAsia="宋体" w:cs="Times New Roman"/>
                      <w:b/>
                      <w:bCs/>
                      <w:color w:val="auto"/>
                      <w:kern w:val="2"/>
                      <w:sz w:val="21"/>
                      <w:szCs w:val="21"/>
                    </w:rPr>
                  </w:pPr>
                  <w:r>
                    <w:rPr>
                      <w:rFonts w:ascii="Times New Roman" w:hAnsi="Times New Roman" w:eastAsia="宋体" w:cs="Times New Roman"/>
                      <w:b/>
                      <w:bCs/>
                      <w:color w:val="auto"/>
                      <w:kern w:val="2"/>
                      <w:sz w:val="21"/>
                      <w:szCs w:val="21"/>
                    </w:rPr>
                    <w:t>准入指标</w:t>
                  </w:r>
                </w:p>
              </w:tc>
              <w:tc>
                <w:tcPr>
                  <w:tcW w:w="582" w:type="pct"/>
                  <w:noWrap w:val="0"/>
                  <w:tcMar>
                    <w:top w:w="0" w:type="dxa"/>
                    <w:left w:w="0" w:type="dxa"/>
                    <w:bottom w:w="0" w:type="dxa"/>
                    <w:right w:w="0" w:type="dxa"/>
                  </w:tcMar>
                  <w:vAlign w:val="center"/>
                </w:tcPr>
                <w:p w14:paraId="7E44B484">
                  <w:pPr>
                    <w:pStyle w:val="69"/>
                    <w:autoSpaceDE/>
                    <w:autoSpaceDN/>
                    <w:adjustRightInd w:val="0"/>
                    <w:jc w:val="center"/>
                    <w:textAlignment w:val="top"/>
                    <w:rPr>
                      <w:rFonts w:ascii="Times New Roman" w:hAnsi="Times New Roman" w:eastAsia="宋体" w:cs="Times New Roman"/>
                      <w:b/>
                      <w:bCs/>
                      <w:color w:val="auto"/>
                      <w:kern w:val="2"/>
                      <w:sz w:val="21"/>
                      <w:szCs w:val="21"/>
                    </w:rPr>
                  </w:pPr>
                  <w:r>
                    <w:rPr>
                      <w:rFonts w:ascii="Times New Roman" w:hAnsi="Times New Roman" w:eastAsia="宋体" w:cs="Times New Roman"/>
                      <w:b/>
                      <w:bCs/>
                      <w:color w:val="auto"/>
                      <w:kern w:val="2"/>
                      <w:sz w:val="21"/>
                      <w:szCs w:val="21"/>
                    </w:rPr>
                    <w:t>相符性</w:t>
                  </w:r>
                </w:p>
              </w:tc>
            </w:tr>
            <w:tr w14:paraId="6D8A321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0" w:hRule="atLeast"/>
              </w:trPr>
              <w:tc>
                <w:tcPr>
                  <w:tcW w:w="485" w:type="pct"/>
                  <w:noWrap w:val="0"/>
                  <w:tcMar>
                    <w:top w:w="0" w:type="dxa"/>
                    <w:left w:w="0" w:type="dxa"/>
                    <w:bottom w:w="0" w:type="dxa"/>
                    <w:right w:w="0" w:type="dxa"/>
                  </w:tcMar>
                  <w:vAlign w:val="center"/>
                </w:tcPr>
                <w:p w14:paraId="0C4D6506">
                  <w:pPr>
                    <w:jc w:val="center"/>
                    <w:rPr>
                      <w:color w:val="auto"/>
                      <w:szCs w:val="21"/>
                    </w:rPr>
                  </w:pPr>
                  <w:r>
                    <w:rPr>
                      <w:rFonts w:hint="eastAsia"/>
                      <w:color w:val="auto"/>
                      <w:szCs w:val="21"/>
                    </w:rPr>
                    <w:t>1</w:t>
                  </w:r>
                </w:p>
              </w:tc>
              <w:tc>
                <w:tcPr>
                  <w:tcW w:w="3931" w:type="pct"/>
                  <w:noWrap w:val="0"/>
                  <w:tcMar>
                    <w:top w:w="0" w:type="dxa"/>
                    <w:left w:w="0" w:type="dxa"/>
                    <w:bottom w:w="0" w:type="dxa"/>
                    <w:right w:w="0" w:type="dxa"/>
                  </w:tcMar>
                  <w:vAlign w:val="center"/>
                </w:tcPr>
                <w:p w14:paraId="0675FD1E">
                  <w:pPr>
                    <w:pStyle w:val="69"/>
                    <w:autoSpaceDE/>
                    <w:autoSpaceDN/>
                    <w:adjustRightInd w:val="0"/>
                    <w:jc w:val="center"/>
                    <w:textAlignment w:val="top"/>
                    <w:rPr>
                      <w:rFonts w:ascii="Times New Roman" w:hAnsi="Times New Roman" w:eastAsia="宋体" w:cs="Times New Roman"/>
                      <w:color w:val="auto"/>
                      <w:kern w:val="2"/>
                      <w:sz w:val="21"/>
                      <w:szCs w:val="21"/>
                    </w:rPr>
                  </w:pPr>
                  <w:r>
                    <w:rPr>
                      <w:rFonts w:ascii="Times New Roman" w:hAnsi="Times New Roman" w:eastAsia="宋体" w:cs="Times New Roman"/>
                      <w:color w:val="auto"/>
                      <w:kern w:val="2"/>
                      <w:sz w:val="21"/>
                      <w:szCs w:val="21"/>
                    </w:rPr>
                    <w:t>法律、法规、国务院决定等明确设立且与市场准入相关的禁止性规定</w:t>
                  </w:r>
                </w:p>
              </w:tc>
              <w:tc>
                <w:tcPr>
                  <w:tcW w:w="582" w:type="pct"/>
                  <w:noWrap w:val="0"/>
                  <w:tcMar>
                    <w:top w:w="0" w:type="dxa"/>
                    <w:left w:w="0" w:type="dxa"/>
                    <w:bottom w:w="0" w:type="dxa"/>
                    <w:right w:w="0" w:type="dxa"/>
                  </w:tcMar>
                  <w:vAlign w:val="center"/>
                </w:tcPr>
                <w:p w14:paraId="44216C97">
                  <w:pPr>
                    <w:pStyle w:val="69"/>
                    <w:autoSpaceDE/>
                    <w:autoSpaceDN/>
                    <w:adjustRightInd w:val="0"/>
                    <w:jc w:val="center"/>
                    <w:textAlignment w:val="top"/>
                    <w:rPr>
                      <w:rFonts w:ascii="Times New Roman" w:hAnsi="Times New Roman" w:eastAsia="宋体" w:cs="Times New Roman"/>
                      <w:color w:val="auto"/>
                      <w:kern w:val="2"/>
                      <w:sz w:val="21"/>
                      <w:szCs w:val="21"/>
                    </w:rPr>
                  </w:pPr>
                  <w:r>
                    <w:rPr>
                      <w:rFonts w:ascii="Times New Roman" w:hAnsi="Times New Roman" w:eastAsia="宋体" w:cs="Times New Roman"/>
                      <w:color w:val="auto"/>
                      <w:kern w:val="2"/>
                      <w:sz w:val="21"/>
                      <w:szCs w:val="21"/>
                    </w:rPr>
                    <w:t>相符</w:t>
                  </w:r>
                </w:p>
              </w:tc>
            </w:tr>
            <w:tr w14:paraId="0620234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485" w:type="pct"/>
                  <w:noWrap w:val="0"/>
                  <w:tcMar>
                    <w:top w:w="0" w:type="dxa"/>
                    <w:left w:w="0" w:type="dxa"/>
                    <w:bottom w:w="0" w:type="dxa"/>
                    <w:right w:w="0" w:type="dxa"/>
                  </w:tcMar>
                  <w:vAlign w:val="center"/>
                </w:tcPr>
                <w:p w14:paraId="505B27BC">
                  <w:pPr>
                    <w:jc w:val="center"/>
                    <w:rPr>
                      <w:color w:val="auto"/>
                      <w:szCs w:val="21"/>
                    </w:rPr>
                  </w:pPr>
                  <w:r>
                    <w:rPr>
                      <w:rFonts w:hint="eastAsia"/>
                      <w:color w:val="auto"/>
                      <w:szCs w:val="21"/>
                    </w:rPr>
                    <w:t>2</w:t>
                  </w:r>
                </w:p>
              </w:tc>
              <w:tc>
                <w:tcPr>
                  <w:tcW w:w="3931" w:type="pct"/>
                  <w:noWrap w:val="0"/>
                  <w:tcMar>
                    <w:top w:w="0" w:type="dxa"/>
                    <w:left w:w="0" w:type="dxa"/>
                    <w:bottom w:w="0" w:type="dxa"/>
                    <w:right w:w="0" w:type="dxa"/>
                  </w:tcMar>
                  <w:vAlign w:val="center"/>
                </w:tcPr>
                <w:p w14:paraId="27698A1D">
                  <w:pPr>
                    <w:pStyle w:val="69"/>
                    <w:autoSpaceDE/>
                    <w:autoSpaceDN/>
                    <w:adjustRightInd w:val="0"/>
                    <w:jc w:val="center"/>
                    <w:textAlignment w:val="top"/>
                    <w:rPr>
                      <w:rFonts w:ascii="Times New Roman" w:hAnsi="Times New Roman" w:eastAsia="宋体" w:cs="Times New Roman"/>
                      <w:color w:val="auto"/>
                      <w:kern w:val="2"/>
                      <w:sz w:val="21"/>
                      <w:szCs w:val="21"/>
                    </w:rPr>
                  </w:pPr>
                  <w:r>
                    <w:rPr>
                      <w:rFonts w:ascii="Times New Roman" w:hAnsi="Times New Roman" w:eastAsia="宋体" w:cs="Times New Roman"/>
                      <w:color w:val="auto"/>
                      <w:kern w:val="2"/>
                      <w:sz w:val="21"/>
                      <w:szCs w:val="21"/>
                    </w:rPr>
                    <w:t>本项目从事</w:t>
                  </w:r>
                  <w:r>
                    <w:rPr>
                      <w:rFonts w:hint="eastAsia" w:ascii="Times New Roman" w:hAnsi="Times New Roman" w:eastAsia="宋体" w:cs="Times New Roman"/>
                      <w:color w:val="auto"/>
                      <w:kern w:val="2"/>
                      <w:sz w:val="21"/>
                      <w:szCs w:val="21"/>
                      <w:lang w:eastAsia="zh-CN"/>
                    </w:rPr>
                    <w:t>热塑性弹性体颗</w:t>
                  </w:r>
                  <w:r>
                    <w:rPr>
                      <w:rFonts w:hint="eastAsia" w:ascii="Times New Roman" w:hAnsi="Times New Roman" w:eastAsia="宋体" w:cs="Times New Roman"/>
                      <w:color w:val="auto"/>
                      <w:lang w:eastAsia="zh-CN"/>
                    </w:rPr>
                    <w:t>粒</w:t>
                  </w:r>
                  <w:r>
                    <w:rPr>
                      <w:rFonts w:hint="eastAsia" w:ascii="Times New Roman" w:hAnsi="Times New Roman" w:eastAsia="宋体" w:cs="Times New Roman"/>
                      <w:color w:val="auto"/>
                      <w:kern w:val="2"/>
                      <w:sz w:val="21"/>
                      <w:szCs w:val="21"/>
                      <w:lang w:eastAsia="zh-CN"/>
                    </w:rPr>
                    <w:t>、汽车密封件</w:t>
                  </w:r>
                  <w:r>
                    <w:rPr>
                      <w:rFonts w:ascii="Times New Roman" w:hAnsi="Times New Roman" w:eastAsia="宋体" w:cs="Times New Roman"/>
                      <w:color w:val="auto"/>
                      <w:kern w:val="2"/>
                      <w:sz w:val="21"/>
                      <w:szCs w:val="21"/>
                    </w:rPr>
                    <w:t>的生产，产品及采用的生产工艺、设备等均不属于国家发改委《产业结构调整指导目录（</w:t>
                  </w:r>
                  <w:r>
                    <w:rPr>
                      <w:rFonts w:hint="eastAsia" w:ascii="Times New Roman" w:hAnsi="Times New Roman" w:eastAsia="宋体" w:cs="Times New Roman"/>
                      <w:color w:val="auto"/>
                      <w:kern w:val="2"/>
                      <w:sz w:val="21"/>
                      <w:szCs w:val="21"/>
                    </w:rPr>
                    <w:t>2024年本</w:t>
                  </w:r>
                  <w:r>
                    <w:rPr>
                      <w:rFonts w:ascii="Times New Roman" w:hAnsi="Times New Roman" w:eastAsia="宋体" w:cs="Times New Roman"/>
                      <w:color w:val="auto"/>
                      <w:kern w:val="2"/>
                      <w:sz w:val="21"/>
                      <w:szCs w:val="21"/>
                    </w:rPr>
                    <w:t>）》中限制类和淘汰类项目。</w:t>
                  </w:r>
                </w:p>
              </w:tc>
              <w:tc>
                <w:tcPr>
                  <w:tcW w:w="582" w:type="pct"/>
                  <w:noWrap w:val="0"/>
                  <w:tcMar>
                    <w:top w:w="0" w:type="dxa"/>
                    <w:left w:w="0" w:type="dxa"/>
                    <w:bottom w:w="0" w:type="dxa"/>
                    <w:right w:w="0" w:type="dxa"/>
                  </w:tcMar>
                  <w:vAlign w:val="center"/>
                </w:tcPr>
                <w:p w14:paraId="0212A0E0">
                  <w:pPr>
                    <w:pStyle w:val="69"/>
                    <w:autoSpaceDE/>
                    <w:autoSpaceDN/>
                    <w:adjustRightInd w:val="0"/>
                    <w:jc w:val="center"/>
                    <w:textAlignment w:val="top"/>
                    <w:rPr>
                      <w:rFonts w:ascii="Times New Roman" w:hAnsi="Times New Roman" w:eastAsia="宋体" w:cs="Times New Roman"/>
                      <w:color w:val="auto"/>
                      <w:kern w:val="2"/>
                      <w:sz w:val="21"/>
                      <w:szCs w:val="21"/>
                    </w:rPr>
                  </w:pPr>
                  <w:r>
                    <w:rPr>
                      <w:rFonts w:ascii="Times New Roman" w:hAnsi="Times New Roman" w:eastAsia="宋体" w:cs="Times New Roman"/>
                      <w:color w:val="auto"/>
                      <w:kern w:val="2"/>
                      <w:sz w:val="21"/>
                      <w:szCs w:val="21"/>
                    </w:rPr>
                    <w:t>相符</w:t>
                  </w:r>
                </w:p>
              </w:tc>
            </w:tr>
            <w:tr w14:paraId="6032480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485" w:type="pct"/>
                  <w:noWrap w:val="0"/>
                  <w:tcMar>
                    <w:top w:w="0" w:type="dxa"/>
                    <w:left w:w="0" w:type="dxa"/>
                    <w:bottom w:w="0" w:type="dxa"/>
                    <w:right w:w="0" w:type="dxa"/>
                  </w:tcMar>
                  <w:vAlign w:val="center"/>
                </w:tcPr>
                <w:p w14:paraId="642CF651">
                  <w:pPr>
                    <w:jc w:val="center"/>
                    <w:rPr>
                      <w:color w:val="auto"/>
                      <w:szCs w:val="21"/>
                    </w:rPr>
                  </w:pPr>
                  <w:r>
                    <w:rPr>
                      <w:rFonts w:hint="eastAsia"/>
                      <w:color w:val="auto"/>
                      <w:szCs w:val="21"/>
                    </w:rPr>
                    <w:t>3</w:t>
                  </w:r>
                </w:p>
              </w:tc>
              <w:tc>
                <w:tcPr>
                  <w:tcW w:w="3931" w:type="pct"/>
                  <w:noWrap w:val="0"/>
                  <w:tcMar>
                    <w:top w:w="0" w:type="dxa"/>
                    <w:left w:w="0" w:type="dxa"/>
                    <w:bottom w:w="0" w:type="dxa"/>
                    <w:right w:w="0" w:type="dxa"/>
                  </w:tcMar>
                  <w:vAlign w:val="center"/>
                </w:tcPr>
                <w:p w14:paraId="2EE4B2A5">
                  <w:pPr>
                    <w:jc w:val="center"/>
                    <w:rPr>
                      <w:color w:val="auto"/>
                      <w:szCs w:val="21"/>
                    </w:rPr>
                  </w:pPr>
                  <w:r>
                    <w:rPr>
                      <w:color w:val="auto"/>
                      <w:szCs w:val="21"/>
                    </w:rPr>
                    <w:t>本项目从事</w:t>
                  </w:r>
                  <w:r>
                    <w:rPr>
                      <w:rFonts w:hint="eastAsia"/>
                      <w:color w:val="auto"/>
                      <w:szCs w:val="21"/>
                      <w:lang w:eastAsia="zh-CN"/>
                    </w:rPr>
                    <w:t>热塑性弹性体颗</w:t>
                  </w:r>
                  <w:r>
                    <w:rPr>
                      <w:rFonts w:hint="eastAsia" w:ascii="Times New Roman" w:hAnsi="Times New Roman" w:eastAsia="宋体" w:cs="Times New Roman"/>
                      <w:color w:val="auto"/>
                      <w:lang w:eastAsia="zh-CN"/>
                    </w:rPr>
                    <w:t>粒</w:t>
                  </w:r>
                  <w:r>
                    <w:rPr>
                      <w:rFonts w:hint="eastAsia"/>
                      <w:color w:val="auto"/>
                      <w:szCs w:val="21"/>
                      <w:lang w:eastAsia="zh-CN"/>
                    </w:rPr>
                    <w:t>、汽车密封件</w:t>
                  </w:r>
                  <w:r>
                    <w:rPr>
                      <w:color w:val="auto"/>
                      <w:szCs w:val="21"/>
                    </w:rPr>
                    <w:t>的生产，不属于《市场准入负面清单》（202</w:t>
                  </w:r>
                  <w:r>
                    <w:rPr>
                      <w:rFonts w:hint="eastAsia"/>
                      <w:color w:val="auto"/>
                      <w:szCs w:val="21"/>
                      <w:lang w:val="en-US" w:eastAsia="zh-CN"/>
                    </w:rPr>
                    <w:t>5</w:t>
                  </w:r>
                  <w:r>
                    <w:rPr>
                      <w:color w:val="auto"/>
                      <w:szCs w:val="21"/>
                    </w:rPr>
                    <w:t>年版）中禁止准入类项目</w:t>
                  </w:r>
                </w:p>
              </w:tc>
              <w:tc>
                <w:tcPr>
                  <w:tcW w:w="582" w:type="pct"/>
                  <w:noWrap w:val="0"/>
                  <w:tcMar>
                    <w:top w:w="0" w:type="dxa"/>
                    <w:left w:w="0" w:type="dxa"/>
                    <w:bottom w:w="0" w:type="dxa"/>
                    <w:right w:w="0" w:type="dxa"/>
                  </w:tcMar>
                  <w:vAlign w:val="center"/>
                </w:tcPr>
                <w:p w14:paraId="226BB79C">
                  <w:pPr>
                    <w:jc w:val="center"/>
                    <w:rPr>
                      <w:color w:val="auto"/>
                      <w:szCs w:val="21"/>
                    </w:rPr>
                  </w:pPr>
                  <w:r>
                    <w:rPr>
                      <w:color w:val="auto"/>
                      <w:szCs w:val="21"/>
                    </w:rPr>
                    <w:t>相符</w:t>
                  </w:r>
                </w:p>
              </w:tc>
            </w:tr>
            <w:tr w14:paraId="4381BE2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485" w:type="pct"/>
                  <w:noWrap w:val="0"/>
                  <w:tcMar>
                    <w:top w:w="0" w:type="dxa"/>
                    <w:left w:w="0" w:type="dxa"/>
                    <w:bottom w:w="0" w:type="dxa"/>
                    <w:right w:w="0" w:type="dxa"/>
                  </w:tcMar>
                  <w:vAlign w:val="center"/>
                </w:tcPr>
                <w:p w14:paraId="457D9C3C">
                  <w:pPr>
                    <w:jc w:val="center"/>
                    <w:rPr>
                      <w:color w:val="auto"/>
                      <w:szCs w:val="21"/>
                    </w:rPr>
                  </w:pPr>
                  <w:r>
                    <w:rPr>
                      <w:rFonts w:hint="eastAsia"/>
                      <w:color w:val="auto"/>
                      <w:szCs w:val="21"/>
                    </w:rPr>
                    <w:t>4</w:t>
                  </w:r>
                </w:p>
              </w:tc>
              <w:tc>
                <w:tcPr>
                  <w:tcW w:w="3931" w:type="pct"/>
                  <w:noWrap w:val="0"/>
                  <w:tcMar>
                    <w:top w:w="0" w:type="dxa"/>
                    <w:left w:w="0" w:type="dxa"/>
                    <w:bottom w:w="0" w:type="dxa"/>
                    <w:right w:w="0" w:type="dxa"/>
                  </w:tcMar>
                  <w:vAlign w:val="center"/>
                </w:tcPr>
                <w:p w14:paraId="605046BC">
                  <w:pPr>
                    <w:pStyle w:val="69"/>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本项目从事</w:t>
                  </w:r>
                  <w:r>
                    <w:rPr>
                      <w:rFonts w:hint="eastAsia" w:ascii="Times New Roman" w:hAnsi="Times New Roman" w:eastAsia="宋体" w:cs="Times New Roman"/>
                      <w:color w:val="auto"/>
                      <w:sz w:val="21"/>
                      <w:szCs w:val="21"/>
                      <w:lang w:eastAsia="zh-CN"/>
                    </w:rPr>
                    <w:t>热塑性弹性体颗</w:t>
                  </w:r>
                  <w:r>
                    <w:rPr>
                      <w:rFonts w:hint="eastAsia" w:ascii="Times New Roman" w:hAnsi="Times New Roman" w:eastAsia="宋体" w:cs="Times New Roman"/>
                      <w:color w:val="auto"/>
                      <w:lang w:eastAsia="zh-CN"/>
                    </w:rPr>
                    <w:t>粒</w:t>
                  </w:r>
                  <w:r>
                    <w:rPr>
                      <w:rFonts w:hint="eastAsia" w:ascii="Times New Roman" w:hAnsi="Times New Roman" w:eastAsia="宋体" w:cs="Times New Roman"/>
                      <w:color w:val="auto"/>
                      <w:sz w:val="21"/>
                      <w:szCs w:val="21"/>
                      <w:lang w:eastAsia="zh-CN"/>
                    </w:rPr>
                    <w:t>、汽车密封件</w:t>
                  </w:r>
                  <w:r>
                    <w:rPr>
                      <w:rFonts w:ascii="Times New Roman" w:hAnsi="Times New Roman" w:eastAsia="宋体" w:cs="Times New Roman"/>
                      <w:color w:val="auto"/>
                      <w:sz w:val="21"/>
                      <w:szCs w:val="21"/>
                    </w:rPr>
                    <w:t>的生产，项目地位于</w:t>
                  </w:r>
                  <w:r>
                    <w:rPr>
                      <w:rFonts w:hint="eastAsia" w:ascii="Times New Roman" w:hAnsi="Times New Roman" w:eastAsia="宋体" w:cs="Times New Roman"/>
                      <w:color w:val="auto"/>
                      <w:sz w:val="21"/>
                      <w:szCs w:val="21"/>
                      <w:lang w:eastAsia="zh-CN"/>
                    </w:rPr>
                    <w:t>常州市金坛区经济开发区东湖路28号</w:t>
                  </w:r>
                  <w:r>
                    <w:rPr>
                      <w:rFonts w:ascii="Times New Roman" w:hAnsi="Times New Roman" w:eastAsia="宋体" w:cs="Times New Roman"/>
                      <w:color w:val="auto"/>
                      <w:sz w:val="21"/>
                      <w:szCs w:val="21"/>
                    </w:rPr>
                    <w:t>，属于金坛经济开发区的范围内，产品及采用的生产工艺、设备等未列入长江经济带发展负面清单，不属于《&lt;长江经济带发展负面清单指南&gt;江苏省实施细则（试行）》中禁止入驻的项目，故符合“《长江经济带发展负面清单指南》江苏省实施细则管控条款（试行）”的相关规定。</w:t>
                  </w:r>
                </w:p>
              </w:tc>
              <w:tc>
                <w:tcPr>
                  <w:tcW w:w="582" w:type="pct"/>
                  <w:noWrap w:val="0"/>
                  <w:tcMar>
                    <w:top w:w="0" w:type="dxa"/>
                    <w:left w:w="0" w:type="dxa"/>
                    <w:bottom w:w="0" w:type="dxa"/>
                    <w:right w:w="0" w:type="dxa"/>
                  </w:tcMar>
                  <w:vAlign w:val="center"/>
                </w:tcPr>
                <w:p w14:paraId="74929240">
                  <w:pPr>
                    <w:jc w:val="center"/>
                    <w:rPr>
                      <w:color w:val="auto"/>
                      <w:kern w:val="0"/>
                      <w:szCs w:val="21"/>
                    </w:rPr>
                  </w:pPr>
                  <w:r>
                    <w:rPr>
                      <w:color w:val="auto"/>
                      <w:szCs w:val="21"/>
                    </w:rPr>
                    <w:t>相符</w:t>
                  </w:r>
                </w:p>
              </w:tc>
            </w:tr>
            <w:tr w14:paraId="6EC67A6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485" w:type="pct"/>
                  <w:noWrap w:val="0"/>
                  <w:tcMar>
                    <w:top w:w="0" w:type="dxa"/>
                    <w:left w:w="0" w:type="dxa"/>
                    <w:bottom w:w="0" w:type="dxa"/>
                    <w:right w:w="0" w:type="dxa"/>
                  </w:tcMar>
                  <w:vAlign w:val="center"/>
                </w:tcPr>
                <w:p w14:paraId="71D636FC">
                  <w:pPr>
                    <w:jc w:val="center"/>
                    <w:rPr>
                      <w:color w:val="auto"/>
                      <w:szCs w:val="21"/>
                    </w:rPr>
                  </w:pPr>
                  <w:r>
                    <w:rPr>
                      <w:rFonts w:hint="eastAsia"/>
                      <w:color w:val="auto"/>
                      <w:szCs w:val="21"/>
                    </w:rPr>
                    <w:t>5</w:t>
                  </w:r>
                </w:p>
              </w:tc>
              <w:tc>
                <w:tcPr>
                  <w:tcW w:w="3931" w:type="pct"/>
                  <w:noWrap w:val="0"/>
                  <w:tcMar>
                    <w:top w:w="0" w:type="dxa"/>
                    <w:left w:w="0" w:type="dxa"/>
                    <w:bottom w:w="0" w:type="dxa"/>
                    <w:right w:w="0" w:type="dxa"/>
                  </w:tcMar>
                  <w:vAlign w:val="center"/>
                </w:tcPr>
                <w:p w14:paraId="20CDD9A6">
                  <w:pPr>
                    <w:pStyle w:val="69"/>
                    <w:rPr>
                      <w:rFonts w:ascii="Times New Roman" w:hAnsi="Times New Roman" w:eastAsia="宋体" w:cs="Times New Roman"/>
                      <w:color w:val="auto"/>
                      <w:sz w:val="21"/>
                      <w:szCs w:val="21"/>
                    </w:rPr>
                  </w:pPr>
                  <w:r>
                    <w:rPr>
                      <w:rFonts w:ascii="Times New Roman" w:hAnsi="Times New Roman" w:eastAsia="宋体" w:cs="Times New Roman"/>
                      <w:color w:val="auto"/>
                      <w:kern w:val="2"/>
                      <w:sz w:val="21"/>
                      <w:szCs w:val="21"/>
                    </w:rPr>
                    <w:t>本项目从事</w:t>
                  </w:r>
                  <w:r>
                    <w:rPr>
                      <w:rFonts w:hint="eastAsia" w:ascii="Times New Roman" w:hAnsi="Times New Roman" w:eastAsia="宋体" w:cs="Times New Roman"/>
                      <w:color w:val="auto"/>
                      <w:kern w:val="2"/>
                      <w:sz w:val="21"/>
                      <w:szCs w:val="21"/>
                      <w:lang w:eastAsia="zh-CN"/>
                    </w:rPr>
                    <w:t>热塑性弹性体颗</w:t>
                  </w:r>
                  <w:r>
                    <w:rPr>
                      <w:rFonts w:hint="eastAsia" w:ascii="Times New Roman" w:hAnsi="Times New Roman" w:eastAsia="宋体" w:cs="Times New Roman"/>
                      <w:color w:val="auto"/>
                      <w:lang w:eastAsia="zh-CN"/>
                    </w:rPr>
                    <w:t>粒</w:t>
                  </w:r>
                  <w:r>
                    <w:rPr>
                      <w:rFonts w:hint="eastAsia" w:ascii="Times New Roman" w:hAnsi="Times New Roman" w:eastAsia="宋体" w:cs="Times New Roman"/>
                      <w:color w:val="auto"/>
                      <w:kern w:val="2"/>
                      <w:sz w:val="21"/>
                      <w:szCs w:val="21"/>
                      <w:lang w:eastAsia="zh-CN"/>
                    </w:rPr>
                    <w:t>、汽车密封件</w:t>
                  </w:r>
                  <w:r>
                    <w:rPr>
                      <w:rFonts w:ascii="Times New Roman" w:hAnsi="Times New Roman" w:eastAsia="宋体" w:cs="Times New Roman"/>
                      <w:color w:val="auto"/>
                      <w:kern w:val="2"/>
                      <w:sz w:val="21"/>
                      <w:szCs w:val="21"/>
                    </w:rPr>
                    <w:t>的生产</w:t>
                  </w:r>
                  <w:r>
                    <w:rPr>
                      <w:rFonts w:hint="eastAsia" w:ascii="Times New Roman" w:hAnsi="Times New Roman" w:eastAsia="宋体" w:cs="Times New Roman"/>
                      <w:color w:val="auto"/>
                      <w:kern w:val="2"/>
                      <w:sz w:val="21"/>
                      <w:szCs w:val="21"/>
                    </w:rPr>
                    <w:t>，属于</w:t>
                  </w:r>
                  <w:r>
                    <w:rPr>
                      <w:rFonts w:hint="eastAsia" w:eastAsia="宋体"/>
                      <w:color w:val="auto"/>
                      <w:szCs w:val="21"/>
                      <w:lang w:eastAsia="zh-CN"/>
                    </w:rPr>
                    <w:t>塑料零件及其他塑料制品制造</w:t>
                  </w:r>
                  <w:r>
                    <w:rPr>
                      <w:rFonts w:hint="eastAsia" w:ascii="Times New Roman" w:hAnsi="Times New Roman" w:eastAsia="宋体" w:cs="Times New Roman"/>
                      <w:color w:val="auto"/>
                      <w:kern w:val="2"/>
                      <w:sz w:val="21"/>
                      <w:szCs w:val="21"/>
                    </w:rPr>
                    <w:t>项目，不属于《江苏省“两高”项目管理目录（2025年版）》中“两高”项目范围</w:t>
                  </w:r>
                </w:p>
              </w:tc>
              <w:tc>
                <w:tcPr>
                  <w:tcW w:w="582" w:type="pct"/>
                  <w:noWrap w:val="0"/>
                  <w:tcMar>
                    <w:top w:w="0" w:type="dxa"/>
                    <w:left w:w="0" w:type="dxa"/>
                    <w:bottom w:w="0" w:type="dxa"/>
                    <w:right w:w="0" w:type="dxa"/>
                  </w:tcMar>
                  <w:vAlign w:val="center"/>
                </w:tcPr>
                <w:p w14:paraId="4EFEC48F">
                  <w:pPr>
                    <w:jc w:val="center"/>
                    <w:rPr>
                      <w:color w:val="auto"/>
                      <w:szCs w:val="21"/>
                    </w:rPr>
                  </w:pPr>
                  <w:r>
                    <w:rPr>
                      <w:color w:val="auto"/>
                      <w:szCs w:val="21"/>
                    </w:rPr>
                    <w:t>相符</w:t>
                  </w:r>
                </w:p>
              </w:tc>
            </w:tr>
          </w:tbl>
          <w:p w14:paraId="5B4D3867">
            <w:pPr>
              <w:spacing w:before="120" w:beforeLines="50"/>
              <w:jc w:val="center"/>
              <w:rPr>
                <w:b/>
                <w:bCs/>
                <w:color w:val="auto"/>
              </w:rPr>
            </w:pPr>
            <w:r>
              <w:rPr>
                <w:b/>
                <w:bCs/>
                <w:color w:val="auto"/>
              </w:rPr>
              <w:t>表1-</w:t>
            </w:r>
            <w:r>
              <w:rPr>
                <w:rFonts w:hint="eastAsia"/>
                <w:b/>
                <w:bCs/>
                <w:color w:val="auto"/>
                <w:lang w:val="en-US" w:eastAsia="zh-CN"/>
              </w:rPr>
              <w:t>4</w:t>
            </w:r>
            <w:r>
              <w:rPr>
                <w:b/>
                <w:bCs/>
                <w:color w:val="auto"/>
              </w:rPr>
              <w:t xml:space="preserve"> 与《&lt;长江经济带发展负面清单指南（试行、2022年版）&gt;江苏省实施细则》</w:t>
            </w:r>
          </w:p>
          <w:p w14:paraId="648DF080">
            <w:pPr>
              <w:jc w:val="center"/>
              <w:rPr>
                <w:color w:val="auto"/>
              </w:rPr>
            </w:pPr>
            <w:r>
              <w:rPr>
                <w:b/>
                <w:bCs/>
                <w:color w:val="auto"/>
              </w:rPr>
              <w:t>相符性分析</w:t>
            </w:r>
          </w:p>
          <w:tbl>
            <w:tblPr>
              <w:tblStyle w:val="28"/>
              <w:tblW w:w="4996"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532"/>
              <w:gridCol w:w="6539"/>
              <w:gridCol w:w="921"/>
            </w:tblGrid>
            <w:tr w14:paraId="76A1503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23DFBB58">
                  <w:pPr>
                    <w:jc w:val="center"/>
                    <w:rPr>
                      <w:b/>
                      <w:bCs/>
                      <w:color w:val="auto"/>
                      <w:szCs w:val="21"/>
                    </w:rPr>
                  </w:pPr>
                  <w:r>
                    <w:rPr>
                      <w:rFonts w:hint="eastAsia"/>
                      <w:b/>
                      <w:bCs/>
                      <w:color w:val="auto"/>
                      <w:szCs w:val="21"/>
                    </w:rPr>
                    <w:t>序号</w:t>
                  </w:r>
                </w:p>
              </w:tc>
              <w:tc>
                <w:tcPr>
                  <w:tcW w:w="4090" w:type="pct"/>
                  <w:noWrap w:val="0"/>
                  <w:tcMar>
                    <w:top w:w="0" w:type="dxa"/>
                    <w:left w:w="0" w:type="dxa"/>
                    <w:bottom w:w="0" w:type="dxa"/>
                    <w:right w:w="0" w:type="dxa"/>
                  </w:tcMar>
                  <w:vAlign w:val="center"/>
                </w:tcPr>
                <w:p w14:paraId="10D19D35">
                  <w:pPr>
                    <w:jc w:val="center"/>
                    <w:rPr>
                      <w:b/>
                      <w:bCs/>
                      <w:color w:val="auto"/>
                      <w:szCs w:val="21"/>
                    </w:rPr>
                  </w:pPr>
                  <w:r>
                    <w:rPr>
                      <w:b/>
                      <w:bCs/>
                      <w:color w:val="auto"/>
                      <w:szCs w:val="21"/>
                    </w:rPr>
                    <w:t>长江经济带发展负面清单</w:t>
                  </w:r>
                </w:p>
              </w:tc>
              <w:tc>
                <w:tcPr>
                  <w:tcW w:w="576" w:type="pct"/>
                  <w:noWrap w:val="0"/>
                  <w:tcMar>
                    <w:top w:w="0" w:type="dxa"/>
                    <w:left w:w="0" w:type="dxa"/>
                    <w:bottom w:w="0" w:type="dxa"/>
                    <w:right w:w="0" w:type="dxa"/>
                  </w:tcMar>
                  <w:vAlign w:val="center"/>
                </w:tcPr>
                <w:p w14:paraId="4FECC055">
                  <w:pPr>
                    <w:jc w:val="center"/>
                    <w:rPr>
                      <w:b/>
                      <w:bCs/>
                      <w:color w:val="auto"/>
                      <w:szCs w:val="21"/>
                    </w:rPr>
                  </w:pPr>
                  <w:r>
                    <w:rPr>
                      <w:b/>
                      <w:bCs/>
                      <w:color w:val="auto"/>
                      <w:szCs w:val="21"/>
                    </w:rPr>
                    <w:t>相符性</w:t>
                  </w:r>
                </w:p>
              </w:tc>
            </w:tr>
            <w:tr w14:paraId="17489B3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008C1329">
                  <w:pPr>
                    <w:jc w:val="center"/>
                    <w:rPr>
                      <w:color w:val="auto"/>
                      <w:szCs w:val="21"/>
                    </w:rPr>
                  </w:pPr>
                  <w:r>
                    <w:rPr>
                      <w:rFonts w:hint="eastAsia"/>
                      <w:color w:val="auto"/>
                      <w:szCs w:val="21"/>
                    </w:rPr>
                    <w:t>1</w:t>
                  </w:r>
                </w:p>
              </w:tc>
              <w:tc>
                <w:tcPr>
                  <w:tcW w:w="4090" w:type="pct"/>
                  <w:noWrap w:val="0"/>
                  <w:tcMar>
                    <w:top w:w="0" w:type="dxa"/>
                    <w:left w:w="0" w:type="dxa"/>
                    <w:bottom w:w="0" w:type="dxa"/>
                    <w:right w:w="0" w:type="dxa"/>
                  </w:tcMar>
                  <w:vAlign w:val="center"/>
                </w:tcPr>
                <w:p w14:paraId="11BC5EBC">
                  <w:pPr>
                    <w:jc w:val="center"/>
                    <w:rPr>
                      <w:color w:val="auto"/>
                      <w:szCs w:val="21"/>
                    </w:rPr>
                  </w:pPr>
                  <w:r>
                    <w:rPr>
                      <w:color w:val="auto"/>
                      <w:szCs w:val="21"/>
                    </w:rPr>
                    <w:t>禁止建设不符合全国和省级港口布局规划以及港口总体规划的码头项目</w:t>
                  </w:r>
                  <w:r>
                    <w:rPr>
                      <w:rFonts w:hint="eastAsia"/>
                      <w:color w:val="auto"/>
                      <w:szCs w:val="21"/>
                    </w:rPr>
                    <w:t>，</w:t>
                  </w:r>
                  <w:r>
                    <w:rPr>
                      <w:color w:val="auto"/>
                      <w:szCs w:val="21"/>
                    </w:rPr>
                    <w:t>禁止建设不符合《长江干线过江通道布局规划》的过长江通道项目</w:t>
                  </w:r>
                  <w:r>
                    <w:rPr>
                      <w:rFonts w:hint="eastAsia"/>
                      <w:color w:val="auto"/>
                      <w:szCs w:val="21"/>
                    </w:rPr>
                    <w:t>。</w:t>
                  </w:r>
                </w:p>
              </w:tc>
              <w:tc>
                <w:tcPr>
                  <w:tcW w:w="576" w:type="pct"/>
                  <w:vMerge w:val="restart"/>
                  <w:noWrap w:val="0"/>
                  <w:tcMar>
                    <w:top w:w="0" w:type="dxa"/>
                    <w:left w:w="0" w:type="dxa"/>
                    <w:bottom w:w="0" w:type="dxa"/>
                    <w:right w:w="0" w:type="dxa"/>
                  </w:tcMar>
                  <w:vAlign w:val="center"/>
                </w:tcPr>
                <w:p w14:paraId="67453F1E">
                  <w:pPr>
                    <w:jc w:val="center"/>
                    <w:rPr>
                      <w:color w:val="auto"/>
                      <w:szCs w:val="21"/>
                    </w:rPr>
                  </w:pPr>
                  <w:r>
                    <w:rPr>
                      <w:color w:val="auto"/>
                      <w:szCs w:val="21"/>
                    </w:rPr>
                    <w:t>本项目</w:t>
                  </w:r>
                  <w:r>
                    <w:rPr>
                      <w:rFonts w:hint="eastAsia"/>
                      <w:color w:val="auto"/>
                      <w:szCs w:val="21"/>
                    </w:rPr>
                    <w:t>为</w:t>
                  </w:r>
                  <w:r>
                    <w:rPr>
                      <w:rFonts w:hint="eastAsia" w:eastAsia="宋体"/>
                      <w:color w:val="auto"/>
                      <w:szCs w:val="21"/>
                      <w:lang w:eastAsia="zh-CN"/>
                    </w:rPr>
                    <w:t>塑料零件及其他塑料制品制造</w:t>
                  </w:r>
                  <w:r>
                    <w:rPr>
                      <w:rFonts w:hint="eastAsia"/>
                      <w:color w:val="auto"/>
                      <w:szCs w:val="21"/>
                    </w:rPr>
                    <w:t>项目</w:t>
                  </w:r>
                  <w:r>
                    <w:rPr>
                      <w:color w:val="auto"/>
                      <w:szCs w:val="21"/>
                    </w:rPr>
                    <w:t>，位于</w:t>
                  </w:r>
                  <w:r>
                    <w:rPr>
                      <w:rFonts w:hint="eastAsia"/>
                      <w:color w:val="auto"/>
                      <w:szCs w:val="21"/>
                      <w:lang w:eastAsia="zh-CN"/>
                    </w:rPr>
                    <w:t>常州市金坛区经济开发区东湖路28号</w:t>
                  </w:r>
                  <w:r>
                    <w:rPr>
                      <w:rFonts w:hint="eastAsia"/>
                      <w:color w:val="auto"/>
                      <w:szCs w:val="21"/>
                    </w:rPr>
                    <w:t>。</w:t>
                  </w:r>
                  <w:r>
                    <w:rPr>
                      <w:color w:val="auto"/>
                      <w:szCs w:val="21"/>
                    </w:rPr>
                    <w:t>不在生态空间保护区域内。本项目不涉及港口建设，不涉及钢铁、石化、化工、焦化、建材、有色化工原料等高污染行业及严重过剩产能行业，因此符合相关要求。</w:t>
                  </w:r>
                </w:p>
              </w:tc>
            </w:tr>
            <w:tr w14:paraId="7B05EE6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6A1A3EA7">
                  <w:pPr>
                    <w:jc w:val="center"/>
                    <w:rPr>
                      <w:color w:val="auto"/>
                      <w:szCs w:val="21"/>
                    </w:rPr>
                  </w:pPr>
                  <w:r>
                    <w:rPr>
                      <w:rFonts w:hint="eastAsia"/>
                      <w:color w:val="auto"/>
                      <w:szCs w:val="21"/>
                    </w:rPr>
                    <w:t>2</w:t>
                  </w:r>
                </w:p>
              </w:tc>
              <w:tc>
                <w:tcPr>
                  <w:tcW w:w="4090" w:type="pct"/>
                  <w:noWrap w:val="0"/>
                  <w:tcMar>
                    <w:top w:w="0" w:type="dxa"/>
                    <w:left w:w="0" w:type="dxa"/>
                    <w:bottom w:w="0" w:type="dxa"/>
                    <w:right w:w="0" w:type="dxa"/>
                  </w:tcMar>
                  <w:vAlign w:val="center"/>
                </w:tcPr>
                <w:p w14:paraId="34E33CA8">
                  <w:pPr>
                    <w:jc w:val="center"/>
                    <w:rPr>
                      <w:color w:val="auto"/>
                      <w:szCs w:val="21"/>
                    </w:rPr>
                  </w:pPr>
                  <w:r>
                    <w:rPr>
                      <w:color w:val="auto"/>
                      <w:szCs w:val="21"/>
                    </w:rPr>
                    <w:t>禁止在自然保护区核心区、缓冲区的岸线和河段范围内投资建设旅游和生产经营项目。禁止在风景名胜区核心景区的岸线和河段范围内投资建设与风景名胜资源保护无关的项目。</w:t>
                  </w:r>
                </w:p>
              </w:tc>
              <w:tc>
                <w:tcPr>
                  <w:tcW w:w="576" w:type="pct"/>
                  <w:vMerge w:val="continue"/>
                  <w:noWrap w:val="0"/>
                  <w:tcMar>
                    <w:top w:w="0" w:type="dxa"/>
                    <w:left w:w="0" w:type="dxa"/>
                    <w:bottom w:w="0" w:type="dxa"/>
                    <w:right w:w="0" w:type="dxa"/>
                  </w:tcMar>
                  <w:vAlign w:val="center"/>
                </w:tcPr>
                <w:p w14:paraId="5024730D">
                  <w:pPr>
                    <w:jc w:val="center"/>
                    <w:rPr>
                      <w:color w:val="auto"/>
                      <w:szCs w:val="21"/>
                    </w:rPr>
                  </w:pPr>
                </w:p>
              </w:tc>
            </w:tr>
            <w:tr w14:paraId="33B7D8B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46136296">
                  <w:pPr>
                    <w:jc w:val="center"/>
                    <w:rPr>
                      <w:color w:val="auto"/>
                      <w:szCs w:val="21"/>
                    </w:rPr>
                  </w:pPr>
                  <w:r>
                    <w:rPr>
                      <w:rFonts w:hint="eastAsia"/>
                      <w:color w:val="auto"/>
                      <w:szCs w:val="21"/>
                    </w:rPr>
                    <w:t>3</w:t>
                  </w:r>
                </w:p>
              </w:tc>
              <w:tc>
                <w:tcPr>
                  <w:tcW w:w="4090" w:type="pct"/>
                  <w:noWrap w:val="0"/>
                  <w:tcMar>
                    <w:top w:w="0" w:type="dxa"/>
                    <w:left w:w="0" w:type="dxa"/>
                    <w:bottom w:w="0" w:type="dxa"/>
                    <w:right w:w="0" w:type="dxa"/>
                  </w:tcMar>
                  <w:vAlign w:val="center"/>
                </w:tcPr>
                <w:p w14:paraId="01869361">
                  <w:pPr>
                    <w:jc w:val="center"/>
                    <w:rPr>
                      <w:color w:val="auto"/>
                      <w:szCs w:val="21"/>
                    </w:rPr>
                  </w:pPr>
                  <w:r>
                    <w:rPr>
                      <w:color w:val="auto"/>
                      <w:szCs w:val="21"/>
                    </w:rPr>
                    <w:t>禁止在饮用水水源一级保护区的岸线和河段范围内新建、改建、扩建与供水设施和保护水源无关的项目</w:t>
                  </w:r>
                  <w:r>
                    <w:rPr>
                      <w:rFonts w:hint="eastAsia"/>
                      <w:color w:val="auto"/>
                      <w:szCs w:val="21"/>
                    </w:rPr>
                    <w:t>，</w:t>
                  </w:r>
                  <w:r>
                    <w:rPr>
                      <w:color w:val="auto"/>
                      <w:szCs w:val="21"/>
                    </w:rPr>
                    <w:t>以及网箱养殖、畜禽养殖、旅游等可能污染饮用水水体的投资建设项目。禁止在饮用水水源二级保护区的岸线和河段范围内新建、改建、扩建排放污染物的投资建设项目。</w:t>
                  </w:r>
                </w:p>
              </w:tc>
              <w:tc>
                <w:tcPr>
                  <w:tcW w:w="576" w:type="pct"/>
                  <w:vMerge w:val="continue"/>
                  <w:noWrap w:val="0"/>
                  <w:tcMar>
                    <w:top w:w="0" w:type="dxa"/>
                    <w:left w:w="0" w:type="dxa"/>
                    <w:bottom w:w="0" w:type="dxa"/>
                    <w:right w:w="0" w:type="dxa"/>
                  </w:tcMar>
                  <w:vAlign w:val="center"/>
                </w:tcPr>
                <w:p w14:paraId="0A6B9CB6">
                  <w:pPr>
                    <w:jc w:val="center"/>
                    <w:rPr>
                      <w:color w:val="auto"/>
                      <w:szCs w:val="21"/>
                    </w:rPr>
                  </w:pPr>
                </w:p>
              </w:tc>
            </w:tr>
            <w:tr w14:paraId="2D8E57D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11900BFB">
                  <w:pPr>
                    <w:jc w:val="center"/>
                    <w:rPr>
                      <w:color w:val="auto"/>
                      <w:szCs w:val="21"/>
                    </w:rPr>
                  </w:pPr>
                  <w:r>
                    <w:rPr>
                      <w:rFonts w:hint="eastAsia"/>
                      <w:color w:val="auto"/>
                      <w:szCs w:val="21"/>
                    </w:rPr>
                    <w:t>4</w:t>
                  </w:r>
                </w:p>
              </w:tc>
              <w:tc>
                <w:tcPr>
                  <w:tcW w:w="4090" w:type="pct"/>
                  <w:noWrap w:val="0"/>
                  <w:tcMar>
                    <w:top w:w="0" w:type="dxa"/>
                    <w:left w:w="0" w:type="dxa"/>
                    <w:bottom w:w="0" w:type="dxa"/>
                    <w:right w:w="0" w:type="dxa"/>
                  </w:tcMar>
                  <w:vAlign w:val="center"/>
                </w:tcPr>
                <w:p w14:paraId="4A90BEB9">
                  <w:pPr>
                    <w:jc w:val="center"/>
                    <w:rPr>
                      <w:color w:val="auto"/>
                      <w:szCs w:val="21"/>
                    </w:rPr>
                  </w:pPr>
                  <w:r>
                    <w:rPr>
                      <w:color w:val="auto"/>
                      <w:szCs w:val="21"/>
                    </w:rPr>
                    <w:t>禁止在水产种质资源保护区的岸线和河段范围内新建围湖造田、围海造地或围填海等投资建设项目。禁止在国家湿地公园的岸线和河段范围内挖沙、采矿</w:t>
                  </w:r>
                  <w:r>
                    <w:rPr>
                      <w:rFonts w:hint="eastAsia"/>
                      <w:color w:val="auto"/>
                      <w:szCs w:val="21"/>
                    </w:rPr>
                    <w:t>，</w:t>
                  </w:r>
                  <w:r>
                    <w:rPr>
                      <w:color w:val="auto"/>
                      <w:szCs w:val="21"/>
                    </w:rPr>
                    <w:t>以及任何不符合主体功能定位的投资建设项目。</w:t>
                  </w:r>
                </w:p>
              </w:tc>
              <w:tc>
                <w:tcPr>
                  <w:tcW w:w="576" w:type="pct"/>
                  <w:vMerge w:val="continue"/>
                  <w:noWrap w:val="0"/>
                  <w:vAlign w:val="center"/>
                </w:tcPr>
                <w:p w14:paraId="33BDD6F1">
                  <w:pPr>
                    <w:jc w:val="center"/>
                    <w:rPr>
                      <w:color w:val="auto"/>
                      <w:szCs w:val="21"/>
                    </w:rPr>
                  </w:pPr>
                </w:p>
              </w:tc>
            </w:tr>
            <w:tr w14:paraId="3971C0A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2EB9AC62">
                  <w:pPr>
                    <w:jc w:val="center"/>
                    <w:rPr>
                      <w:color w:val="auto"/>
                      <w:szCs w:val="21"/>
                    </w:rPr>
                  </w:pPr>
                  <w:r>
                    <w:rPr>
                      <w:rFonts w:hint="eastAsia"/>
                      <w:color w:val="auto"/>
                      <w:szCs w:val="21"/>
                    </w:rPr>
                    <w:t>5</w:t>
                  </w:r>
                </w:p>
              </w:tc>
              <w:tc>
                <w:tcPr>
                  <w:tcW w:w="4090" w:type="pct"/>
                  <w:noWrap w:val="0"/>
                  <w:tcMar>
                    <w:top w:w="0" w:type="dxa"/>
                    <w:left w:w="0" w:type="dxa"/>
                    <w:bottom w:w="0" w:type="dxa"/>
                    <w:right w:w="0" w:type="dxa"/>
                  </w:tcMar>
                  <w:vAlign w:val="center"/>
                </w:tcPr>
                <w:p w14:paraId="205CC806">
                  <w:pPr>
                    <w:jc w:val="center"/>
                    <w:rPr>
                      <w:color w:val="auto"/>
                      <w:szCs w:val="21"/>
                    </w:rPr>
                  </w:pPr>
                  <w:r>
                    <w:rPr>
                      <w:color w:val="auto"/>
                      <w:szCs w:val="21"/>
                    </w:rPr>
                    <w:t>禁止违法利用、占用长江流域河湖岸线。禁止在《长江岸线保护和开发利用总体规划》划定的岸线保护区和保留区内投资建设除事关公共安全及公众利益的防洪护岸、河道治理、供水、生态环境保护、航道整治、国家重要基础设施以外的项目。禁止在《全国重要江河湖泊水功能区划》划定的河段及湖泊保护区、保留区内投资建设不利于水资源及自然生态保护的项目。</w:t>
                  </w:r>
                </w:p>
              </w:tc>
              <w:tc>
                <w:tcPr>
                  <w:tcW w:w="576" w:type="pct"/>
                  <w:vMerge w:val="continue"/>
                  <w:noWrap w:val="0"/>
                  <w:vAlign w:val="center"/>
                </w:tcPr>
                <w:p w14:paraId="4F5CA354">
                  <w:pPr>
                    <w:jc w:val="center"/>
                    <w:rPr>
                      <w:color w:val="auto"/>
                      <w:szCs w:val="21"/>
                    </w:rPr>
                  </w:pPr>
                </w:p>
              </w:tc>
            </w:tr>
            <w:tr w14:paraId="1A3A223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43BCEC4F">
                  <w:pPr>
                    <w:jc w:val="center"/>
                    <w:rPr>
                      <w:color w:val="auto"/>
                      <w:szCs w:val="21"/>
                    </w:rPr>
                  </w:pPr>
                  <w:r>
                    <w:rPr>
                      <w:rFonts w:hint="eastAsia"/>
                      <w:color w:val="auto"/>
                      <w:szCs w:val="21"/>
                    </w:rPr>
                    <w:t>6</w:t>
                  </w:r>
                </w:p>
              </w:tc>
              <w:tc>
                <w:tcPr>
                  <w:tcW w:w="4090" w:type="pct"/>
                  <w:noWrap w:val="0"/>
                  <w:tcMar>
                    <w:top w:w="0" w:type="dxa"/>
                    <w:left w:w="0" w:type="dxa"/>
                    <w:bottom w:w="0" w:type="dxa"/>
                    <w:right w:w="0" w:type="dxa"/>
                  </w:tcMar>
                  <w:vAlign w:val="center"/>
                </w:tcPr>
                <w:p w14:paraId="1C317564">
                  <w:pPr>
                    <w:jc w:val="center"/>
                    <w:rPr>
                      <w:color w:val="auto"/>
                      <w:szCs w:val="21"/>
                    </w:rPr>
                  </w:pPr>
                  <w:r>
                    <w:rPr>
                      <w:color w:val="auto"/>
                      <w:szCs w:val="21"/>
                    </w:rPr>
                    <w:t>禁止未经许可在长江干支流及湖泊新设、改设或扩大排污口。</w:t>
                  </w:r>
                </w:p>
              </w:tc>
              <w:tc>
                <w:tcPr>
                  <w:tcW w:w="576" w:type="pct"/>
                  <w:vMerge w:val="continue"/>
                  <w:noWrap w:val="0"/>
                  <w:vAlign w:val="center"/>
                </w:tcPr>
                <w:p w14:paraId="0010C385">
                  <w:pPr>
                    <w:jc w:val="center"/>
                    <w:rPr>
                      <w:color w:val="auto"/>
                      <w:szCs w:val="21"/>
                    </w:rPr>
                  </w:pPr>
                </w:p>
              </w:tc>
            </w:tr>
            <w:tr w14:paraId="6EDD6A0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369CDC7E">
                  <w:pPr>
                    <w:jc w:val="center"/>
                    <w:rPr>
                      <w:color w:val="auto"/>
                      <w:szCs w:val="21"/>
                    </w:rPr>
                  </w:pPr>
                  <w:r>
                    <w:rPr>
                      <w:rFonts w:hint="eastAsia"/>
                      <w:color w:val="auto"/>
                      <w:szCs w:val="21"/>
                    </w:rPr>
                    <w:t>7</w:t>
                  </w:r>
                </w:p>
              </w:tc>
              <w:tc>
                <w:tcPr>
                  <w:tcW w:w="4090" w:type="pct"/>
                  <w:noWrap w:val="0"/>
                  <w:tcMar>
                    <w:top w:w="0" w:type="dxa"/>
                    <w:left w:w="0" w:type="dxa"/>
                    <w:bottom w:w="0" w:type="dxa"/>
                    <w:right w:w="0" w:type="dxa"/>
                  </w:tcMar>
                  <w:vAlign w:val="center"/>
                </w:tcPr>
                <w:p w14:paraId="36ACB464">
                  <w:pPr>
                    <w:jc w:val="center"/>
                    <w:rPr>
                      <w:color w:val="auto"/>
                      <w:szCs w:val="21"/>
                    </w:rPr>
                  </w:pPr>
                  <w:r>
                    <w:rPr>
                      <w:color w:val="auto"/>
                      <w:szCs w:val="21"/>
                    </w:rPr>
                    <w:t>禁止在</w:t>
                  </w:r>
                  <w:r>
                    <w:rPr>
                      <w:rFonts w:hint="eastAsia"/>
                      <w:color w:val="auto"/>
                      <w:szCs w:val="21"/>
                    </w:rPr>
                    <w:t>“</w:t>
                  </w:r>
                  <w:r>
                    <w:rPr>
                      <w:color w:val="auto"/>
                      <w:szCs w:val="21"/>
                    </w:rPr>
                    <w:t>一江一口两湖七河</w:t>
                  </w:r>
                  <w:r>
                    <w:rPr>
                      <w:rFonts w:hint="eastAsia"/>
                      <w:color w:val="auto"/>
                      <w:szCs w:val="21"/>
                    </w:rPr>
                    <w:t>”</w:t>
                  </w:r>
                  <w:r>
                    <w:rPr>
                      <w:color w:val="auto"/>
                      <w:szCs w:val="21"/>
                    </w:rPr>
                    <w:t>和332个水生生物保护区开展生产性捕捞。</w:t>
                  </w:r>
                </w:p>
              </w:tc>
              <w:tc>
                <w:tcPr>
                  <w:tcW w:w="576" w:type="pct"/>
                  <w:vMerge w:val="continue"/>
                  <w:noWrap w:val="0"/>
                  <w:vAlign w:val="center"/>
                </w:tcPr>
                <w:p w14:paraId="1FB715CA">
                  <w:pPr>
                    <w:jc w:val="center"/>
                    <w:rPr>
                      <w:color w:val="auto"/>
                      <w:szCs w:val="21"/>
                    </w:rPr>
                  </w:pPr>
                </w:p>
              </w:tc>
            </w:tr>
            <w:tr w14:paraId="77D5F0E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21AD0C52">
                  <w:pPr>
                    <w:jc w:val="center"/>
                    <w:rPr>
                      <w:color w:val="auto"/>
                      <w:szCs w:val="21"/>
                    </w:rPr>
                  </w:pPr>
                  <w:r>
                    <w:rPr>
                      <w:rFonts w:hint="eastAsia"/>
                      <w:color w:val="auto"/>
                      <w:szCs w:val="21"/>
                    </w:rPr>
                    <w:t>8</w:t>
                  </w:r>
                </w:p>
              </w:tc>
              <w:tc>
                <w:tcPr>
                  <w:tcW w:w="4090" w:type="pct"/>
                  <w:noWrap w:val="0"/>
                  <w:tcMar>
                    <w:top w:w="0" w:type="dxa"/>
                    <w:left w:w="0" w:type="dxa"/>
                    <w:bottom w:w="0" w:type="dxa"/>
                    <w:right w:w="0" w:type="dxa"/>
                  </w:tcMar>
                  <w:vAlign w:val="center"/>
                </w:tcPr>
                <w:p w14:paraId="604AC825">
                  <w:pPr>
                    <w:jc w:val="center"/>
                    <w:rPr>
                      <w:color w:val="auto"/>
                      <w:szCs w:val="21"/>
                    </w:rPr>
                  </w:pPr>
                  <w:r>
                    <w:rPr>
                      <w:color w:val="auto"/>
                      <w:szCs w:val="21"/>
                    </w:rPr>
                    <w:t>禁止在长江干支流、重要湖泊岸线一公里范围内新建、扩建化工</w:t>
                  </w:r>
                  <w:r>
                    <w:rPr>
                      <w:rFonts w:hint="eastAsia"/>
                      <w:color w:val="auto"/>
                      <w:szCs w:val="21"/>
                    </w:rPr>
                    <w:t>厂区</w:t>
                  </w:r>
                  <w:r>
                    <w:rPr>
                      <w:color w:val="auto"/>
                      <w:szCs w:val="21"/>
                    </w:rPr>
                    <w:t>和化工项目。禁止在长江干流岸线三公里范围内和重要支流岸线一公里范围内新建、改建、扩建尾矿库、冶炼渣库和磷石膏库</w:t>
                  </w:r>
                  <w:r>
                    <w:rPr>
                      <w:rFonts w:hint="eastAsia"/>
                      <w:color w:val="auto"/>
                      <w:szCs w:val="21"/>
                    </w:rPr>
                    <w:t>，</w:t>
                  </w:r>
                  <w:r>
                    <w:rPr>
                      <w:color w:val="auto"/>
                      <w:szCs w:val="21"/>
                    </w:rPr>
                    <w:t>以提升安全、生态环境保护水平为目的的改建除外。</w:t>
                  </w:r>
                </w:p>
              </w:tc>
              <w:tc>
                <w:tcPr>
                  <w:tcW w:w="576" w:type="pct"/>
                  <w:vMerge w:val="continue"/>
                  <w:noWrap w:val="0"/>
                  <w:vAlign w:val="center"/>
                </w:tcPr>
                <w:p w14:paraId="0751847C">
                  <w:pPr>
                    <w:jc w:val="center"/>
                    <w:rPr>
                      <w:color w:val="auto"/>
                      <w:szCs w:val="21"/>
                    </w:rPr>
                  </w:pPr>
                </w:p>
              </w:tc>
            </w:tr>
            <w:tr w14:paraId="55E1C57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434A4543">
                  <w:pPr>
                    <w:jc w:val="center"/>
                    <w:rPr>
                      <w:color w:val="auto"/>
                      <w:szCs w:val="21"/>
                    </w:rPr>
                  </w:pPr>
                  <w:r>
                    <w:rPr>
                      <w:rFonts w:hint="eastAsia"/>
                      <w:color w:val="auto"/>
                      <w:szCs w:val="21"/>
                    </w:rPr>
                    <w:t>9</w:t>
                  </w:r>
                </w:p>
              </w:tc>
              <w:tc>
                <w:tcPr>
                  <w:tcW w:w="4090" w:type="pct"/>
                  <w:noWrap w:val="0"/>
                  <w:tcMar>
                    <w:top w:w="0" w:type="dxa"/>
                    <w:left w:w="0" w:type="dxa"/>
                    <w:bottom w:w="0" w:type="dxa"/>
                    <w:right w:w="0" w:type="dxa"/>
                  </w:tcMar>
                  <w:vAlign w:val="center"/>
                </w:tcPr>
                <w:p w14:paraId="11231F5E">
                  <w:pPr>
                    <w:jc w:val="center"/>
                    <w:rPr>
                      <w:color w:val="auto"/>
                      <w:szCs w:val="21"/>
                    </w:rPr>
                  </w:pPr>
                  <w:r>
                    <w:rPr>
                      <w:color w:val="auto"/>
                      <w:szCs w:val="21"/>
                    </w:rPr>
                    <w:t>禁止在合规</w:t>
                  </w:r>
                  <w:r>
                    <w:rPr>
                      <w:rFonts w:hint="eastAsia"/>
                      <w:color w:val="auto"/>
                      <w:szCs w:val="21"/>
                    </w:rPr>
                    <w:t>厂区</w:t>
                  </w:r>
                  <w:r>
                    <w:rPr>
                      <w:color w:val="auto"/>
                      <w:szCs w:val="21"/>
                    </w:rPr>
                    <w:t>外新建、扩建钢铁、石化、化工、焦化、建材、有色、制浆造纸等高污染项目。</w:t>
                  </w:r>
                </w:p>
              </w:tc>
              <w:tc>
                <w:tcPr>
                  <w:tcW w:w="576" w:type="pct"/>
                  <w:vMerge w:val="continue"/>
                  <w:noWrap w:val="0"/>
                  <w:vAlign w:val="center"/>
                </w:tcPr>
                <w:p w14:paraId="183BA824">
                  <w:pPr>
                    <w:jc w:val="center"/>
                    <w:rPr>
                      <w:color w:val="auto"/>
                      <w:szCs w:val="21"/>
                    </w:rPr>
                  </w:pPr>
                </w:p>
              </w:tc>
            </w:tr>
            <w:tr w14:paraId="1FE44DE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6B72599C">
                  <w:pPr>
                    <w:jc w:val="center"/>
                    <w:rPr>
                      <w:color w:val="auto"/>
                      <w:szCs w:val="21"/>
                    </w:rPr>
                  </w:pPr>
                  <w:r>
                    <w:rPr>
                      <w:rFonts w:hint="eastAsia"/>
                      <w:color w:val="auto"/>
                      <w:szCs w:val="21"/>
                    </w:rPr>
                    <w:t>10</w:t>
                  </w:r>
                </w:p>
              </w:tc>
              <w:tc>
                <w:tcPr>
                  <w:tcW w:w="4090" w:type="pct"/>
                  <w:noWrap w:val="0"/>
                  <w:tcMar>
                    <w:top w:w="0" w:type="dxa"/>
                    <w:left w:w="0" w:type="dxa"/>
                    <w:bottom w:w="0" w:type="dxa"/>
                    <w:right w:w="0" w:type="dxa"/>
                  </w:tcMar>
                  <w:vAlign w:val="center"/>
                </w:tcPr>
                <w:p w14:paraId="6D56B5D5">
                  <w:pPr>
                    <w:jc w:val="center"/>
                    <w:rPr>
                      <w:color w:val="auto"/>
                      <w:szCs w:val="21"/>
                    </w:rPr>
                  </w:pPr>
                  <w:r>
                    <w:rPr>
                      <w:color w:val="auto"/>
                      <w:szCs w:val="21"/>
                    </w:rPr>
                    <w:t>禁止新建、扩建不符合国家石化、现代煤化工等产业布局规划的项目。</w:t>
                  </w:r>
                </w:p>
              </w:tc>
              <w:tc>
                <w:tcPr>
                  <w:tcW w:w="576" w:type="pct"/>
                  <w:vMerge w:val="continue"/>
                  <w:noWrap w:val="0"/>
                  <w:vAlign w:val="center"/>
                </w:tcPr>
                <w:p w14:paraId="3997773E">
                  <w:pPr>
                    <w:jc w:val="center"/>
                    <w:rPr>
                      <w:color w:val="auto"/>
                      <w:szCs w:val="21"/>
                    </w:rPr>
                  </w:pPr>
                </w:p>
              </w:tc>
            </w:tr>
            <w:tr w14:paraId="699B2CC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2BC7BBD0">
                  <w:pPr>
                    <w:jc w:val="center"/>
                    <w:rPr>
                      <w:color w:val="auto"/>
                      <w:szCs w:val="21"/>
                    </w:rPr>
                  </w:pPr>
                  <w:r>
                    <w:rPr>
                      <w:rFonts w:hint="eastAsia"/>
                      <w:color w:val="auto"/>
                      <w:szCs w:val="21"/>
                    </w:rPr>
                    <w:t>11</w:t>
                  </w:r>
                </w:p>
              </w:tc>
              <w:tc>
                <w:tcPr>
                  <w:tcW w:w="4090" w:type="pct"/>
                  <w:noWrap w:val="0"/>
                  <w:tcMar>
                    <w:top w:w="0" w:type="dxa"/>
                    <w:left w:w="0" w:type="dxa"/>
                    <w:bottom w:w="0" w:type="dxa"/>
                    <w:right w:w="0" w:type="dxa"/>
                  </w:tcMar>
                  <w:vAlign w:val="center"/>
                </w:tcPr>
                <w:p w14:paraId="502FC4ED">
                  <w:pPr>
                    <w:jc w:val="center"/>
                    <w:rPr>
                      <w:color w:val="auto"/>
                      <w:szCs w:val="21"/>
                    </w:rPr>
                  </w:pPr>
                  <w:r>
                    <w:rPr>
                      <w:color w:val="auto"/>
                      <w:szCs w:val="21"/>
                    </w:rPr>
                    <w:t>禁止新建、扩建法律法规和相关政策明令禁止的落后产能项目。禁止新建、扩建不符合国家产能置换要求的严重过剩产能行业的项目。禁止新建、扩建不符合要求的高耗能高排放项目。</w:t>
                  </w:r>
                </w:p>
              </w:tc>
              <w:tc>
                <w:tcPr>
                  <w:tcW w:w="576" w:type="pct"/>
                  <w:vMerge w:val="continue"/>
                  <w:noWrap w:val="0"/>
                  <w:vAlign w:val="center"/>
                </w:tcPr>
                <w:p w14:paraId="42E95AC0">
                  <w:pPr>
                    <w:jc w:val="center"/>
                    <w:rPr>
                      <w:color w:val="auto"/>
                      <w:szCs w:val="21"/>
                    </w:rPr>
                  </w:pPr>
                </w:p>
              </w:tc>
            </w:tr>
            <w:tr w14:paraId="1A63E50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33" w:type="pct"/>
                  <w:noWrap w:val="0"/>
                  <w:tcMar>
                    <w:top w:w="0" w:type="dxa"/>
                    <w:left w:w="0" w:type="dxa"/>
                    <w:bottom w:w="0" w:type="dxa"/>
                    <w:right w:w="0" w:type="dxa"/>
                  </w:tcMar>
                  <w:vAlign w:val="center"/>
                </w:tcPr>
                <w:p w14:paraId="0A4C9A8F">
                  <w:pPr>
                    <w:jc w:val="center"/>
                    <w:rPr>
                      <w:color w:val="auto"/>
                      <w:szCs w:val="21"/>
                    </w:rPr>
                  </w:pPr>
                  <w:r>
                    <w:rPr>
                      <w:rFonts w:hint="eastAsia"/>
                      <w:color w:val="auto"/>
                      <w:szCs w:val="21"/>
                    </w:rPr>
                    <w:t>12</w:t>
                  </w:r>
                </w:p>
              </w:tc>
              <w:tc>
                <w:tcPr>
                  <w:tcW w:w="4090" w:type="pct"/>
                  <w:noWrap w:val="0"/>
                  <w:tcMar>
                    <w:top w:w="0" w:type="dxa"/>
                    <w:left w:w="0" w:type="dxa"/>
                    <w:bottom w:w="0" w:type="dxa"/>
                    <w:right w:w="0" w:type="dxa"/>
                  </w:tcMar>
                  <w:vAlign w:val="center"/>
                </w:tcPr>
                <w:p w14:paraId="254E3F4F">
                  <w:pPr>
                    <w:jc w:val="center"/>
                    <w:rPr>
                      <w:color w:val="auto"/>
                      <w:szCs w:val="21"/>
                    </w:rPr>
                  </w:pPr>
                  <w:r>
                    <w:rPr>
                      <w:color w:val="auto"/>
                      <w:szCs w:val="21"/>
                    </w:rPr>
                    <w:t>法律法规及相关政策文件有更加严格规定的从其规定。</w:t>
                  </w:r>
                </w:p>
              </w:tc>
              <w:tc>
                <w:tcPr>
                  <w:tcW w:w="576" w:type="pct"/>
                  <w:vMerge w:val="continue"/>
                  <w:noWrap w:val="0"/>
                  <w:vAlign w:val="center"/>
                </w:tcPr>
                <w:p w14:paraId="5569CC5E">
                  <w:pPr>
                    <w:jc w:val="center"/>
                    <w:rPr>
                      <w:color w:val="auto"/>
                      <w:szCs w:val="21"/>
                    </w:rPr>
                  </w:pPr>
                </w:p>
              </w:tc>
            </w:tr>
          </w:tbl>
          <w:p w14:paraId="5D451D22">
            <w:pPr>
              <w:spacing w:before="120" w:beforeLines="50" w:line="360" w:lineRule="auto"/>
              <w:ind w:firstLine="420" w:firstLineChars="200"/>
              <w:rPr>
                <w:rFonts w:hint="eastAsia" w:eastAsia="宋体"/>
                <w:color w:val="auto"/>
                <w:szCs w:val="21"/>
                <w:lang w:eastAsia="zh-CN"/>
              </w:rPr>
            </w:pPr>
            <w:r>
              <w:rPr>
                <w:rFonts w:hint="eastAsia"/>
                <w:color w:val="auto"/>
                <w:szCs w:val="21"/>
              </w:rPr>
              <w:t>5、</w:t>
            </w:r>
            <w:r>
              <w:rPr>
                <w:color w:val="auto"/>
                <w:szCs w:val="21"/>
              </w:rPr>
              <w:t>与《</w:t>
            </w:r>
            <w:r>
              <w:rPr>
                <w:rFonts w:hint="eastAsia"/>
                <w:color w:val="auto"/>
                <w:szCs w:val="21"/>
              </w:rPr>
              <w:t>江苏省2023年生态环境分区管控成果动态更新工作方案</w:t>
            </w:r>
            <w:r>
              <w:rPr>
                <w:color w:val="auto"/>
                <w:szCs w:val="21"/>
              </w:rPr>
              <w:t>》</w:t>
            </w:r>
            <w:r>
              <w:rPr>
                <w:bCs/>
                <w:color w:val="auto"/>
                <w:kern w:val="0"/>
                <w:szCs w:val="21"/>
              </w:rPr>
              <w:t>《</w:t>
            </w:r>
            <w:r>
              <w:rPr>
                <w:rFonts w:hint="eastAsia"/>
                <w:bCs/>
                <w:color w:val="auto"/>
                <w:kern w:val="0"/>
                <w:szCs w:val="21"/>
              </w:rPr>
              <w:t>常州市2023年生态环境分区管控动态更新成果</w:t>
            </w:r>
            <w:r>
              <w:rPr>
                <w:bCs/>
                <w:color w:val="auto"/>
                <w:kern w:val="0"/>
                <w:szCs w:val="21"/>
              </w:rPr>
              <w:t>》</w:t>
            </w:r>
            <w:r>
              <w:rPr>
                <w:rFonts w:hint="eastAsia"/>
                <w:bCs/>
                <w:color w:val="auto"/>
                <w:kern w:val="0"/>
                <w:szCs w:val="21"/>
                <w:lang w:val="en-US" w:eastAsia="zh-CN"/>
              </w:rPr>
              <w:t>相符性分析</w:t>
            </w:r>
            <w:r>
              <w:rPr>
                <w:rFonts w:hint="eastAsia"/>
                <w:color w:val="auto"/>
                <w:lang w:eastAsia="zh-CN"/>
              </w:rPr>
              <w:t>。</w:t>
            </w:r>
          </w:p>
          <w:p w14:paraId="482264A3">
            <w:pPr>
              <w:spacing w:line="360" w:lineRule="auto"/>
              <w:ind w:firstLine="420" w:firstLineChars="200"/>
              <w:rPr>
                <w:color w:val="auto"/>
                <w:szCs w:val="21"/>
              </w:rPr>
            </w:pPr>
            <w:r>
              <w:rPr>
                <w:rFonts w:hint="eastAsia"/>
                <w:color w:val="auto"/>
                <w:szCs w:val="21"/>
              </w:rPr>
              <w:t>（1）</w:t>
            </w:r>
            <w:r>
              <w:rPr>
                <w:color w:val="auto"/>
                <w:szCs w:val="21"/>
              </w:rPr>
              <w:t>对照《</w:t>
            </w:r>
            <w:r>
              <w:rPr>
                <w:rFonts w:hint="eastAsia"/>
                <w:color w:val="auto"/>
                <w:szCs w:val="21"/>
              </w:rPr>
              <w:t>江苏省2023年生态环境分区管控成果动态更新工作方案</w:t>
            </w:r>
            <w:r>
              <w:rPr>
                <w:color w:val="auto"/>
                <w:szCs w:val="21"/>
              </w:rPr>
              <w:t>》，相符性见下表。</w:t>
            </w:r>
          </w:p>
          <w:p w14:paraId="7243ED13">
            <w:pPr>
              <w:keepNext w:val="0"/>
              <w:keepLines w:val="0"/>
              <w:pageBreakBefore w:val="0"/>
              <w:widowControl w:val="0"/>
              <w:kinsoku/>
              <w:wordWrap/>
              <w:overflowPunct/>
              <w:topLinePunct w:val="0"/>
              <w:autoSpaceDE/>
              <w:autoSpaceDN/>
              <w:bidi w:val="0"/>
              <w:adjustRightInd w:val="0"/>
              <w:snapToGrid w:val="0"/>
              <w:ind w:firstLine="422" w:firstLineChars="200"/>
              <w:jc w:val="center"/>
              <w:textAlignment w:val="auto"/>
              <w:rPr>
                <w:b/>
                <w:bCs/>
                <w:color w:val="auto"/>
                <w:szCs w:val="21"/>
              </w:rPr>
            </w:pPr>
            <w:r>
              <w:rPr>
                <w:b/>
                <w:bCs/>
                <w:color w:val="auto"/>
                <w:szCs w:val="21"/>
              </w:rPr>
              <w:t>表1-</w:t>
            </w:r>
            <w:r>
              <w:rPr>
                <w:rFonts w:hint="eastAsia"/>
                <w:b/>
                <w:bCs/>
                <w:color w:val="auto"/>
                <w:szCs w:val="21"/>
                <w:lang w:val="en-US" w:eastAsia="zh-CN"/>
              </w:rPr>
              <w:t>5</w:t>
            </w:r>
            <w:r>
              <w:rPr>
                <w:b/>
                <w:bCs/>
                <w:color w:val="auto"/>
                <w:szCs w:val="21"/>
              </w:rPr>
              <w:t xml:space="preserve"> </w:t>
            </w:r>
            <w:r>
              <w:rPr>
                <w:rFonts w:hint="eastAsia"/>
                <w:b/>
                <w:bCs/>
                <w:color w:val="auto"/>
                <w:szCs w:val="21"/>
              </w:rPr>
              <w:t>江苏省2023年生态环境分区管控成果动态更新工作方案</w:t>
            </w:r>
            <w:r>
              <w:rPr>
                <w:b/>
                <w:bCs/>
                <w:color w:val="auto"/>
                <w:szCs w:val="21"/>
              </w:rPr>
              <w:t>中重点管控要求</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488"/>
              <w:gridCol w:w="549"/>
              <w:gridCol w:w="3717"/>
              <w:gridCol w:w="2561"/>
              <w:gridCol w:w="680"/>
            </w:tblGrid>
            <w:tr w14:paraId="5C5DB4B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5" w:type="pct"/>
                  <w:noWrap w:val="0"/>
                  <w:tcMar>
                    <w:top w:w="0" w:type="dxa"/>
                    <w:left w:w="0" w:type="dxa"/>
                    <w:bottom w:w="0" w:type="dxa"/>
                    <w:right w:w="0" w:type="dxa"/>
                  </w:tcMar>
                  <w:vAlign w:val="center"/>
                </w:tcPr>
                <w:p w14:paraId="60C3C67D">
                  <w:pPr>
                    <w:jc w:val="center"/>
                    <w:rPr>
                      <w:b/>
                      <w:bCs/>
                      <w:color w:val="auto"/>
                      <w:szCs w:val="21"/>
                    </w:rPr>
                  </w:pPr>
                  <w:r>
                    <w:rPr>
                      <w:b/>
                      <w:bCs/>
                      <w:color w:val="auto"/>
                      <w:szCs w:val="21"/>
                    </w:rPr>
                    <w:t>序号</w:t>
                  </w:r>
                </w:p>
              </w:tc>
              <w:tc>
                <w:tcPr>
                  <w:tcW w:w="2667" w:type="pct"/>
                  <w:gridSpan w:val="2"/>
                  <w:noWrap w:val="0"/>
                  <w:tcMar>
                    <w:top w:w="0" w:type="dxa"/>
                    <w:left w:w="0" w:type="dxa"/>
                    <w:bottom w:w="0" w:type="dxa"/>
                    <w:right w:w="0" w:type="dxa"/>
                  </w:tcMar>
                  <w:vAlign w:val="center"/>
                </w:tcPr>
                <w:p w14:paraId="7D1EF263">
                  <w:pPr>
                    <w:jc w:val="center"/>
                    <w:rPr>
                      <w:b/>
                      <w:bCs/>
                      <w:color w:val="auto"/>
                      <w:szCs w:val="21"/>
                    </w:rPr>
                  </w:pPr>
                  <w:r>
                    <w:rPr>
                      <w:b/>
                      <w:bCs/>
                      <w:color w:val="auto"/>
                      <w:szCs w:val="21"/>
                    </w:rPr>
                    <w:t>管控要求</w:t>
                  </w:r>
                </w:p>
              </w:tc>
              <w:tc>
                <w:tcPr>
                  <w:tcW w:w="1601" w:type="pct"/>
                  <w:noWrap w:val="0"/>
                  <w:tcMar>
                    <w:top w:w="0" w:type="dxa"/>
                    <w:left w:w="0" w:type="dxa"/>
                    <w:bottom w:w="0" w:type="dxa"/>
                    <w:right w:w="0" w:type="dxa"/>
                  </w:tcMar>
                  <w:vAlign w:val="center"/>
                </w:tcPr>
                <w:p w14:paraId="23DE6BF5">
                  <w:pPr>
                    <w:jc w:val="center"/>
                    <w:rPr>
                      <w:b/>
                      <w:bCs/>
                      <w:color w:val="auto"/>
                      <w:szCs w:val="21"/>
                    </w:rPr>
                  </w:pPr>
                  <w:r>
                    <w:rPr>
                      <w:b/>
                      <w:bCs/>
                      <w:color w:val="auto"/>
                      <w:szCs w:val="21"/>
                    </w:rPr>
                    <w:t>本项目相关内容</w:t>
                  </w:r>
                </w:p>
              </w:tc>
              <w:tc>
                <w:tcPr>
                  <w:tcW w:w="425" w:type="pct"/>
                  <w:noWrap w:val="0"/>
                  <w:tcMar>
                    <w:top w:w="0" w:type="dxa"/>
                    <w:left w:w="0" w:type="dxa"/>
                    <w:bottom w:w="0" w:type="dxa"/>
                    <w:right w:w="0" w:type="dxa"/>
                  </w:tcMar>
                  <w:vAlign w:val="center"/>
                </w:tcPr>
                <w:p w14:paraId="675029DA">
                  <w:pPr>
                    <w:jc w:val="center"/>
                    <w:rPr>
                      <w:b/>
                      <w:bCs/>
                      <w:color w:val="auto"/>
                      <w:szCs w:val="21"/>
                    </w:rPr>
                  </w:pPr>
                  <w:r>
                    <w:rPr>
                      <w:b/>
                      <w:bCs/>
                      <w:color w:val="auto"/>
                      <w:szCs w:val="21"/>
                    </w:rPr>
                    <w:t>相符性</w:t>
                  </w:r>
                </w:p>
              </w:tc>
            </w:tr>
            <w:tr w14:paraId="254AA8E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685" w:hRule="atLeast"/>
                <w:jc w:val="center"/>
              </w:trPr>
              <w:tc>
                <w:tcPr>
                  <w:tcW w:w="305" w:type="pct"/>
                  <w:vMerge w:val="restart"/>
                  <w:noWrap w:val="0"/>
                  <w:tcMar>
                    <w:top w:w="0" w:type="dxa"/>
                    <w:left w:w="0" w:type="dxa"/>
                    <w:bottom w:w="0" w:type="dxa"/>
                    <w:right w:w="0" w:type="dxa"/>
                  </w:tcMar>
                  <w:vAlign w:val="center"/>
                </w:tcPr>
                <w:p w14:paraId="0FF21B96">
                  <w:pPr>
                    <w:jc w:val="center"/>
                    <w:rPr>
                      <w:color w:val="auto"/>
                      <w:szCs w:val="21"/>
                    </w:rPr>
                  </w:pPr>
                  <w:r>
                    <w:rPr>
                      <w:color w:val="auto"/>
                      <w:szCs w:val="21"/>
                    </w:rPr>
                    <w:t>1</w:t>
                  </w:r>
                </w:p>
              </w:tc>
              <w:tc>
                <w:tcPr>
                  <w:tcW w:w="343" w:type="pct"/>
                  <w:vMerge w:val="restart"/>
                  <w:noWrap w:val="0"/>
                  <w:tcMar>
                    <w:top w:w="0" w:type="dxa"/>
                    <w:left w:w="0" w:type="dxa"/>
                    <w:bottom w:w="0" w:type="dxa"/>
                    <w:right w:w="0" w:type="dxa"/>
                  </w:tcMar>
                  <w:vAlign w:val="center"/>
                </w:tcPr>
                <w:p w14:paraId="070D2BF8">
                  <w:pPr>
                    <w:jc w:val="center"/>
                    <w:rPr>
                      <w:color w:val="auto"/>
                      <w:szCs w:val="21"/>
                    </w:rPr>
                  </w:pPr>
                  <w:r>
                    <w:rPr>
                      <w:color w:val="auto"/>
                      <w:szCs w:val="21"/>
                    </w:rPr>
                    <w:t>空间布局约束</w:t>
                  </w:r>
                </w:p>
              </w:tc>
              <w:tc>
                <w:tcPr>
                  <w:tcW w:w="2324" w:type="pct"/>
                  <w:noWrap w:val="0"/>
                  <w:tcMar>
                    <w:top w:w="0" w:type="dxa"/>
                    <w:left w:w="0" w:type="dxa"/>
                    <w:bottom w:w="0" w:type="dxa"/>
                    <w:right w:w="0" w:type="dxa"/>
                  </w:tcMar>
                  <w:vAlign w:val="center"/>
                </w:tcPr>
                <w:p w14:paraId="1F81218B">
                  <w:pPr>
                    <w:jc w:val="center"/>
                    <w:rPr>
                      <w:rFonts w:hint="eastAsia"/>
                      <w:color w:val="auto"/>
                      <w:szCs w:val="21"/>
                    </w:rPr>
                  </w:pPr>
                  <w:r>
                    <w:rPr>
                      <w:rFonts w:hint="eastAsia"/>
                      <w:color w:val="auto"/>
                      <w:szCs w:val="21"/>
                    </w:rPr>
                    <w:t>1．按照《自然资源部 生态环境部 国家林业和草原局关于加强生态保护红线管理的通知（试行）》（自然资发〔2022〕</w:t>
                  </w:r>
                </w:p>
                <w:p w14:paraId="44784075">
                  <w:pPr>
                    <w:jc w:val="center"/>
                    <w:rPr>
                      <w:rFonts w:hint="eastAsia"/>
                      <w:color w:val="auto"/>
                      <w:szCs w:val="21"/>
                    </w:rPr>
                  </w:pPr>
                  <w:r>
                    <w:rPr>
                      <w:rFonts w:hint="eastAsia"/>
                      <w:color w:val="auto"/>
                      <w:szCs w:val="21"/>
                    </w:rPr>
                    <w:t>142号）、《省政府关于印发江苏省生态空间管控区域规划的通知》（苏政发〔2020〕1号）、《关于进一步加强生态保护红线监督管理的通知》（苏自然函（2023）880号）、《江苏省国土空间规划（2021—2035年）》（国函〔2023〕</w:t>
                  </w:r>
                </w:p>
                <w:p w14:paraId="05287817">
                  <w:pPr>
                    <w:jc w:val="center"/>
                    <w:rPr>
                      <w:rFonts w:hint="eastAsia"/>
                      <w:color w:val="auto"/>
                      <w:szCs w:val="21"/>
                    </w:rPr>
                  </w:pPr>
                  <w:r>
                    <w:rPr>
                      <w:rFonts w:hint="eastAsia"/>
                      <w:color w:val="auto"/>
                      <w:szCs w:val="21"/>
                    </w:rPr>
                    <w:t>69号），坚持节约优先、保护优先、自然恢复为主的方针，以改善生态环境质量为核心，以保障和维护生态功能为主线，统筹山水林田湖草一体化保护和修复，严守生态保护红线，实行最严格的生态空间管控制度，确保全省生态功能不降低、面积不减少、性质不改变，切实维护生态安全。生态保护红线不低于1.82万平方千米，其中海洋生态保护红线不低于0.95万平方千米。</w:t>
                  </w:r>
                </w:p>
              </w:tc>
              <w:tc>
                <w:tcPr>
                  <w:tcW w:w="1601" w:type="pct"/>
                  <w:noWrap w:val="0"/>
                  <w:tcMar>
                    <w:top w:w="0" w:type="dxa"/>
                    <w:left w:w="0" w:type="dxa"/>
                    <w:bottom w:w="0" w:type="dxa"/>
                    <w:right w:w="0" w:type="dxa"/>
                  </w:tcMar>
                  <w:vAlign w:val="center"/>
                </w:tcPr>
                <w:p w14:paraId="261AF118">
                  <w:pPr>
                    <w:jc w:val="center"/>
                    <w:rPr>
                      <w:rFonts w:hint="eastAsia"/>
                      <w:color w:val="auto"/>
                      <w:szCs w:val="21"/>
                    </w:rPr>
                  </w:pPr>
                  <w:r>
                    <w:rPr>
                      <w:color w:val="auto"/>
                      <w:szCs w:val="21"/>
                    </w:rPr>
                    <w:t>本项目不在生态保护红线范围内，项目实施后，不会使生态功能不降低、不会影响生态空间面积、不会改变生态空间性质</w:t>
                  </w:r>
                  <w:r>
                    <w:rPr>
                      <w:rFonts w:hint="eastAsia"/>
                      <w:color w:val="auto"/>
                      <w:szCs w:val="21"/>
                    </w:rPr>
                    <w:t>。</w:t>
                  </w:r>
                </w:p>
              </w:tc>
              <w:tc>
                <w:tcPr>
                  <w:tcW w:w="425" w:type="pct"/>
                  <w:noWrap w:val="0"/>
                  <w:tcMar>
                    <w:top w:w="0" w:type="dxa"/>
                    <w:left w:w="0" w:type="dxa"/>
                    <w:bottom w:w="0" w:type="dxa"/>
                    <w:right w:w="0" w:type="dxa"/>
                  </w:tcMar>
                  <w:vAlign w:val="center"/>
                </w:tcPr>
                <w:p w14:paraId="6A5477EE">
                  <w:pPr>
                    <w:jc w:val="center"/>
                    <w:rPr>
                      <w:color w:val="auto"/>
                      <w:szCs w:val="21"/>
                    </w:rPr>
                  </w:pPr>
                  <w:r>
                    <w:rPr>
                      <w:color w:val="auto"/>
                      <w:szCs w:val="21"/>
                    </w:rPr>
                    <w:t>相符</w:t>
                  </w:r>
                </w:p>
              </w:tc>
            </w:tr>
            <w:tr w14:paraId="1D3D6E4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685" w:hRule="atLeast"/>
                <w:jc w:val="center"/>
              </w:trPr>
              <w:tc>
                <w:tcPr>
                  <w:tcW w:w="305" w:type="pct"/>
                  <w:vMerge w:val="continue"/>
                  <w:noWrap w:val="0"/>
                  <w:tcMar>
                    <w:top w:w="0" w:type="dxa"/>
                    <w:left w:w="0" w:type="dxa"/>
                    <w:bottom w:w="0" w:type="dxa"/>
                    <w:right w:w="0" w:type="dxa"/>
                  </w:tcMar>
                  <w:vAlign w:val="center"/>
                </w:tcPr>
                <w:p w14:paraId="2BA71016">
                  <w:pPr>
                    <w:jc w:val="center"/>
                    <w:rPr>
                      <w:color w:val="auto"/>
                    </w:rPr>
                  </w:pPr>
                </w:p>
              </w:tc>
              <w:tc>
                <w:tcPr>
                  <w:tcW w:w="343" w:type="pct"/>
                  <w:vMerge w:val="continue"/>
                  <w:noWrap w:val="0"/>
                  <w:tcMar>
                    <w:top w:w="0" w:type="dxa"/>
                    <w:left w:w="0" w:type="dxa"/>
                    <w:bottom w:w="0" w:type="dxa"/>
                    <w:right w:w="0" w:type="dxa"/>
                  </w:tcMar>
                  <w:vAlign w:val="center"/>
                </w:tcPr>
                <w:p w14:paraId="5222F616">
                  <w:pPr>
                    <w:jc w:val="center"/>
                    <w:rPr>
                      <w:color w:val="auto"/>
                    </w:rPr>
                  </w:pPr>
                </w:p>
              </w:tc>
              <w:tc>
                <w:tcPr>
                  <w:tcW w:w="2324" w:type="pct"/>
                  <w:noWrap w:val="0"/>
                  <w:tcMar>
                    <w:top w:w="0" w:type="dxa"/>
                    <w:left w:w="0" w:type="dxa"/>
                    <w:bottom w:w="0" w:type="dxa"/>
                    <w:right w:w="0" w:type="dxa"/>
                  </w:tcMar>
                  <w:vAlign w:val="center"/>
                </w:tcPr>
                <w:p w14:paraId="273FDFE4">
                  <w:pPr>
                    <w:jc w:val="center"/>
                    <w:rPr>
                      <w:rFonts w:hint="eastAsia"/>
                      <w:color w:val="auto"/>
                      <w:szCs w:val="21"/>
                    </w:rPr>
                  </w:pPr>
                  <w:r>
                    <w:rPr>
                      <w:rFonts w:hint="eastAsia"/>
                      <w:color w:val="auto"/>
                      <w:szCs w:val="21"/>
                    </w:rPr>
                    <w:t>2．牢牢把握推动长江经济带发展“共抓大保护，不搞大开发”战略导向，对省域范围内需要重点保护的岸线、河段和区域实行严格管控，管住控好排放量大、耗能高、产能过剩的产业，推动长江经济带高质量发展。</w:t>
                  </w:r>
                </w:p>
              </w:tc>
              <w:tc>
                <w:tcPr>
                  <w:tcW w:w="1601" w:type="pct"/>
                  <w:noWrap w:val="0"/>
                  <w:tcMar>
                    <w:top w:w="0" w:type="dxa"/>
                    <w:left w:w="0" w:type="dxa"/>
                    <w:bottom w:w="0" w:type="dxa"/>
                    <w:right w:w="0" w:type="dxa"/>
                  </w:tcMar>
                  <w:vAlign w:val="center"/>
                </w:tcPr>
                <w:p w14:paraId="7FDF3264">
                  <w:pPr>
                    <w:jc w:val="center"/>
                    <w:rPr>
                      <w:rFonts w:hint="default" w:eastAsia="宋体"/>
                      <w:color w:val="auto"/>
                      <w:szCs w:val="21"/>
                      <w:lang w:val="en-US" w:eastAsia="zh-CN"/>
                    </w:rPr>
                  </w:pPr>
                  <w:r>
                    <w:rPr>
                      <w:rFonts w:hint="eastAsia"/>
                      <w:color w:val="auto"/>
                      <w:szCs w:val="21"/>
                      <w:lang w:val="en-US" w:eastAsia="zh-CN"/>
                    </w:rPr>
                    <w:t>本项目不在重点保护的岸线、河段、区域范围内，不属于排放量大、耗能高、产能过剩的产业。</w:t>
                  </w:r>
                </w:p>
              </w:tc>
              <w:tc>
                <w:tcPr>
                  <w:tcW w:w="425" w:type="pct"/>
                  <w:noWrap w:val="0"/>
                  <w:tcMar>
                    <w:top w:w="0" w:type="dxa"/>
                    <w:left w:w="0" w:type="dxa"/>
                    <w:bottom w:w="0" w:type="dxa"/>
                    <w:right w:w="0" w:type="dxa"/>
                  </w:tcMar>
                  <w:vAlign w:val="center"/>
                </w:tcPr>
                <w:p w14:paraId="05662E9F">
                  <w:pPr>
                    <w:jc w:val="center"/>
                    <w:rPr>
                      <w:rFonts w:hint="eastAsia"/>
                      <w:color w:val="auto"/>
                      <w:szCs w:val="21"/>
                    </w:rPr>
                  </w:pPr>
                  <w:r>
                    <w:rPr>
                      <w:color w:val="auto"/>
                      <w:szCs w:val="21"/>
                    </w:rPr>
                    <w:t>相符</w:t>
                  </w:r>
                </w:p>
              </w:tc>
            </w:tr>
            <w:tr w14:paraId="1602807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685" w:hRule="atLeast"/>
                <w:jc w:val="center"/>
              </w:trPr>
              <w:tc>
                <w:tcPr>
                  <w:tcW w:w="305" w:type="pct"/>
                  <w:vMerge w:val="continue"/>
                  <w:noWrap w:val="0"/>
                  <w:tcMar>
                    <w:top w:w="0" w:type="dxa"/>
                    <w:left w:w="0" w:type="dxa"/>
                    <w:bottom w:w="0" w:type="dxa"/>
                    <w:right w:w="0" w:type="dxa"/>
                  </w:tcMar>
                  <w:vAlign w:val="center"/>
                </w:tcPr>
                <w:p w14:paraId="0E05ACB2">
                  <w:pPr>
                    <w:jc w:val="center"/>
                    <w:rPr>
                      <w:rFonts w:hint="eastAsia"/>
                      <w:color w:val="auto"/>
                      <w:szCs w:val="21"/>
                    </w:rPr>
                  </w:pPr>
                </w:p>
              </w:tc>
              <w:tc>
                <w:tcPr>
                  <w:tcW w:w="343" w:type="pct"/>
                  <w:vMerge w:val="continue"/>
                  <w:noWrap w:val="0"/>
                  <w:tcMar>
                    <w:top w:w="0" w:type="dxa"/>
                    <w:left w:w="0" w:type="dxa"/>
                    <w:bottom w:w="0" w:type="dxa"/>
                    <w:right w:w="0" w:type="dxa"/>
                  </w:tcMar>
                  <w:vAlign w:val="center"/>
                </w:tcPr>
                <w:p w14:paraId="31B7F9E3">
                  <w:pPr>
                    <w:jc w:val="center"/>
                    <w:rPr>
                      <w:rFonts w:hint="eastAsia"/>
                      <w:color w:val="auto"/>
                      <w:szCs w:val="21"/>
                    </w:rPr>
                  </w:pPr>
                </w:p>
              </w:tc>
              <w:tc>
                <w:tcPr>
                  <w:tcW w:w="2324" w:type="pct"/>
                  <w:noWrap w:val="0"/>
                  <w:tcMar>
                    <w:top w:w="0" w:type="dxa"/>
                    <w:left w:w="0" w:type="dxa"/>
                    <w:bottom w:w="0" w:type="dxa"/>
                    <w:right w:w="0" w:type="dxa"/>
                  </w:tcMar>
                  <w:vAlign w:val="center"/>
                </w:tcPr>
                <w:p w14:paraId="78C596EE">
                  <w:pPr>
                    <w:jc w:val="center"/>
                    <w:rPr>
                      <w:rFonts w:hint="eastAsia"/>
                      <w:color w:val="auto"/>
                      <w:szCs w:val="21"/>
                    </w:rPr>
                  </w:pPr>
                  <w:r>
                    <w:rPr>
                      <w:rFonts w:hint="eastAsia"/>
                      <w:color w:val="auto"/>
                      <w:szCs w:val="21"/>
                    </w:rPr>
                    <w:t>3．大幅压减沿长江干支流两侧1公里范围内、环境敏感区域、城镇人口密集区、化工园区外和规模以下化工生产企业，着力破解“重化围江”突出问题，高起点同步推进沿江地区战略性转型和沿海地区战略性布局。</w:t>
                  </w:r>
                </w:p>
              </w:tc>
              <w:tc>
                <w:tcPr>
                  <w:tcW w:w="1601" w:type="pct"/>
                  <w:noWrap w:val="0"/>
                  <w:tcMar>
                    <w:top w:w="0" w:type="dxa"/>
                    <w:left w:w="0" w:type="dxa"/>
                    <w:bottom w:w="0" w:type="dxa"/>
                    <w:right w:w="0" w:type="dxa"/>
                  </w:tcMar>
                  <w:vAlign w:val="center"/>
                </w:tcPr>
                <w:p w14:paraId="0232ABE1">
                  <w:pPr>
                    <w:jc w:val="center"/>
                    <w:rPr>
                      <w:rFonts w:hint="default" w:eastAsia="宋体"/>
                      <w:color w:val="auto"/>
                      <w:szCs w:val="21"/>
                      <w:lang w:val="en-US" w:eastAsia="zh-CN"/>
                    </w:rPr>
                  </w:pPr>
                  <w:r>
                    <w:rPr>
                      <w:rFonts w:hint="eastAsia"/>
                      <w:color w:val="auto"/>
                      <w:szCs w:val="21"/>
                      <w:lang w:val="en-US" w:eastAsia="zh-CN"/>
                    </w:rPr>
                    <w:t>本项目不在长江干支流两侧1公里范围内。</w:t>
                  </w:r>
                </w:p>
              </w:tc>
              <w:tc>
                <w:tcPr>
                  <w:tcW w:w="425" w:type="pct"/>
                  <w:noWrap w:val="0"/>
                  <w:tcMar>
                    <w:top w:w="0" w:type="dxa"/>
                    <w:left w:w="0" w:type="dxa"/>
                    <w:bottom w:w="0" w:type="dxa"/>
                    <w:right w:w="0" w:type="dxa"/>
                  </w:tcMar>
                  <w:vAlign w:val="center"/>
                </w:tcPr>
                <w:p w14:paraId="52905E8A">
                  <w:pPr>
                    <w:jc w:val="center"/>
                    <w:rPr>
                      <w:rFonts w:hint="eastAsia"/>
                      <w:color w:val="auto"/>
                      <w:szCs w:val="21"/>
                    </w:rPr>
                  </w:pPr>
                  <w:r>
                    <w:rPr>
                      <w:color w:val="auto"/>
                      <w:szCs w:val="21"/>
                    </w:rPr>
                    <w:t>相符</w:t>
                  </w:r>
                </w:p>
              </w:tc>
            </w:tr>
            <w:tr w14:paraId="2E32CE3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685" w:hRule="atLeast"/>
                <w:jc w:val="center"/>
              </w:trPr>
              <w:tc>
                <w:tcPr>
                  <w:tcW w:w="305" w:type="pct"/>
                  <w:vMerge w:val="continue"/>
                  <w:noWrap w:val="0"/>
                  <w:tcMar>
                    <w:top w:w="0" w:type="dxa"/>
                    <w:left w:w="0" w:type="dxa"/>
                    <w:bottom w:w="0" w:type="dxa"/>
                    <w:right w:w="0" w:type="dxa"/>
                  </w:tcMar>
                  <w:vAlign w:val="center"/>
                </w:tcPr>
                <w:p w14:paraId="7CFCEC74">
                  <w:pPr>
                    <w:jc w:val="center"/>
                    <w:rPr>
                      <w:rFonts w:hint="eastAsia"/>
                      <w:color w:val="auto"/>
                      <w:szCs w:val="21"/>
                    </w:rPr>
                  </w:pPr>
                </w:p>
              </w:tc>
              <w:tc>
                <w:tcPr>
                  <w:tcW w:w="343" w:type="pct"/>
                  <w:vMerge w:val="continue"/>
                  <w:noWrap w:val="0"/>
                  <w:tcMar>
                    <w:top w:w="0" w:type="dxa"/>
                    <w:left w:w="0" w:type="dxa"/>
                    <w:bottom w:w="0" w:type="dxa"/>
                    <w:right w:w="0" w:type="dxa"/>
                  </w:tcMar>
                  <w:vAlign w:val="center"/>
                </w:tcPr>
                <w:p w14:paraId="2B15076C">
                  <w:pPr>
                    <w:jc w:val="center"/>
                    <w:rPr>
                      <w:rFonts w:hint="eastAsia"/>
                      <w:color w:val="auto"/>
                      <w:szCs w:val="21"/>
                    </w:rPr>
                  </w:pPr>
                </w:p>
              </w:tc>
              <w:tc>
                <w:tcPr>
                  <w:tcW w:w="2324" w:type="pct"/>
                  <w:noWrap w:val="0"/>
                  <w:tcMar>
                    <w:top w:w="0" w:type="dxa"/>
                    <w:left w:w="0" w:type="dxa"/>
                    <w:bottom w:w="0" w:type="dxa"/>
                    <w:right w:w="0" w:type="dxa"/>
                  </w:tcMar>
                  <w:vAlign w:val="center"/>
                </w:tcPr>
                <w:p w14:paraId="45733808">
                  <w:pPr>
                    <w:jc w:val="center"/>
                    <w:rPr>
                      <w:rFonts w:hint="eastAsia"/>
                      <w:color w:val="auto"/>
                      <w:szCs w:val="21"/>
                    </w:rPr>
                  </w:pPr>
                  <w:r>
                    <w:rPr>
                      <w:rFonts w:hint="eastAsia"/>
                      <w:color w:val="auto"/>
                      <w:szCs w:val="21"/>
                    </w:rPr>
                    <w:t>4．全省钢铁行业坚持布局调整和产能整合相结合，坚持企业搬迁与转型升级相结合，鼓励有条件的企业实施跨地区、跨所有制的兼并重组，高起点、高标准规划建设沿海精品钢基地，做精做优沿江特钢产业基地，加快推动全省钢铁行业转型升级优化布局。</w:t>
                  </w:r>
                </w:p>
              </w:tc>
              <w:tc>
                <w:tcPr>
                  <w:tcW w:w="1601" w:type="pct"/>
                  <w:noWrap w:val="0"/>
                  <w:tcMar>
                    <w:top w:w="0" w:type="dxa"/>
                    <w:left w:w="0" w:type="dxa"/>
                    <w:bottom w:w="0" w:type="dxa"/>
                    <w:right w:w="0" w:type="dxa"/>
                  </w:tcMar>
                  <w:vAlign w:val="center"/>
                </w:tcPr>
                <w:p w14:paraId="3C2E021B">
                  <w:pPr>
                    <w:jc w:val="center"/>
                    <w:rPr>
                      <w:rFonts w:hint="default" w:eastAsia="宋体"/>
                      <w:color w:val="auto"/>
                      <w:szCs w:val="21"/>
                      <w:lang w:val="en-US" w:eastAsia="zh-CN"/>
                    </w:rPr>
                  </w:pPr>
                  <w:r>
                    <w:rPr>
                      <w:rFonts w:hint="eastAsia"/>
                      <w:color w:val="auto"/>
                      <w:szCs w:val="21"/>
                      <w:lang w:val="en-US" w:eastAsia="zh-CN"/>
                    </w:rPr>
                    <w:t>本项目不属于钢铁行业。</w:t>
                  </w:r>
                </w:p>
              </w:tc>
              <w:tc>
                <w:tcPr>
                  <w:tcW w:w="425" w:type="pct"/>
                  <w:noWrap w:val="0"/>
                  <w:tcMar>
                    <w:top w:w="0" w:type="dxa"/>
                    <w:left w:w="0" w:type="dxa"/>
                    <w:bottom w:w="0" w:type="dxa"/>
                    <w:right w:w="0" w:type="dxa"/>
                  </w:tcMar>
                  <w:vAlign w:val="center"/>
                </w:tcPr>
                <w:p w14:paraId="37C1FB8D">
                  <w:pPr>
                    <w:jc w:val="center"/>
                    <w:rPr>
                      <w:rFonts w:hint="eastAsia"/>
                      <w:color w:val="auto"/>
                      <w:szCs w:val="21"/>
                    </w:rPr>
                  </w:pPr>
                  <w:r>
                    <w:rPr>
                      <w:color w:val="auto"/>
                      <w:szCs w:val="21"/>
                    </w:rPr>
                    <w:t>相符</w:t>
                  </w:r>
                </w:p>
              </w:tc>
            </w:tr>
            <w:tr w14:paraId="3079FF8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5" w:type="pct"/>
                  <w:vMerge w:val="continue"/>
                  <w:noWrap w:val="0"/>
                  <w:tcMar>
                    <w:top w:w="0" w:type="dxa"/>
                    <w:left w:w="0" w:type="dxa"/>
                    <w:bottom w:w="0" w:type="dxa"/>
                    <w:right w:w="0" w:type="dxa"/>
                  </w:tcMar>
                  <w:vAlign w:val="center"/>
                </w:tcPr>
                <w:p w14:paraId="21595F65">
                  <w:pPr>
                    <w:jc w:val="center"/>
                    <w:rPr>
                      <w:color w:val="auto"/>
                      <w:szCs w:val="21"/>
                    </w:rPr>
                  </w:pPr>
                </w:p>
              </w:tc>
              <w:tc>
                <w:tcPr>
                  <w:tcW w:w="343" w:type="pct"/>
                  <w:vMerge w:val="continue"/>
                  <w:noWrap w:val="0"/>
                  <w:tcMar>
                    <w:top w:w="0" w:type="dxa"/>
                    <w:left w:w="0" w:type="dxa"/>
                    <w:bottom w:w="0" w:type="dxa"/>
                    <w:right w:w="0" w:type="dxa"/>
                  </w:tcMar>
                  <w:vAlign w:val="center"/>
                </w:tcPr>
                <w:p w14:paraId="77FD9F5C">
                  <w:pPr>
                    <w:jc w:val="center"/>
                    <w:rPr>
                      <w:color w:val="auto"/>
                      <w:szCs w:val="21"/>
                    </w:rPr>
                  </w:pPr>
                </w:p>
              </w:tc>
              <w:tc>
                <w:tcPr>
                  <w:tcW w:w="2324" w:type="pct"/>
                  <w:noWrap w:val="0"/>
                  <w:tcMar>
                    <w:top w:w="0" w:type="dxa"/>
                    <w:left w:w="0" w:type="dxa"/>
                    <w:bottom w:w="0" w:type="dxa"/>
                    <w:right w:w="0" w:type="dxa"/>
                  </w:tcMar>
                  <w:vAlign w:val="center"/>
                </w:tcPr>
                <w:p w14:paraId="21AC557C">
                  <w:pPr>
                    <w:jc w:val="center"/>
                    <w:rPr>
                      <w:rFonts w:hint="eastAsia" w:eastAsia="宋体"/>
                      <w:color w:val="auto"/>
                      <w:szCs w:val="21"/>
                      <w:lang w:eastAsia="zh-CN"/>
                    </w:rPr>
                  </w:pPr>
                  <w:r>
                    <w:rPr>
                      <w:rFonts w:hint="eastAsia"/>
                      <w:color w:val="auto"/>
                      <w:szCs w:val="21"/>
                    </w:rPr>
                    <w:t>5．对列入国家和省规划，涉及生态保护红线和相关法定保护区的重大民生项目、重大基础设施项目（交通基础设施项目等），应优化空间布局（选线）、主动避让；确实无法避让的，应采取无害化方式（如无害化穿、跨越方式等），依法依规履行行政审批手续，强化减缓生态环境影响和生态补偿措施</w:t>
                  </w:r>
                  <w:r>
                    <w:rPr>
                      <w:rFonts w:hint="eastAsia"/>
                      <w:color w:val="auto"/>
                      <w:szCs w:val="21"/>
                      <w:lang w:eastAsia="zh-CN"/>
                    </w:rPr>
                    <w:t>。</w:t>
                  </w:r>
                </w:p>
              </w:tc>
              <w:tc>
                <w:tcPr>
                  <w:tcW w:w="1601" w:type="pct"/>
                  <w:noWrap w:val="0"/>
                  <w:tcMar>
                    <w:top w:w="0" w:type="dxa"/>
                    <w:left w:w="0" w:type="dxa"/>
                    <w:bottom w:w="0" w:type="dxa"/>
                    <w:right w:w="0" w:type="dxa"/>
                  </w:tcMar>
                  <w:vAlign w:val="center"/>
                </w:tcPr>
                <w:p w14:paraId="0430EF34">
                  <w:pPr>
                    <w:jc w:val="center"/>
                    <w:rPr>
                      <w:rFonts w:hint="eastAsia"/>
                      <w:color w:val="auto"/>
                      <w:szCs w:val="21"/>
                    </w:rPr>
                  </w:pPr>
                  <w:r>
                    <w:rPr>
                      <w:color w:val="auto"/>
                      <w:szCs w:val="21"/>
                    </w:rPr>
                    <w:t>本项目</w:t>
                  </w:r>
                  <w:r>
                    <w:rPr>
                      <w:rFonts w:hint="eastAsia"/>
                      <w:color w:val="auto"/>
                      <w:szCs w:val="21"/>
                      <w:lang w:val="en-US" w:eastAsia="zh-CN"/>
                    </w:rPr>
                    <w:t>不涉及</w:t>
                  </w:r>
                  <w:r>
                    <w:rPr>
                      <w:color w:val="auto"/>
                      <w:szCs w:val="21"/>
                    </w:rPr>
                    <w:t>生态保护红线</w:t>
                  </w:r>
                  <w:r>
                    <w:rPr>
                      <w:rFonts w:hint="eastAsia"/>
                      <w:color w:val="auto"/>
                      <w:szCs w:val="21"/>
                      <w:lang w:eastAsia="zh-CN"/>
                    </w:rPr>
                    <w:t>、</w:t>
                  </w:r>
                  <w:r>
                    <w:rPr>
                      <w:rFonts w:hint="eastAsia"/>
                      <w:color w:val="auto"/>
                      <w:szCs w:val="21"/>
                      <w:lang w:val="en-US" w:eastAsia="zh-CN"/>
                    </w:rPr>
                    <w:t>相关法定保护区的重大民生项目、</w:t>
                  </w:r>
                  <w:r>
                    <w:rPr>
                      <w:rFonts w:hint="eastAsia"/>
                      <w:color w:val="auto"/>
                      <w:szCs w:val="21"/>
                    </w:rPr>
                    <w:t>重大基础设施项目</w:t>
                  </w:r>
                  <w:r>
                    <w:rPr>
                      <w:rFonts w:hint="eastAsia"/>
                      <w:color w:val="auto"/>
                      <w:szCs w:val="21"/>
                      <w:lang w:eastAsia="zh-CN"/>
                    </w:rPr>
                    <w:t>。</w:t>
                  </w:r>
                </w:p>
              </w:tc>
              <w:tc>
                <w:tcPr>
                  <w:tcW w:w="425" w:type="pct"/>
                  <w:noWrap w:val="0"/>
                  <w:tcMar>
                    <w:top w:w="0" w:type="dxa"/>
                    <w:left w:w="0" w:type="dxa"/>
                    <w:bottom w:w="0" w:type="dxa"/>
                    <w:right w:w="0" w:type="dxa"/>
                  </w:tcMar>
                  <w:vAlign w:val="center"/>
                </w:tcPr>
                <w:p w14:paraId="2F3E6E6D">
                  <w:pPr>
                    <w:jc w:val="center"/>
                    <w:rPr>
                      <w:color w:val="auto"/>
                      <w:szCs w:val="21"/>
                    </w:rPr>
                  </w:pPr>
                  <w:r>
                    <w:rPr>
                      <w:color w:val="auto"/>
                      <w:szCs w:val="21"/>
                    </w:rPr>
                    <w:t>相符</w:t>
                  </w:r>
                </w:p>
              </w:tc>
            </w:tr>
            <w:tr w14:paraId="3F71FB5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5" w:type="pct"/>
                  <w:vMerge w:val="restart"/>
                  <w:noWrap w:val="0"/>
                  <w:tcMar>
                    <w:top w:w="0" w:type="dxa"/>
                    <w:left w:w="0" w:type="dxa"/>
                    <w:bottom w:w="0" w:type="dxa"/>
                    <w:right w:w="0" w:type="dxa"/>
                  </w:tcMar>
                  <w:vAlign w:val="center"/>
                </w:tcPr>
                <w:p w14:paraId="54915FFA">
                  <w:pPr>
                    <w:jc w:val="center"/>
                    <w:rPr>
                      <w:color w:val="auto"/>
                      <w:szCs w:val="21"/>
                    </w:rPr>
                  </w:pPr>
                  <w:r>
                    <w:rPr>
                      <w:color w:val="auto"/>
                      <w:szCs w:val="21"/>
                    </w:rPr>
                    <w:t>2</w:t>
                  </w:r>
                </w:p>
              </w:tc>
              <w:tc>
                <w:tcPr>
                  <w:tcW w:w="343" w:type="pct"/>
                  <w:vMerge w:val="restart"/>
                  <w:noWrap w:val="0"/>
                  <w:tcMar>
                    <w:top w:w="0" w:type="dxa"/>
                    <w:left w:w="0" w:type="dxa"/>
                    <w:bottom w:w="0" w:type="dxa"/>
                    <w:right w:w="0" w:type="dxa"/>
                  </w:tcMar>
                  <w:vAlign w:val="center"/>
                </w:tcPr>
                <w:p w14:paraId="670E67BD">
                  <w:pPr>
                    <w:jc w:val="center"/>
                    <w:rPr>
                      <w:color w:val="auto"/>
                      <w:szCs w:val="21"/>
                    </w:rPr>
                  </w:pPr>
                  <w:r>
                    <w:rPr>
                      <w:color w:val="auto"/>
                      <w:szCs w:val="21"/>
                    </w:rPr>
                    <w:t>污染物排放管控</w:t>
                  </w:r>
                </w:p>
              </w:tc>
              <w:tc>
                <w:tcPr>
                  <w:tcW w:w="2324" w:type="pct"/>
                  <w:noWrap w:val="0"/>
                  <w:tcMar>
                    <w:top w:w="0" w:type="dxa"/>
                    <w:left w:w="0" w:type="dxa"/>
                    <w:bottom w:w="0" w:type="dxa"/>
                    <w:right w:w="0" w:type="dxa"/>
                  </w:tcMar>
                  <w:vAlign w:val="center"/>
                </w:tcPr>
                <w:p w14:paraId="77BBB3B0">
                  <w:pPr>
                    <w:jc w:val="center"/>
                    <w:rPr>
                      <w:color w:val="auto"/>
                      <w:szCs w:val="21"/>
                    </w:rPr>
                  </w:pPr>
                  <w:r>
                    <w:rPr>
                      <w:color w:val="auto"/>
                      <w:szCs w:val="21"/>
                      <w:lang w:val="en-US" w:eastAsia="zh-CN"/>
                    </w:rPr>
                    <w:t>1．坚持生态环境质量只能更好、不能变坏，实施污染物总量控制，以环境容量定产业、定项目、定规模，确保开</w:t>
                  </w:r>
                  <w:r>
                    <w:rPr>
                      <w:rFonts w:hint="default"/>
                      <w:color w:val="auto"/>
                      <w:szCs w:val="21"/>
                      <w:lang w:val="en-US" w:eastAsia="zh-CN"/>
                    </w:rPr>
                    <w:t>发建设行为不突破生态环境承载力。</w:t>
                  </w:r>
                </w:p>
              </w:tc>
              <w:tc>
                <w:tcPr>
                  <w:tcW w:w="1601" w:type="pct"/>
                  <w:noWrap w:val="0"/>
                  <w:tcMar>
                    <w:top w:w="0" w:type="dxa"/>
                    <w:left w:w="0" w:type="dxa"/>
                    <w:bottom w:w="0" w:type="dxa"/>
                    <w:right w:w="0" w:type="dxa"/>
                  </w:tcMar>
                  <w:vAlign w:val="center"/>
                </w:tcPr>
                <w:p w14:paraId="0183B0F7">
                  <w:pPr>
                    <w:jc w:val="center"/>
                    <w:rPr>
                      <w:rFonts w:hint="eastAsia"/>
                      <w:color w:val="auto"/>
                      <w:szCs w:val="21"/>
                    </w:rPr>
                  </w:pPr>
                  <w:r>
                    <w:rPr>
                      <w:color w:val="auto"/>
                      <w:szCs w:val="21"/>
                    </w:rPr>
                    <w:t>本项目应按要求向常州市金坛生态环境局申请总量</w:t>
                  </w:r>
                  <w:r>
                    <w:rPr>
                      <w:rFonts w:hint="eastAsia"/>
                      <w:color w:val="auto"/>
                      <w:szCs w:val="21"/>
                    </w:rPr>
                    <w:t>。</w:t>
                  </w:r>
                </w:p>
              </w:tc>
              <w:tc>
                <w:tcPr>
                  <w:tcW w:w="425" w:type="pct"/>
                  <w:noWrap w:val="0"/>
                  <w:tcMar>
                    <w:top w:w="0" w:type="dxa"/>
                    <w:left w:w="0" w:type="dxa"/>
                    <w:bottom w:w="0" w:type="dxa"/>
                    <w:right w:w="0" w:type="dxa"/>
                  </w:tcMar>
                  <w:vAlign w:val="center"/>
                </w:tcPr>
                <w:p w14:paraId="62CC1AF9">
                  <w:pPr>
                    <w:jc w:val="center"/>
                    <w:rPr>
                      <w:color w:val="auto"/>
                      <w:szCs w:val="21"/>
                    </w:rPr>
                  </w:pPr>
                  <w:r>
                    <w:rPr>
                      <w:color w:val="auto"/>
                      <w:szCs w:val="21"/>
                    </w:rPr>
                    <w:t>相符</w:t>
                  </w:r>
                </w:p>
              </w:tc>
            </w:tr>
            <w:tr w14:paraId="22B3685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5" w:type="pct"/>
                  <w:vMerge w:val="continue"/>
                  <w:noWrap w:val="0"/>
                  <w:tcMar>
                    <w:top w:w="0" w:type="dxa"/>
                    <w:left w:w="0" w:type="dxa"/>
                    <w:bottom w:w="0" w:type="dxa"/>
                    <w:right w:w="0" w:type="dxa"/>
                  </w:tcMar>
                  <w:vAlign w:val="center"/>
                </w:tcPr>
                <w:p w14:paraId="373F3437">
                  <w:pPr>
                    <w:jc w:val="center"/>
                    <w:rPr>
                      <w:color w:val="auto"/>
                      <w:szCs w:val="21"/>
                    </w:rPr>
                  </w:pPr>
                </w:p>
              </w:tc>
              <w:tc>
                <w:tcPr>
                  <w:tcW w:w="343" w:type="pct"/>
                  <w:vMerge w:val="continue"/>
                  <w:noWrap w:val="0"/>
                  <w:tcMar>
                    <w:top w:w="0" w:type="dxa"/>
                    <w:left w:w="0" w:type="dxa"/>
                    <w:bottom w:w="0" w:type="dxa"/>
                    <w:right w:w="0" w:type="dxa"/>
                  </w:tcMar>
                  <w:vAlign w:val="center"/>
                </w:tcPr>
                <w:p w14:paraId="7EBEE3E9">
                  <w:pPr>
                    <w:jc w:val="center"/>
                    <w:rPr>
                      <w:color w:val="auto"/>
                      <w:szCs w:val="21"/>
                    </w:rPr>
                  </w:pPr>
                </w:p>
              </w:tc>
              <w:tc>
                <w:tcPr>
                  <w:tcW w:w="2324" w:type="pct"/>
                  <w:noWrap w:val="0"/>
                  <w:tcMar>
                    <w:top w:w="0" w:type="dxa"/>
                    <w:left w:w="0" w:type="dxa"/>
                    <w:bottom w:w="0" w:type="dxa"/>
                    <w:right w:w="0" w:type="dxa"/>
                  </w:tcMar>
                  <w:vAlign w:val="center"/>
                </w:tcPr>
                <w:p w14:paraId="51C177F5">
                  <w:pPr>
                    <w:jc w:val="center"/>
                    <w:rPr>
                      <w:color w:val="auto"/>
                      <w:szCs w:val="21"/>
                    </w:rPr>
                  </w:pPr>
                  <w:r>
                    <w:rPr>
                      <w:rFonts w:hint="default"/>
                      <w:color w:val="auto"/>
                      <w:szCs w:val="21"/>
                      <w:lang w:val="en-US" w:eastAsia="zh-CN"/>
                    </w:rPr>
                    <w:t>2．2025年，主要污染物排放减排完成国家下达任务，单位工业增加值二氧化碳排放量下降20%，主要高耗能行业单位产品二氧化碳排放达到世界先进水平。实施氮氧化物（NOx）和VOCs协同减排，推进多污染物和关联区域连防联控。</w:t>
                  </w:r>
                </w:p>
              </w:tc>
              <w:tc>
                <w:tcPr>
                  <w:tcW w:w="1601" w:type="pct"/>
                  <w:noWrap w:val="0"/>
                  <w:tcMar>
                    <w:top w:w="0" w:type="dxa"/>
                    <w:left w:w="0" w:type="dxa"/>
                    <w:bottom w:w="0" w:type="dxa"/>
                    <w:right w:w="0" w:type="dxa"/>
                  </w:tcMar>
                  <w:vAlign w:val="center"/>
                </w:tcPr>
                <w:p w14:paraId="09345619">
                  <w:pPr>
                    <w:jc w:val="center"/>
                    <w:rPr>
                      <w:rFonts w:hint="eastAsia"/>
                      <w:color w:val="auto"/>
                      <w:szCs w:val="21"/>
                    </w:rPr>
                  </w:pPr>
                  <w:r>
                    <w:rPr>
                      <w:color w:val="auto"/>
                      <w:szCs w:val="21"/>
                    </w:rPr>
                    <w:t>本项目不属于</w:t>
                  </w:r>
                  <w:r>
                    <w:rPr>
                      <w:rFonts w:hint="eastAsia"/>
                      <w:color w:val="auto"/>
                      <w:szCs w:val="21"/>
                      <w:lang w:val="en-US" w:eastAsia="zh-CN"/>
                    </w:rPr>
                    <w:t>高能耗</w:t>
                  </w:r>
                  <w:r>
                    <w:rPr>
                      <w:color w:val="auto"/>
                      <w:szCs w:val="21"/>
                    </w:rPr>
                    <w:t>工业，</w:t>
                  </w:r>
                  <w:r>
                    <w:rPr>
                      <w:rFonts w:hint="eastAsia"/>
                      <w:color w:val="auto"/>
                      <w:szCs w:val="21"/>
                      <w:lang w:val="en-US" w:eastAsia="zh-CN"/>
                    </w:rPr>
                    <w:t>本项目无氮氧化物排放，有机废气均收集处理后排放</w:t>
                  </w:r>
                  <w:r>
                    <w:rPr>
                      <w:rFonts w:hint="eastAsia"/>
                      <w:color w:val="auto"/>
                      <w:szCs w:val="21"/>
                    </w:rPr>
                    <w:t>。</w:t>
                  </w:r>
                </w:p>
              </w:tc>
              <w:tc>
                <w:tcPr>
                  <w:tcW w:w="425" w:type="pct"/>
                  <w:noWrap w:val="0"/>
                  <w:tcMar>
                    <w:top w:w="0" w:type="dxa"/>
                    <w:left w:w="0" w:type="dxa"/>
                    <w:bottom w:w="0" w:type="dxa"/>
                    <w:right w:w="0" w:type="dxa"/>
                  </w:tcMar>
                  <w:vAlign w:val="center"/>
                </w:tcPr>
                <w:p w14:paraId="3ECA2264">
                  <w:pPr>
                    <w:jc w:val="center"/>
                    <w:rPr>
                      <w:color w:val="auto"/>
                      <w:szCs w:val="21"/>
                    </w:rPr>
                  </w:pPr>
                  <w:r>
                    <w:rPr>
                      <w:color w:val="auto"/>
                      <w:szCs w:val="21"/>
                    </w:rPr>
                    <w:t>相符</w:t>
                  </w:r>
                </w:p>
              </w:tc>
            </w:tr>
            <w:tr w14:paraId="1F559FF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5" w:type="pct"/>
                  <w:vMerge w:val="restart"/>
                  <w:noWrap w:val="0"/>
                  <w:tcMar>
                    <w:top w:w="0" w:type="dxa"/>
                    <w:left w:w="0" w:type="dxa"/>
                    <w:bottom w:w="0" w:type="dxa"/>
                    <w:right w:w="0" w:type="dxa"/>
                  </w:tcMar>
                  <w:vAlign w:val="center"/>
                </w:tcPr>
                <w:p w14:paraId="792D625F">
                  <w:pPr>
                    <w:jc w:val="center"/>
                    <w:rPr>
                      <w:color w:val="auto"/>
                      <w:szCs w:val="21"/>
                    </w:rPr>
                  </w:pPr>
                  <w:r>
                    <w:rPr>
                      <w:color w:val="auto"/>
                      <w:szCs w:val="21"/>
                    </w:rPr>
                    <w:t>3</w:t>
                  </w:r>
                </w:p>
              </w:tc>
              <w:tc>
                <w:tcPr>
                  <w:tcW w:w="343" w:type="pct"/>
                  <w:vMerge w:val="restart"/>
                  <w:noWrap w:val="0"/>
                  <w:tcMar>
                    <w:top w:w="0" w:type="dxa"/>
                    <w:left w:w="0" w:type="dxa"/>
                    <w:bottom w:w="0" w:type="dxa"/>
                    <w:right w:w="0" w:type="dxa"/>
                  </w:tcMar>
                  <w:vAlign w:val="center"/>
                </w:tcPr>
                <w:p w14:paraId="64B35FCB">
                  <w:pPr>
                    <w:jc w:val="center"/>
                    <w:rPr>
                      <w:color w:val="auto"/>
                      <w:szCs w:val="21"/>
                    </w:rPr>
                  </w:pPr>
                  <w:r>
                    <w:rPr>
                      <w:color w:val="auto"/>
                      <w:szCs w:val="21"/>
                    </w:rPr>
                    <w:t>环境风险防控</w:t>
                  </w:r>
                </w:p>
              </w:tc>
              <w:tc>
                <w:tcPr>
                  <w:tcW w:w="2324" w:type="pct"/>
                  <w:noWrap w:val="0"/>
                  <w:tcMar>
                    <w:top w:w="0" w:type="dxa"/>
                    <w:left w:w="0" w:type="dxa"/>
                    <w:bottom w:w="0" w:type="dxa"/>
                    <w:right w:w="0" w:type="dxa"/>
                  </w:tcMar>
                  <w:vAlign w:val="center"/>
                </w:tcPr>
                <w:p w14:paraId="5DCF3137">
                  <w:pPr>
                    <w:jc w:val="center"/>
                    <w:rPr>
                      <w:rFonts w:hint="eastAsia"/>
                      <w:color w:val="auto"/>
                      <w:kern w:val="2"/>
                      <w:sz w:val="21"/>
                      <w:szCs w:val="21"/>
                      <w:lang w:val="en-US" w:eastAsia="zh-CN" w:bidi="ar-SA"/>
                    </w:rPr>
                  </w:pPr>
                  <w:r>
                    <w:rPr>
                      <w:rFonts w:hint="eastAsia"/>
                      <w:color w:val="auto"/>
                      <w:szCs w:val="21"/>
                      <w:lang w:val="en-US" w:eastAsia="zh-CN"/>
                    </w:rPr>
                    <w:t>2．强化化工行业环境风险管控。重点加强化学工业园区、涉及大宗危化品使用企业、贮存和运输危化品的港口码头、尾矿库、集中式污水处理厂、危废处理企业的环境风险防控；严厉打击危险废物非法转移、处置和倾倒行为；加强关闭搬迁化工企业及遗留地块的调查评估、风险管控、治理修复。</w:t>
                  </w:r>
                </w:p>
              </w:tc>
              <w:tc>
                <w:tcPr>
                  <w:tcW w:w="1601" w:type="pct"/>
                  <w:noWrap w:val="0"/>
                  <w:tcMar>
                    <w:top w:w="0" w:type="dxa"/>
                    <w:left w:w="0" w:type="dxa"/>
                    <w:bottom w:w="0" w:type="dxa"/>
                    <w:right w:w="0" w:type="dxa"/>
                  </w:tcMar>
                  <w:vAlign w:val="center"/>
                </w:tcPr>
                <w:p w14:paraId="41EC9E7F">
                  <w:pPr>
                    <w:jc w:val="center"/>
                    <w:rPr>
                      <w:rFonts w:hint="eastAsia"/>
                      <w:color w:val="auto"/>
                      <w:kern w:val="2"/>
                      <w:sz w:val="21"/>
                      <w:szCs w:val="21"/>
                      <w:lang w:val="en-US" w:eastAsia="zh-CN" w:bidi="ar-SA"/>
                    </w:rPr>
                  </w:pPr>
                  <w:r>
                    <w:rPr>
                      <w:color w:val="auto"/>
                      <w:szCs w:val="21"/>
                    </w:rPr>
                    <w:t>本项目不运输剧毒物质</w:t>
                  </w:r>
                  <w:r>
                    <w:rPr>
                      <w:rFonts w:hint="eastAsia"/>
                      <w:color w:val="auto"/>
                      <w:szCs w:val="21"/>
                    </w:rPr>
                    <w:t>和</w:t>
                  </w:r>
                  <w:r>
                    <w:rPr>
                      <w:color w:val="auto"/>
                      <w:szCs w:val="21"/>
                    </w:rPr>
                    <w:t>危险化学品</w:t>
                  </w:r>
                  <w:r>
                    <w:rPr>
                      <w:rFonts w:hint="eastAsia"/>
                      <w:color w:val="auto"/>
                      <w:szCs w:val="21"/>
                    </w:rPr>
                    <w:t>；</w:t>
                  </w:r>
                  <w:r>
                    <w:rPr>
                      <w:rFonts w:hint="eastAsia"/>
                      <w:color w:val="auto"/>
                      <w:szCs w:val="21"/>
                      <w:lang w:val="en-US" w:eastAsia="zh-CN"/>
                    </w:rPr>
                    <w:t>本项目</w:t>
                  </w:r>
                  <w:r>
                    <w:rPr>
                      <w:color w:val="auto"/>
                      <w:szCs w:val="21"/>
                    </w:rPr>
                    <w:t>产生的危险废物交由有资质单位处置，</w:t>
                  </w:r>
                  <w:r>
                    <w:rPr>
                      <w:rFonts w:hint="eastAsia"/>
                      <w:color w:val="auto"/>
                      <w:szCs w:val="21"/>
                      <w:lang w:val="en-US" w:eastAsia="zh-CN"/>
                    </w:rPr>
                    <w:t>零</w:t>
                  </w:r>
                  <w:r>
                    <w:rPr>
                      <w:color w:val="auto"/>
                      <w:szCs w:val="21"/>
                    </w:rPr>
                    <w:t>排放。</w:t>
                  </w:r>
                </w:p>
              </w:tc>
              <w:tc>
                <w:tcPr>
                  <w:tcW w:w="425" w:type="pct"/>
                  <w:noWrap w:val="0"/>
                  <w:tcMar>
                    <w:top w:w="0" w:type="dxa"/>
                    <w:left w:w="0" w:type="dxa"/>
                    <w:bottom w:w="0" w:type="dxa"/>
                    <w:right w:w="0" w:type="dxa"/>
                  </w:tcMar>
                  <w:vAlign w:val="center"/>
                </w:tcPr>
                <w:p w14:paraId="2F933C5A">
                  <w:pPr>
                    <w:jc w:val="center"/>
                    <w:rPr>
                      <w:color w:val="auto"/>
                      <w:kern w:val="2"/>
                      <w:sz w:val="21"/>
                      <w:szCs w:val="21"/>
                      <w:lang w:val="en-US" w:eastAsia="zh-CN" w:bidi="ar-SA"/>
                    </w:rPr>
                  </w:pPr>
                  <w:r>
                    <w:rPr>
                      <w:color w:val="auto"/>
                      <w:szCs w:val="21"/>
                    </w:rPr>
                    <w:t>相符</w:t>
                  </w:r>
                </w:p>
              </w:tc>
            </w:tr>
            <w:tr w14:paraId="5B5FAC4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5" w:type="pct"/>
                  <w:vMerge w:val="continue"/>
                  <w:noWrap w:val="0"/>
                  <w:tcMar>
                    <w:top w:w="0" w:type="dxa"/>
                    <w:left w:w="0" w:type="dxa"/>
                    <w:bottom w:w="0" w:type="dxa"/>
                    <w:right w:w="0" w:type="dxa"/>
                  </w:tcMar>
                  <w:vAlign w:val="center"/>
                </w:tcPr>
                <w:p w14:paraId="444FE59A">
                  <w:pPr>
                    <w:jc w:val="center"/>
                    <w:rPr>
                      <w:color w:val="auto"/>
                      <w:szCs w:val="21"/>
                    </w:rPr>
                  </w:pPr>
                </w:p>
              </w:tc>
              <w:tc>
                <w:tcPr>
                  <w:tcW w:w="343" w:type="pct"/>
                  <w:vMerge w:val="continue"/>
                  <w:noWrap w:val="0"/>
                  <w:tcMar>
                    <w:top w:w="0" w:type="dxa"/>
                    <w:left w:w="0" w:type="dxa"/>
                    <w:bottom w:w="0" w:type="dxa"/>
                    <w:right w:w="0" w:type="dxa"/>
                  </w:tcMar>
                  <w:vAlign w:val="center"/>
                </w:tcPr>
                <w:p w14:paraId="22B88EC2">
                  <w:pPr>
                    <w:jc w:val="center"/>
                    <w:rPr>
                      <w:color w:val="auto"/>
                      <w:szCs w:val="21"/>
                    </w:rPr>
                  </w:pPr>
                </w:p>
              </w:tc>
              <w:tc>
                <w:tcPr>
                  <w:tcW w:w="2324" w:type="pct"/>
                  <w:noWrap w:val="0"/>
                  <w:tcMar>
                    <w:top w:w="0" w:type="dxa"/>
                    <w:left w:w="0" w:type="dxa"/>
                    <w:bottom w:w="0" w:type="dxa"/>
                    <w:right w:w="0" w:type="dxa"/>
                  </w:tcMar>
                  <w:vAlign w:val="center"/>
                </w:tcPr>
                <w:p w14:paraId="6368C97E">
                  <w:pPr>
                    <w:jc w:val="center"/>
                    <w:rPr>
                      <w:rFonts w:hint="eastAsia"/>
                      <w:color w:val="auto"/>
                      <w:kern w:val="2"/>
                      <w:sz w:val="21"/>
                      <w:szCs w:val="21"/>
                      <w:lang w:val="en-US" w:eastAsia="zh-CN" w:bidi="ar-SA"/>
                    </w:rPr>
                  </w:pPr>
                  <w:r>
                    <w:rPr>
                      <w:rFonts w:hint="eastAsia"/>
                      <w:color w:val="auto"/>
                      <w:szCs w:val="21"/>
                      <w:lang w:val="en-US" w:eastAsia="zh-CN"/>
                    </w:rPr>
                    <w:t>3．强化环境事故应急管理。深化跨部门、跨区域环境应急协调联动，分区域建立环境应急物资储备库。各级工业园区（集聚区）和企业的环境应急装备和储备物资应纳入储备体系。</w:t>
                  </w:r>
                </w:p>
              </w:tc>
              <w:tc>
                <w:tcPr>
                  <w:tcW w:w="1601" w:type="pct"/>
                  <w:noWrap w:val="0"/>
                  <w:tcMar>
                    <w:top w:w="0" w:type="dxa"/>
                    <w:left w:w="0" w:type="dxa"/>
                    <w:bottom w:w="0" w:type="dxa"/>
                    <w:right w:w="0" w:type="dxa"/>
                  </w:tcMar>
                  <w:vAlign w:val="center"/>
                </w:tcPr>
                <w:p w14:paraId="13F5724C">
                  <w:pPr>
                    <w:jc w:val="center"/>
                    <w:rPr>
                      <w:rFonts w:hint="eastAsia"/>
                      <w:color w:val="auto"/>
                      <w:kern w:val="2"/>
                      <w:sz w:val="21"/>
                      <w:szCs w:val="21"/>
                      <w:lang w:val="en-US" w:eastAsia="zh-CN" w:bidi="ar-SA"/>
                    </w:rPr>
                  </w:pPr>
                  <w:r>
                    <w:rPr>
                      <w:color w:val="auto"/>
                      <w:szCs w:val="21"/>
                    </w:rPr>
                    <w:t>项目实施后，</w:t>
                  </w:r>
                  <w:r>
                    <w:rPr>
                      <w:rFonts w:hint="eastAsia"/>
                      <w:color w:val="auto"/>
                      <w:szCs w:val="21"/>
                    </w:rPr>
                    <w:t>按</w:t>
                  </w:r>
                  <w:r>
                    <w:rPr>
                      <w:color w:val="auto"/>
                      <w:szCs w:val="21"/>
                    </w:rPr>
                    <w:t>要求</w:t>
                  </w:r>
                  <w:r>
                    <w:rPr>
                      <w:rFonts w:hint="eastAsia"/>
                      <w:color w:val="auto"/>
                      <w:szCs w:val="21"/>
                      <w:lang w:val="en-US" w:eastAsia="zh-CN"/>
                    </w:rPr>
                    <w:t>配备环境应急装备、储备应急物资</w:t>
                  </w:r>
                  <w:r>
                    <w:rPr>
                      <w:rFonts w:hint="eastAsia"/>
                      <w:color w:val="auto"/>
                      <w:szCs w:val="21"/>
                    </w:rPr>
                    <w:t>。</w:t>
                  </w:r>
                </w:p>
              </w:tc>
              <w:tc>
                <w:tcPr>
                  <w:tcW w:w="425" w:type="pct"/>
                  <w:noWrap w:val="0"/>
                  <w:tcMar>
                    <w:top w:w="0" w:type="dxa"/>
                    <w:left w:w="0" w:type="dxa"/>
                    <w:bottom w:w="0" w:type="dxa"/>
                    <w:right w:w="0" w:type="dxa"/>
                  </w:tcMar>
                  <w:vAlign w:val="center"/>
                </w:tcPr>
                <w:p w14:paraId="7388E587">
                  <w:pPr>
                    <w:jc w:val="center"/>
                    <w:rPr>
                      <w:color w:val="auto"/>
                      <w:kern w:val="2"/>
                      <w:sz w:val="21"/>
                      <w:szCs w:val="21"/>
                      <w:lang w:val="en-US" w:eastAsia="zh-CN" w:bidi="ar-SA"/>
                    </w:rPr>
                  </w:pPr>
                  <w:r>
                    <w:rPr>
                      <w:color w:val="auto"/>
                      <w:szCs w:val="21"/>
                    </w:rPr>
                    <w:t>相符</w:t>
                  </w:r>
                </w:p>
              </w:tc>
            </w:tr>
            <w:tr w14:paraId="6B71556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5" w:type="pct"/>
                  <w:vMerge w:val="continue"/>
                  <w:noWrap w:val="0"/>
                  <w:tcMar>
                    <w:top w:w="0" w:type="dxa"/>
                    <w:left w:w="0" w:type="dxa"/>
                    <w:bottom w:w="0" w:type="dxa"/>
                    <w:right w:w="0" w:type="dxa"/>
                  </w:tcMar>
                  <w:vAlign w:val="center"/>
                </w:tcPr>
                <w:p w14:paraId="3C232E1E">
                  <w:pPr>
                    <w:jc w:val="center"/>
                    <w:rPr>
                      <w:color w:val="auto"/>
                      <w:szCs w:val="21"/>
                    </w:rPr>
                  </w:pPr>
                </w:p>
              </w:tc>
              <w:tc>
                <w:tcPr>
                  <w:tcW w:w="343" w:type="pct"/>
                  <w:vMerge w:val="continue"/>
                  <w:noWrap w:val="0"/>
                  <w:tcMar>
                    <w:top w:w="0" w:type="dxa"/>
                    <w:left w:w="0" w:type="dxa"/>
                    <w:bottom w:w="0" w:type="dxa"/>
                    <w:right w:w="0" w:type="dxa"/>
                  </w:tcMar>
                  <w:vAlign w:val="center"/>
                </w:tcPr>
                <w:p w14:paraId="2133F6CE">
                  <w:pPr>
                    <w:jc w:val="center"/>
                    <w:rPr>
                      <w:color w:val="auto"/>
                      <w:szCs w:val="21"/>
                    </w:rPr>
                  </w:pPr>
                </w:p>
              </w:tc>
              <w:tc>
                <w:tcPr>
                  <w:tcW w:w="2324" w:type="pct"/>
                  <w:noWrap w:val="0"/>
                  <w:tcMar>
                    <w:top w:w="0" w:type="dxa"/>
                    <w:left w:w="0" w:type="dxa"/>
                    <w:bottom w:w="0" w:type="dxa"/>
                    <w:right w:w="0" w:type="dxa"/>
                  </w:tcMar>
                  <w:vAlign w:val="center"/>
                </w:tcPr>
                <w:p w14:paraId="3A2809D6">
                  <w:pPr>
                    <w:jc w:val="center"/>
                    <w:rPr>
                      <w:rFonts w:hint="eastAsia"/>
                      <w:color w:val="auto"/>
                      <w:kern w:val="2"/>
                      <w:sz w:val="21"/>
                      <w:szCs w:val="21"/>
                      <w:lang w:val="en-US" w:eastAsia="zh-CN" w:bidi="ar-SA"/>
                    </w:rPr>
                  </w:pPr>
                  <w:r>
                    <w:rPr>
                      <w:rFonts w:hint="eastAsia"/>
                      <w:color w:val="auto"/>
                      <w:szCs w:val="21"/>
                      <w:lang w:val="en-US" w:eastAsia="zh-CN"/>
                    </w:rPr>
                    <w:t>4．强化环境风险防控能力建设。按照统一信息平台、统一监管力度、统一应急等级、协同应急救援的思路，在沿江发展带、沿海发展带、环太湖等地区构建区域性环境风险预警应急响应机制，实施区域突发环境风险预警联防联控。</w:t>
                  </w:r>
                </w:p>
              </w:tc>
              <w:tc>
                <w:tcPr>
                  <w:tcW w:w="1601" w:type="pct"/>
                  <w:noWrap w:val="0"/>
                  <w:tcMar>
                    <w:top w:w="0" w:type="dxa"/>
                    <w:left w:w="0" w:type="dxa"/>
                    <w:bottom w:w="0" w:type="dxa"/>
                    <w:right w:w="0" w:type="dxa"/>
                  </w:tcMar>
                  <w:vAlign w:val="center"/>
                </w:tcPr>
                <w:p w14:paraId="3E47E70F">
                  <w:pPr>
                    <w:jc w:val="center"/>
                    <w:rPr>
                      <w:color w:val="auto"/>
                      <w:kern w:val="2"/>
                      <w:sz w:val="21"/>
                      <w:szCs w:val="21"/>
                      <w:lang w:val="en-US" w:eastAsia="zh-CN" w:bidi="ar-SA"/>
                    </w:rPr>
                  </w:pPr>
                  <w:r>
                    <w:rPr>
                      <w:color w:val="auto"/>
                      <w:szCs w:val="21"/>
                    </w:rPr>
                    <w:t>项目实施后，</w:t>
                  </w:r>
                  <w:r>
                    <w:rPr>
                      <w:rFonts w:hint="eastAsia"/>
                      <w:color w:val="auto"/>
                      <w:szCs w:val="21"/>
                    </w:rPr>
                    <w:t>按</w:t>
                  </w:r>
                  <w:r>
                    <w:rPr>
                      <w:color w:val="auto"/>
                      <w:szCs w:val="21"/>
                    </w:rPr>
                    <w:t>要求编制</w:t>
                  </w:r>
                  <w:r>
                    <w:rPr>
                      <w:rFonts w:hint="eastAsia"/>
                      <w:color w:val="auto"/>
                      <w:szCs w:val="21"/>
                    </w:rPr>
                    <w:t>突发环境事件</w:t>
                  </w:r>
                  <w:r>
                    <w:rPr>
                      <w:color w:val="auto"/>
                      <w:szCs w:val="21"/>
                    </w:rPr>
                    <w:t>应急预案</w:t>
                  </w:r>
                  <w:r>
                    <w:rPr>
                      <w:rFonts w:hint="eastAsia"/>
                      <w:color w:val="auto"/>
                      <w:szCs w:val="21"/>
                    </w:rPr>
                    <w:t>、落实预案中的相关</w:t>
                  </w:r>
                  <w:r>
                    <w:rPr>
                      <w:color w:val="auto"/>
                      <w:szCs w:val="21"/>
                    </w:rPr>
                    <w:t>风险防范措施</w:t>
                  </w:r>
                  <w:r>
                    <w:rPr>
                      <w:rFonts w:hint="eastAsia"/>
                      <w:color w:val="auto"/>
                      <w:szCs w:val="21"/>
                    </w:rPr>
                    <w:t>并报相关部门备案。</w:t>
                  </w:r>
                </w:p>
              </w:tc>
              <w:tc>
                <w:tcPr>
                  <w:tcW w:w="425" w:type="pct"/>
                  <w:noWrap w:val="0"/>
                  <w:tcMar>
                    <w:top w:w="0" w:type="dxa"/>
                    <w:left w:w="0" w:type="dxa"/>
                    <w:bottom w:w="0" w:type="dxa"/>
                    <w:right w:w="0" w:type="dxa"/>
                  </w:tcMar>
                  <w:vAlign w:val="center"/>
                </w:tcPr>
                <w:p w14:paraId="5569BB2F">
                  <w:pPr>
                    <w:jc w:val="center"/>
                    <w:rPr>
                      <w:color w:val="auto"/>
                      <w:kern w:val="2"/>
                      <w:sz w:val="21"/>
                      <w:szCs w:val="21"/>
                      <w:lang w:val="en-US" w:eastAsia="zh-CN" w:bidi="ar-SA"/>
                    </w:rPr>
                  </w:pPr>
                  <w:r>
                    <w:rPr>
                      <w:color w:val="auto"/>
                      <w:szCs w:val="21"/>
                    </w:rPr>
                    <w:t>相符</w:t>
                  </w:r>
                </w:p>
              </w:tc>
            </w:tr>
            <w:tr w14:paraId="034AA76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5" w:type="pct"/>
                  <w:vMerge w:val="restart"/>
                  <w:noWrap w:val="0"/>
                  <w:tcMar>
                    <w:top w:w="0" w:type="dxa"/>
                    <w:left w:w="0" w:type="dxa"/>
                    <w:bottom w:w="0" w:type="dxa"/>
                    <w:right w:w="0" w:type="dxa"/>
                  </w:tcMar>
                  <w:vAlign w:val="center"/>
                </w:tcPr>
                <w:p w14:paraId="5C3D0A65">
                  <w:pPr>
                    <w:jc w:val="center"/>
                    <w:rPr>
                      <w:color w:val="auto"/>
                      <w:szCs w:val="21"/>
                    </w:rPr>
                  </w:pPr>
                  <w:r>
                    <w:rPr>
                      <w:color w:val="auto"/>
                      <w:szCs w:val="21"/>
                    </w:rPr>
                    <w:t>4</w:t>
                  </w:r>
                </w:p>
              </w:tc>
              <w:tc>
                <w:tcPr>
                  <w:tcW w:w="343" w:type="pct"/>
                  <w:vMerge w:val="restart"/>
                  <w:noWrap w:val="0"/>
                  <w:tcMar>
                    <w:top w:w="0" w:type="dxa"/>
                    <w:left w:w="0" w:type="dxa"/>
                    <w:bottom w:w="0" w:type="dxa"/>
                    <w:right w:w="0" w:type="dxa"/>
                  </w:tcMar>
                  <w:vAlign w:val="center"/>
                </w:tcPr>
                <w:p w14:paraId="5DD50221">
                  <w:pPr>
                    <w:jc w:val="center"/>
                    <w:rPr>
                      <w:color w:val="auto"/>
                      <w:szCs w:val="21"/>
                    </w:rPr>
                  </w:pPr>
                  <w:r>
                    <w:rPr>
                      <w:color w:val="auto"/>
                      <w:szCs w:val="21"/>
                    </w:rPr>
                    <w:t>资源利用效率要求</w:t>
                  </w:r>
                </w:p>
              </w:tc>
              <w:tc>
                <w:tcPr>
                  <w:tcW w:w="2324" w:type="pct"/>
                  <w:noWrap w:val="0"/>
                  <w:tcMar>
                    <w:top w:w="0" w:type="dxa"/>
                    <w:left w:w="0" w:type="dxa"/>
                    <w:bottom w:w="0" w:type="dxa"/>
                    <w:right w:w="0" w:type="dxa"/>
                  </w:tcMar>
                  <w:vAlign w:val="center"/>
                </w:tcPr>
                <w:p w14:paraId="032ECAE8">
                  <w:pPr>
                    <w:jc w:val="center"/>
                    <w:rPr>
                      <w:color w:val="auto"/>
                      <w:szCs w:val="21"/>
                    </w:rPr>
                  </w:pPr>
                  <w:r>
                    <w:rPr>
                      <w:color w:val="auto"/>
                      <w:szCs w:val="21"/>
                      <w:lang w:val="en-US" w:eastAsia="zh-CN"/>
                    </w:rPr>
                    <w:t>1．水资源利用总量及效率要求：到2025年，全省用水总量控制在525.9亿立方米以内，万元地区生产总值用水量、</w:t>
                  </w:r>
                  <w:r>
                    <w:rPr>
                      <w:rFonts w:hint="default"/>
                      <w:color w:val="auto"/>
                      <w:szCs w:val="21"/>
                      <w:lang w:val="en-US" w:eastAsia="zh-CN"/>
                    </w:rPr>
                    <w:t>万元工业增加值用水量下降完成国家下达目标，农田灌溉水有效利用系数提高到0.625。</w:t>
                  </w:r>
                </w:p>
              </w:tc>
              <w:tc>
                <w:tcPr>
                  <w:tcW w:w="1601" w:type="pct"/>
                  <w:noWrap w:val="0"/>
                  <w:tcMar>
                    <w:top w:w="0" w:type="dxa"/>
                    <w:left w:w="0" w:type="dxa"/>
                    <w:bottom w:w="0" w:type="dxa"/>
                    <w:right w:w="0" w:type="dxa"/>
                  </w:tcMar>
                  <w:vAlign w:val="center"/>
                </w:tcPr>
                <w:p w14:paraId="6103A24D">
                  <w:pPr>
                    <w:jc w:val="center"/>
                    <w:rPr>
                      <w:color w:val="auto"/>
                      <w:szCs w:val="21"/>
                    </w:rPr>
                  </w:pPr>
                  <w:r>
                    <w:rPr>
                      <w:color w:val="auto"/>
                      <w:szCs w:val="21"/>
                    </w:rPr>
                    <w:t>本项目GDP水耗为</w:t>
                  </w:r>
                  <w:r>
                    <w:rPr>
                      <w:rFonts w:hint="eastAsia"/>
                      <w:color w:val="auto"/>
                      <w:szCs w:val="21"/>
                      <w:lang w:val="en-US" w:eastAsia="zh-CN"/>
                    </w:rPr>
                    <w:t>0.69</w:t>
                  </w:r>
                  <w:r>
                    <w:rPr>
                      <w:color w:val="auto"/>
                      <w:szCs w:val="21"/>
                    </w:rPr>
                    <w:t>m</w:t>
                  </w:r>
                  <w:r>
                    <w:rPr>
                      <w:color w:val="auto"/>
                      <w:szCs w:val="21"/>
                      <w:vertAlign w:val="superscript"/>
                    </w:rPr>
                    <w:t>3</w:t>
                  </w:r>
                  <w:r>
                    <w:rPr>
                      <w:color w:val="auto"/>
                      <w:szCs w:val="21"/>
                    </w:rPr>
                    <w:t>/万元，均低于《</w:t>
                  </w:r>
                  <w:r>
                    <w:rPr>
                      <w:rFonts w:hint="eastAsia"/>
                      <w:color w:val="auto"/>
                      <w:szCs w:val="21"/>
                      <w:lang w:eastAsia="zh-CN"/>
                    </w:rPr>
                    <w:t>常州市金坛区金沙老城控制性详细规划（修改）</w:t>
                  </w:r>
                  <w:r>
                    <w:rPr>
                      <w:color w:val="auto"/>
                      <w:szCs w:val="21"/>
                    </w:rPr>
                    <w:t>环境影响报告书》中的设计值（参考2030年），即单位GDP水耗为6m</w:t>
                  </w:r>
                  <w:r>
                    <w:rPr>
                      <w:color w:val="auto"/>
                      <w:szCs w:val="21"/>
                      <w:vertAlign w:val="superscript"/>
                    </w:rPr>
                    <w:t>3</w:t>
                  </w:r>
                  <w:r>
                    <w:rPr>
                      <w:color w:val="auto"/>
                      <w:szCs w:val="21"/>
                    </w:rPr>
                    <w:t>/万元，满足开发区的资源指标要求</w:t>
                  </w:r>
                </w:p>
              </w:tc>
              <w:tc>
                <w:tcPr>
                  <w:tcW w:w="425" w:type="pct"/>
                  <w:noWrap w:val="0"/>
                  <w:tcMar>
                    <w:top w:w="0" w:type="dxa"/>
                    <w:left w:w="0" w:type="dxa"/>
                    <w:bottom w:w="0" w:type="dxa"/>
                    <w:right w:w="0" w:type="dxa"/>
                  </w:tcMar>
                  <w:vAlign w:val="center"/>
                </w:tcPr>
                <w:p w14:paraId="4E74AF7B">
                  <w:pPr>
                    <w:jc w:val="center"/>
                    <w:rPr>
                      <w:color w:val="auto"/>
                      <w:szCs w:val="21"/>
                    </w:rPr>
                  </w:pPr>
                  <w:r>
                    <w:rPr>
                      <w:color w:val="auto"/>
                      <w:szCs w:val="21"/>
                    </w:rPr>
                    <w:t>相符</w:t>
                  </w:r>
                </w:p>
              </w:tc>
            </w:tr>
            <w:tr w14:paraId="727B685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5" w:type="pct"/>
                  <w:vMerge w:val="continue"/>
                  <w:noWrap w:val="0"/>
                  <w:tcMar>
                    <w:top w:w="0" w:type="dxa"/>
                    <w:left w:w="0" w:type="dxa"/>
                    <w:bottom w:w="0" w:type="dxa"/>
                    <w:right w:w="0" w:type="dxa"/>
                  </w:tcMar>
                  <w:vAlign w:val="center"/>
                </w:tcPr>
                <w:p w14:paraId="3B2E2302">
                  <w:pPr>
                    <w:jc w:val="center"/>
                    <w:rPr>
                      <w:color w:val="auto"/>
                      <w:szCs w:val="21"/>
                    </w:rPr>
                  </w:pPr>
                </w:p>
              </w:tc>
              <w:tc>
                <w:tcPr>
                  <w:tcW w:w="343" w:type="pct"/>
                  <w:vMerge w:val="continue"/>
                  <w:noWrap w:val="0"/>
                  <w:tcMar>
                    <w:top w:w="0" w:type="dxa"/>
                    <w:left w:w="0" w:type="dxa"/>
                    <w:bottom w:w="0" w:type="dxa"/>
                    <w:right w:w="0" w:type="dxa"/>
                  </w:tcMar>
                  <w:vAlign w:val="center"/>
                </w:tcPr>
                <w:p w14:paraId="62D33E5E">
                  <w:pPr>
                    <w:jc w:val="center"/>
                    <w:rPr>
                      <w:color w:val="auto"/>
                      <w:szCs w:val="21"/>
                    </w:rPr>
                  </w:pPr>
                </w:p>
              </w:tc>
              <w:tc>
                <w:tcPr>
                  <w:tcW w:w="2324" w:type="pct"/>
                  <w:noWrap w:val="0"/>
                  <w:tcMar>
                    <w:top w:w="0" w:type="dxa"/>
                    <w:left w:w="0" w:type="dxa"/>
                    <w:bottom w:w="0" w:type="dxa"/>
                    <w:right w:w="0" w:type="dxa"/>
                  </w:tcMar>
                  <w:vAlign w:val="center"/>
                </w:tcPr>
                <w:p w14:paraId="072E5D24">
                  <w:pPr>
                    <w:jc w:val="center"/>
                    <w:rPr>
                      <w:color w:val="auto"/>
                      <w:szCs w:val="21"/>
                    </w:rPr>
                  </w:pPr>
                  <w:r>
                    <w:rPr>
                      <w:rFonts w:hint="default"/>
                      <w:color w:val="auto"/>
                      <w:szCs w:val="21"/>
                      <w:lang w:val="en-US" w:eastAsia="zh-CN"/>
                    </w:rPr>
                    <w:t>2．土地资源总量要求：到2025年，江苏省耕地保有量不低于5977万亩，其中永久基本农田保护面积不低于5344万</w:t>
                  </w:r>
                </w:p>
                <w:p w14:paraId="0D9FD6CD">
                  <w:pPr>
                    <w:jc w:val="center"/>
                    <w:rPr>
                      <w:color w:val="auto"/>
                      <w:szCs w:val="21"/>
                    </w:rPr>
                  </w:pPr>
                  <w:r>
                    <w:rPr>
                      <w:rFonts w:hint="default"/>
                      <w:color w:val="auto"/>
                      <w:szCs w:val="21"/>
                      <w:lang w:val="en-US" w:eastAsia="zh-CN"/>
                    </w:rPr>
                    <w:t>亩。</w:t>
                  </w:r>
                </w:p>
              </w:tc>
              <w:tc>
                <w:tcPr>
                  <w:tcW w:w="1601" w:type="pct"/>
                  <w:noWrap w:val="0"/>
                  <w:tcMar>
                    <w:top w:w="0" w:type="dxa"/>
                    <w:left w:w="0" w:type="dxa"/>
                    <w:bottom w:w="0" w:type="dxa"/>
                    <w:right w:w="0" w:type="dxa"/>
                  </w:tcMar>
                  <w:vAlign w:val="center"/>
                </w:tcPr>
                <w:p w14:paraId="7E67B425">
                  <w:pPr>
                    <w:jc w:val="center"/>
                    <w:rPr>
                      <w:rFonts w:hint="default" w:eastAsia="宋体"/>
                      <w:color w:val="auto"/>
                      <w:szCs w:val="21"/>
                      <w:lang w:val="en-US" w:eastAsia="zh-CN"/>
                    </w:rPr>
                  </w:pPr>
                  <w:r>
                    <w:rPr>
                      <w:rFonts w:hint="eastAsia"/>
                      <w:color w:val="auto"/>
                      <w:szCs w:val="21"/>
                      <w:lang w:val="en-US" w:eastAsia="zh-CN"/>
                    </w:rPr>
                    <w:t>本项目不新增工业用地。</w:t>
                  </w:r>
                </w:p>
              </w:tc>
              <w:tc>
                <w:tcPr>
                  <w:tcW w:w="425" w:type="pct"/>
                  <w:noWrap w:val="0"/>
                  <w:tcMar>
                    <w:top w:w="0" w:type="dxa"/>
                    <w:left w:w="0" w:type="dxa"/>
                    <w:bottom w:w="0" w:type="dxa"/>
                    <w:right w:w="0" w:type="dxa"/>
                  </w:tcMar>
                  <w:vAlign w:val="center"/>
                </w:tcPr>
                <w:p w14:paraId="58CF3263">
                  <w:pPr>
                    <w:jc w:val="center"/>
                    <w:rPr>
                      <w:color w:val="auto"/>
                      <w:szCs w:val="21"/>
                    </w:rPr>
                  </w:pPr>
                  <w:r>
                    <w:rPr>
                      <w:color w:val="auto"/>
                      <w:szCs w:val="21"/>
                    </w:rPr>
                    <w:t>相符</w:t>
                  </w:r>
                </w:p>
              </w:tc>
            </w:tr>
            <w:tr w14:paraId="4D5F77F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5" w:type="pct"/>
                  <w:vMerge w:val="continue"/>
                  <w:noWrap w:val="0"/>
                  <w:tcMar>
                    <w:top w:w="0" w:type="dxa"/>
                    <w:left w:w="0" w:type="dxa"/>
                    <w:bottom w:w="0" w:type="dxa"/>
                    <w:right w:w="0" w:type="dxa"/>
                  </w:tcMar>
                  <w:vAlign w:val="center"/>
                </w:tcPr>
                <w:p w14:paraId="4E61925A">
                  <w:pPr>
                    <w:jc w:val="center"/>
                    <w:rPr>
                      <w:color w:val="auto"/>
                      <w:szCs w:val="21"/>
                    </w:rPr>
                  </w:pPr>
                </w:p>
              </w:tc>
              <w:tc>
                <w:tcPr>
                  <w:tcW w:w="343" w:type="pct"/>
                  <w:vMerge w:val="continue"/>
                  <w:noWrap w:val="0"/>
                  <w:tcMar>
                    <w:top w:w="0" w:type="dxa"/>
                    <w:left w:w="0" w:type="dxa"/>
                    <w:bottom w:w="0" w:type="dxa"/>
                    <w:right w:w="0" w:type="dxa"/>
                  </w:tcMar>
                  <w:vAlign w:val="center"/>
                </w:tcPr>
                <w:p w14:paraId="18E09E1A">
                  <w:pPr>
                    <w:jc w:val="center"/>
                    <w:rPr>
                      <w:color w:val="auto"/>
                      <w:szCs w:val="21"/>
                    </w:rPr>
                  </w:pPr>
                </w:p>
              </w:tc>
              <w:tc>
                <w:tcPr>
                  <w:tcW w:w="2324" w:type="pct"/>
                  <w:noWrap w:val="0"/>
                  <w:tcMar>
                    <w:top w:w="0" w:type="dxa"/>
                    <w:left w:w="0" w:type="dxa"/>
                    <w:bottom w:w="0" w:type="dxa"/>
                    <w:right w:w="0" w:type="dxa"/>
                  </w:tcMar>
                  <w:vAlign w:val="center"/>
                </w:tcPr>
                <w:p w14:paraId="4BD54755">
                  <w:pPr>
                    <w:jc w:val="center"/>
                    <w:rPr>
                      <w:color w:val="auto"/>
                      <w:szCs w:val="21"/>
                    </w:rPr>
                  </w:pPr>
                  <w:r>
                    <w:rPr>
                      <w:rFonts w:hint="default"/>
                      <w:color w:val="auto"/>
                      <w:szCs w:val="21"/>
                      <w:lang w:val="en-US" w:eastAsia="zh-CN"/>
                    </w:rPr>
                    <w:t>3．禁燃区要求：在禁燃区内，禁止销售、燃用高污染燃料；禁止新建、扩建燃用高污染燃料的设施，已建成的，应当在城市人民政府规定的期限内改用天然气、页岩气、液化石油气、电或者其他清洁能源</w:t>
                  </w:r>
                  <w:r>
                    <w:rPr>
                      <w:rFonts w:hint="eastAsia"/>
                      <w:color w:val="auto"/>
                      <w:szCs w:val="21"/>
                      <w:lang w:val="en-US" w:eastAsia="zh-CN"/>
                    </w:rPr>
                    <w:t>。</w:t>
                  </w:r>
                </w:p>
              </w:tc>
              <w:tc>
                <w:tcPr>
                  <w:tcW w:w="1601" w:type="pct"/>
                  <w:noWrap w:val="0"/>
                  <w:tcMar>
                    <w:top w:w="0" w:type="dxa"/>
                    <w:left w:w="0" w:type="dxa"/>
                    <w:bottom w:w="0" w:type="dxa"/>
                    <w:right w:w="0" w:type="dxa"/>
                  </w:tcMar>
                  <w:vAlign w:val="center"/>
                </w:tcPr>
                <w:p w14:paraId="1379B404">
                  <w:pPr>
                    <w:jc w:val="center"/>
                    <w:rPr>
                      <w:color w:val="auto"/>
                      <w:szCs w:val="21"/>
                    </w:rPr>
                  </w:pPr>
                  <w:r>
                    <w:rPr>
                      <w:color w:val="auto"/>
                      <w:szCs w:val="21"/>
                    </w:rPr>
                    <w:t>本项目</w:t>
                  </w:r>
                  <w:r>
                    <w:rPr>
                      <w:rFonts w:hint="eastAsia"/>
                      <w:color w:val="auto"/>
                      <w:szCs w:val="21"/>
                    </w:rPr>
                    <w:t>使用</w:t>
                  </w:r>
                  <w:r>
                    <w:rPr>
                      <w:rFonts w:hint="eastAsia"/>
                      <w:color w:val="auto"/>
                      <w:szCs w:val="21"/>
                      <w:lang w:val="en-US" w:eastAsia="zh-CN"/>
                    </w:rPr>
                    <w:t>电作为清洁能源</w:t>
                  </w:r>
                  <w:r>
                    <w:rPr>
                      <w:rFonts w:hint="eastAsia"/>
                      <w:color w:val="auto"/>
                      <w:szCs w:val="21"/>
                    </w:rPr>
                    <w:t>。</w:t>
                  </w:r>
                </w:p>
              </w:tc>
              <w:tc>
                <w:tcPr>
                  <w:tcW w:w="425" w:type="pct"/>
                  <w:noWrap w:val="0"/>
                  <w:tcMar>
                    <w:top w:w="0" w:type="dxa"/>
                    <w:left w:w="0" w:type="dxa"/>
                    <w:bottom w:w="0" w:type="dxa"/>
                    <w:right w:w="0" w:type="dxa"/>
                  </w:tcMar>
                  <w:vAlign w:val="center"/>
                </w:tcPr>
                <w:p w14:paraId="6597AF6D">
                  <w:pPr>
                    <w:jc w:val="center"/>
                    <w:rPr>
                      <w:color w:val="auto"/>
                      <w:szCs w:val="21"/>
                    </w:rPr>
                  </w:pPr>
                  <w:r>
                    <w:rPr>
                      <w:color w:val="auto"/>
                      <w:szCs w:val="21"/>
                    </w:rPr>
                    <w:t>相符</w:t>
                  </w:r>
                </w:p>
              </w:tc>
            </w:tr>
          </w:tbl>
          <w:p w14:paraId="0D5D3E9D">
            <w:pPr>
              <w:autoSpaceDE w:val="0"/>
              <w:autoSpaceDN w:val="0"/>
              <w:spacing w:before="120" w:beforeLines="50" w:line="360" w:lineRule="auto"/>
              <w:ind w:firstLine="420" w:firstLineChars="200"/>
              <w:rPr>
                <w:color w:val="auto"/>
                <w:szCs w:val="21"/>
              </w:rPr>
            </w:pPr>
            <w:r>
              <w:rPr>
                <w:rFonts w:hint="eastAsia"/>
                <w:color w:val="auto"/>
                <w:szCs w:val="21"/>
              </w:rPr>
              <w:t>（2）</w:t>
            </w:r>
            <w:r>
              <w:rPr>
                <w:color w:val="auto"/>
                <w:szCs w:val="21"/>
              </w:rPr>
              <w:t>对照</w:t>
            </w:r>
            <w:r>
              <w:rPr>
                <w:bCs/>
                <w:color w:val="auto"/>
                <w:kern w:val="0"/>
                <w:szCs w:val="21"/>
              </w:rPr>
              <w:t>《</w:t>
            </w:r>
            <w:r>
              <w:rPr>
                <w:rFonts w:hint="eastAsia"/>
                <w:bCs/>
                <w:color w:val="auto"/>
                <w:kern w:val="0"/>
                <w:szCs w:val="21"/>
              </w:rPr>
              <w:t>常州市2023年生态环境分区管控动态更新成果</w:t>
            </w:r>
            <w:r>
              <w:rPr>
                <w:bCs/>
                <w:color w:val="auto"/>
                <w:kern w:val="0"/>
                <w:szCs w:val="21"/>
              </w:rPr>
              <w:t>》</w:t>
            </w:r>
            <w:r>
              <w:rPr>
                <w:color w:val="auto"/>
                <w:szCs w:val="21"/>
              </w:rPr>
              <w:t>，相符性见下表。</w:t>
            </w:r>
          </w:p>
          <w:p w14:paraId="491670F6">
            <w:pPr>
              <w:pStyle w:val="7"/>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b/>
                <w:bCs/>
                <w:color w:val="auto"/>
                <w:szCs w:val="21"/>
              </w:rPr>
            </w:pPr>
            <w:r>
              <w:rPr>
                <w:b/>
                <w:bCs/>
                <w:color w:val="auto"/>
                <w:szCs w:val="21"/>
              </w:rPr>
              <w:t>表1-</w:t>
            </w:r>
            <w:r>
              <w:rPr>
                <w:rFonts w:hint="eastAsia"/>
                <w:b/>
                <w:bCs/>
                <w:color w:val="auto"/>
                <w:szCs w:val="21"/>
                <w:lang w:val="en-US" w:eastAsia="zh-CN"/>
              </w:rPr>
              <w:t>6</w:t>
            </w:r>
            <w:r>
              <w:rPr>
                <w:b/>
                <w:bCs/>
                <w:color w:val="auto"/>
                <w:szCs w:val="21"/>
              </w:rPr>
              <w:t xml:space="preserve"> 与</w:t>
            </w:r>
            <w:r>
              <w:rPr>
                <w:rFonts w:hint="eastAsia"/>
                <w:b/>
                <w:bCs/>
                <w:color w:val="auto"/>
                <w:szCs w:val="21"/>
              </w:rPr>
              <w:t>常州市2023年生态环境分区管控动态更新成果</w:t>
            </w:r>
            <w:r>
              <w:rPr>
                <w:b/>
                <w:bCs/>
                <w:color w:val="auto"/>
                <w:szCs w:val="21"/>
              </w:rPr>
              <w:t>相符性</w:t>
            </w:r>
          </w:p>
          <w:tbl>
            <w:tblPr>
              <w:tblStyle w:val="28"/>
              <w:tblW w:w="4998"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590"/>
              <w:gridCol w:w="736"/>
              <w:gridCol w:w="4421"/>
              <w:gridCol w:w="1568"/>
              <w:gridCol w:w="680"/>
            </w:tblGrid>
            <w:tr w14:paraId="1E5A856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69" w:type="pct"/>
                  <w:noWrap w:val="0"/>
                  <w:tcMar>
                    <w:top w:w="0" w:type="dxa"/>
                    <w:left w:w="0" w:type="dxa"/>
                    <w:bottom w:w="0" w:type="dxa"/>
                    <w:right w:w="0" w:type="dxa"/>
                  </w:tcMar>
                  <w:vAlign w:val="center"/>
                </w:tcPr>
                <w:p w14:paraId="52688BF5">
                  <w:pPr>
                    <w:jc w:val="center"/>
                    <w:rPr>
                      <w:b/>
                      <w:bCs/>
                      <w:color w:val="auto"/>
                      <w:szCs w:val="21"/>
                    </w:rPr>
                  </w:pPr>
                  <w:r>
                    <w:rPr>
                      <w:b/>
                      <w:bCs/>
                      <w:color w:val="auto"/>
                      <w:szCs w:val="21"/>
                    </w:rPr>
                    <w:t>序号</w:t>
                  </w:r>
                </w:p>
              </w:tc>
              <w:tc>
                <w:tcPr>
                  <w:tcW w:w="3224" w:type="pct"/>
                  <w:gridSpan w:val="2"/>
                  <w:noWrap w:val="0"/>
                  <w:tcMar>
                    <w:top w:w="0" w:type="dxa"/>
                    <w:left w:w="0" w:type="dxa"/>
                    <w:bottom w:w="0" w:type="dxa"/>
                    <w:right w:w="0" w:type="dxa"/>
                  </w:tcMar>
                  <w:vAlign w:val="center"/>
                </w:tcPr>
                <w:p w14:paraId="56FBA2FA">
                  <w:pPr>
                    <w:jc w:val="center"/>
                    <w:rPr>
                      <w:b/>
                      <w:bCs/>
                      <w:color w:val="auto"/>
                      <w:szCs w:val="21"/>
                    </w:rPr>
                  </w:pPr>
                  <w:r>
                    <w:rPr>
                      <w:b/>
                      <w:bCs/>
                      <w:color w:val="auto"/>
                      <w:szCs w:val="21"/>
                    </w:rPr>
                    <w:t>管控要求</w:t>
                  </w:r>
                </w:p>
              </w:tc>
              <w:tc>
                <w:tcPr>
                  <w:tcW w:w="980" w:type="pct"/>
                  <w:noWrap w:val="0"/>
                  <w:tcMar>
                    <w:top w:w="0" w:type="dxa"/>
                    <w:left w:w="0" w:type="dxa"/>
                    <w:bottom w:w="0" w:type="dxa"/>
                    <w:right w:w="0" w:type="dxa"/>
                  </w:tcMar>
                  <w:vAlign w:val="center"/>
                </w:tcPr>
                <w:p w14:paraId="01F7D300">
                  <w:pPr>
                    <w:jc w:val="center"/>
                    <w:rPr>
                      <w:b/>
                      <w:bCs/>
                      <w:color w:val="auto"/>
                      <w:szCs w:val="21"/>
                    </w:rPr>
                  </w:pPr>
                  <w:r>
                    <w:rPr>
                      <w:b/>
                      <w:color w:val="auto"/>
                      <w:szCs w:val="21"/>
                    </w:rPr>
                    <w:t>本项目相关内容</w:t>
                  </w:r>
                </w:p>
              </w:tc>
              <w:tc>
                <w:tcPr>
                  <w:tcW w:w="425" w:type="pct"/>
                  <w:noWrap w:val="0"/>
                  <w:tcMar>
                    <w:top w:w="0" w:type="dxa"/>
                    <w:left w:w="0" w:type="dxa"/>
                    <w:bottom w:w="0" w:type="dxa"/>
                    <w:right w:w="0" w:type="dxa"/>
                  </w:tcMar>
                  <w:vAlign w:val="center"/>
                </w:tcPr>
                <w:p w14:paraId="080CA9DD">
                  <w:pPr>
                    <w:jc w:val="center"/>
                    <w:rPr>
                      <w:b/>
                      <w:bCs/>
                      <w:color w:val="auto"/>
                      <w:szCs w:val="21"/>
                    </w:rPr>
                  </w:pPr>
                  <w:r>
                    <w:rPr>
                      <w:b/>
                      <w:bCs/>
                      <w:color w:val="auto"/>
                      <w:szCs w:val="21"/>
                    </w:rPr>
                    <w:t>相符性</w:t>
                  </w:r>
                </w:p>
              </w:tc>
            </w:tr>
            <w:tr w14:paraId="3A069A0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69" w:type="pct"/>
                  <w:noWrap w:val="0"/>
                  <w:tcMar>
                    <w:top w:w="0" w:type="dxa"/>
                    <w:left w:w="0" w:type="dxa"/>
                    <w:bottom w:w="0" w:type="dxa"/>
                    <w:right w:w="0" w:type="dxa"/>
                  </w:tcMar>
                  <w:vAlign w:val="center"/>
                </w:tcPr>
                <w:p w14:paraId="3C3C2911">
                  <w:pPr>
                    <w:jc w:val="center"/>
                    <w:rPr>
                      <w:color w:val="auto"/>
                      <w:szCs w:val="21"/>
                    </w:rPr>
                  </w:pPr>
                  <w:r>
                    <w:rPr>
                      <w:color w:val="auto"/>
                      <w:szCs w:val="21"/>
                    </w:rPr>
                    <w:t>1</w:t>
                  </w:r>
                </w:p>
              </w:tc>
              <w:tc>
                <w:tcPr>
                  <w:tcW w:w="460" w:type="pct"/>
                  <w:noWrap w:val="0"/>
                  <w:tcMar>
                    <w:top w:w="0" w:type="dxa"/>
                    <w:left w:w="0" w:type="dxa"/>
                    <w:bottom w:w="0" w:type="dxa"/>
                    <w:right w:w="0" w:type="dxa"/>
                  </w:tcMar>
                  <w:vAlign w:val="center"/>
                </w:tcPr>
                <w:p w14:paraId="7E6E5AE5">
                  <w:pPr>
                    <w:jc w:val="center"/>
                    <w:rPr>
                      <w:color w:val="auto"/>
                      <w:szCs w:val="21"/>
                    </w:rPr>
                  </w:pPr>
                  <w:r>
                    <w:rPr>
                      <w:color w:val="auto"/>
                      <w:szCs w:val="21"/>
                    </w:rPr>
                    <w:t>空间布局约束</w:t>
                  </w:r>
                </w:p>
              </w:tc>
              <w:tc>
                <w:tcPr>
                  <w:tcW w:w="2764" w:type="pct"/>
                  <w:noWrap w:val="0"/>
                  <w:tcMar>
                    <w:top w:w="0" w:type="dxa"/>
                    <w:left w:w="0" w:type="dxa"/>
                    <w:bottom w:w="0" w:type="dxa"/>
                    <w:right w:w="0" w:type="dxa"/>
                  </w:tcMar>
                  <w:vAlign w:val="center"/>
                </w:tcPr>
                <w:p w14:paraId="79189395">
                  <w:pPr>
                    <w:jc w:val="center"/>
                    <w:rPr>
                      <w:rFonts w:hint="eastAsia"/>
                      <w:color w:val="auto"/>
                      <w:szCs w:val="21"/>
                    </w:rPr>
                  </w:pPr>
                  <w:r>
                    <w:rPr>
                      <w:rFonts w:hint="eastAsia"/>
                      <w:color w:val="auto"/>
                      <w:szCs w:val="21"/>
                    </w:rPr>
                    <w:t>（3）禁止引进：列入《产业结构调整指导目录（</w:t>
                  </w:r>
                  <w:r>
                    <w:rPr>
                      <w:rFonts w:hint="eastAsia"/>
                      <w:color w:val="auto"/>
                      <w:szCs w:val="21"/>
                      <w:lang w:val="en-US" w:eastAsia="zh-CN"/>
                    </w:rPr>
                    <w:t>2024</w:t>
                  </w:r>
                  <w:r>
                    <w:rPr>
                      <w:rFonts w:hint="eastAsia"/>
                      <w:color w:val="auto"/>
                      <w:szCs w:val="21"/>
                    </w:rPr>
                    <w:t>年本）》、《江苏省产业结构调整限制、淘汰和禁止目录》、《江苏省工业和信息产业结构调整、限制、淘汰目录及能耗限额》淘汰类的产业；列入《外商投资产业指导目录》禁止类的产业。</w:t>
                  </w:r>
                </w:p>
                <w:p w14:paraId="3A183C3F">
                  <w:pPr>
                    <w:jc w:val="center"/>
                    <w:rPr>
                      <w:rFonts w:hint="eastAsia" w:eastAsia="宋体"/>
                      <w:color w:val="auto"/>
                      <w:szCs w:val="21"/>
                      <w:lang w:eastAsia="zh-CN"/>
                    </w:rPr>
                  </w:pPr>
                  <w:r>
                    <w:rPr>
                      <w:rFonts w:hint="eastAsia"/>
                      <w:color w:val="auto"/>
                      <w:szCs w:val="21"/>
                    </w:rPr>
                    <w:t>（4）根据《长江经济带发展负面清单指南(试行，2022年版)》江苏省实施细则：禁止在距离长江干支流岸线一公里范围内新建、扩建化工园区和化工项目；禁止在长江干流岸线三公里范围内新建、改建、扩建尾矿库、冶炼渣库和磷石膏库，以提升安全、生态环境保护水平为目的的改建除外；禁止在太湖流域一、二、三级保护区内开展《江苏省太湖水污染防治条例》禁止的投资建设活动；禁止在沿江地区新建、扩建未纳入国家和省布局规划的燃煤发电项目；禁止在合规园区外新建、扩建钢铁、石化、化工、焦化、建材、有色、制浆造纸等高污染项目；禁止在取消化工定位的园区(集中区)内新建化工项目</w:t>
                  </w:r>
                  <w:r>
                    <w:rPr>
                      <w:rFonts w:hint="eastAsia"/>
                      <w:color w:val="auto"/>
                      <w:szCs w:val="21"/>
                      <w:lang w:eastAsia="zh-CN"/>
                    </w:rPr>
                    <w:t>。</w:t>
                  </w:r>
                </w:p>
              </w:tc>
              <w:tc>
                <w:tcPr>
                  <w:tcW w:w="980" w:type="pct"/>
                  <w:noWrap w:val="0"/>
                  <w:tcMar>
                    <w:top w:w="0" w:type="dxa"/>
                    <w:left w:w="0" w:type="dxa"/>
                    <w:bottom w:w="0" w:type="dxa"/>
                    <w:right w:w="0" w:type="dxa"/>
                  </w:tcMar>
                  <w:vAlign w:val="center"/>
                </w:tcPr>
                <w:p w14:paraId="66933FF2">
                  <w:pPr>
                    <w:jc w:val="center"/>
                    <w:rPr>
                      <w:rFonts w:hint="default" w:eastAsia="宋体"/>
                      <w:color w:val="auto"/>
                      <w:szCs w:val="21"/>
                      <w:lang w:val="en-US" w:eastAsia="zh-CN"/>
                    </w:rPr>
                  </w:pPr>
                  <w:r>
                    <w:rPr>
                      <w:rFonts w:hint="eastAsia"/>
                      <w:color w:val="auto"/>
                      <w:szCs w:val="21"/>
                      <w:lang w:eastAsia="zh-CN"/>
                    </w:rPr>
                    <w:t>（</w:t>
                  </w:r>
                  <w:r>
                    <w:rPr>
                      <w:rFonts w:hint="eastAsia"/>
                      <w:color w:val="auto"/>
                      <w:szCs w:val="21"/>
                      <w:lang w:val="en-US" w:eastAsia="zh-CN"/>
                    </w:rPr>
                    <w:t>3</w:t>
                  </w:r>
                  <w:r>
                    <w:rPr>
                      <w:rFonts w:hint="eastAsia"/>
                      <w:color w:val="auto"/>
                      <w:szCs w:val="21"/>
                      <w:lang w:eastAsia="zh-CN"/>
                    </w:rPr>
                    <w:t>）</w:t>
                  </w:r>
                  <w:r>
                    <w:rPr>
                      <w:rFonts w:hint="eastAsia"/>
                      <w:color w:val="auto"/>
                      <w:szCs w:val="21"/>
                      <w:lang w:val="en-US" w:eastAsia="zh-CN"/>
                    </w:rPr>
                    <w:t>本项目不属于以上禁止类、淘汰类的产业</w:t>
                  </w:r>
                  <w:r>
                    <w:rPr>
                      <w:rFonts w:hint="eastAsia"/>
                      <w:color w:val="auto"/>
                      <w:szCs w:val="21"/>
                    </w:rPr>
                    <w:t>。</w:t>
                  </w:r>
                  <w:r>
                    <w:rPr>
                      <w:rFonts w:hint="eastAsia"/>
                      <w:color w:val="auto"/>
                      <w:szCs w:val="21"/>
                      <w:lang w:eastAsia="zh-CN"/>
                    </w:rPr>
                    <w:t>（</w:t>
                  </w:r>
                  <w:r>
                    <w:rPr>
                      <w:rFonts w:hint="eastAsia"/>
                      <w:color w:val="auto"/>
                      <w:szCs w:val="21"/>
                      <w:lang w:val="en-US" w:eastAsia="zh-CN"/>
                    </w:rPr>
                    <w:t>4</w:t>
                  </w:r>
                  <w:r>
                    <w:rPr>
                      <w:rFonts w:hint="eastAsia"/>
                      <w:color w:val="auto"/>
                      <w:szCs w:val="21"/>
                      <w:lang w:eastAsia="zh-CN"/>
                    </w:rPr>
                    <w:t>）</w:t>
                  </w:r>
                  <w:r>
                    <w:rPr>
                      <w:rFonts w:hint="eastAsia"/>
                      <w:color w:val="auto"/>
                      <w:szCs w:val="21"/>
                      <w:lang w:val="en-US" w:eastAsia="zh-CN"/>
                    </w:rPr>
                    <w:t>本项目不属于以上禁止项目</w:t>
                  </w:r>
                </w:p>
              </w:tc>
              <w:tc>
                <w:tcPr>
                  <w:tcW w:w="425" w:type="pct"/>
                  <w:noWrap w:val="0"/>
                  <w:tcMar>
                    <w:top w:w="0" w:type="dxa"/>
                    <w:left w:w="0" w:type="dxa"/>
                    <w:bottom w:w="0" w:type="dxa"/>
                    <w:right w:w="0" w:type="dxa"/>
                  </w:tcMar>
                  <w:vAlign w:val="center"/>
                </w:tcPr>
                <w:p w14:paraId="156270BC">
                  <w:pPr>
                    <w:jc w:val="center"/>
                    <w:rPr>
                      <w:color w:val="auto"/>
                      <w:szCs w:val="21"/>
                    </w:rPr>
                  </w:pPr>
                  <w:r>
                    <w:rPr>
                      <w:color w:val="auto"/>
                      <w:szCs w:val="21"/>
                    </w:rPr>
                    <w:t>相符</w:t>
                  </w:r>
                </w:p>
              </w:tc>
            </w:tr>
            <w:tr w14:paraId="241BFF6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69" w:type="pct"/>
                  <w:noWrap w:val="0"/>
                  <w:tcMar>
                    <w:top w:w="0" w:type="dxa"/>
                    <w:left w:w="0" w:type="dxa"/>
                    <w:bottom w:w="0" w:type="dxa"/>
                    <w:right w:w="0" w:type="dxa"/>
                  </w:tcMar>
                  <w:vAlign w:val="center"/>
                </w:tcPr>
                <w:p w14:paraId="36FEF06E">
                  <w:pPr>
                    <w:jc w:val="center"/>
                    <w:rPr>
                      <w:color w:val="auto"/>
                      <w:szCs w:val="21"/>
                    </w:rPr>
                  </w:pPr>
                  <w:r>
                    <w:rPr>
                      <w:color w:val="auto"/>
                      <w:szCs w:val="21"/>
                    </w:rPr>
                    <w:t>2</w:t>
                  </w:r>
                </w:p>
              </w:tc>
              <w:tc>
                <w:tcPr>
                  <w:tcW w:w="460" w:type="pct"/>
                  <w:noWrap w:val="0"/>
                  <w:tcMar>
                    <w:top w:w="0" w:type="dxa"/>
                    <w:left w:w="0" w:type="dxa"/>
                    <w:bottom w:w="0" w:type="dxa"/>
                    <w:right w:w="0" w:type="dxa"/>
                  </w:tcMar>
                  <w:vAlign w:val="center"/>
                </w:tcPr>
                <w:p w14:paraId="51DE4468">
                  <w:pPr>
                    <w:jc w:val="center"/>
                    <w:rPr>
                      <w:color w:val="auto"/>
                      <w:szCs w:val="21"/>
                    </w:rPr>
                  </w:pPr>
                  <w:r>
                    <w:rPr>
                      <w:color w:val="auto"/>
                      <w:szCs w:val="21"/>
                    </w:rPr>
                    <w:t>污染物排放管控</w:t>
                  </w:r>
                </w:p>
              </w:tc>
              <w:tc>
                <w:tcPr>
                  <w:tcW w:w="2764" w:type="pct"/>
                  <w:noWrap w:val="0"/>
                  <w:tcMar>
                    <w:top w:w="0" w:type="dxa"/>
                    <w:left w:w="0" w:type="dxa"/>
                    <w:bottom w:w="0" w:type="dxa"/>
                    <w:right w:w="0" w:type="dxa"/>
                  </w:tcMar>
                  <w:vAlign w:val="center"/>
                </w:tcPr>
                <w:p w14:paraId="485805E7">
                  <w:pPr>
                    <w:jc w:val="center"/>
                    <w:rPr>
                      <w:rFonts w:hint="eastAsia" w:ascii="Times New Roman" w:hAnsi="Times New Roman" w:eastAsia="宋体" w:cs="Times New Roman"/>
                      <w:color w:val="auto"/>
                      <w:szCs w:val="21"/>
                    </w:rPr>
                  </w:pPr>
                  <w:r>
                    <w:rPr>
                      <w:rFonts w:hint="eastAsia" w:ascii="Times New Roman" w:hAnsi="Times New Roman" w:eastAsia="宋体" w:cs="Times New Roman"/>
                      <w:color w:val="auto"/>
                      <w:szCs w:val="21"/>
                    </w:rPr>
                    <w:t>（1）坚持生态环境质量只能更好、不能变坏，实施污染物总量控制，以环境容量定产业、定项目、定规模，确保开发建设行为不突破生态环境承载力。</w:t>
                  </w:r>
                </w:p>
                <w:p w14:paraId="38924321">
                  <w:pPr>
                    <w:jc w:val="center"/>
                    <w:rPr>
                      <w:rFonts w:hint="eastAsia" w:ascii="Times New Roman" w:hAnsi="Times New Roman" w:eastAsia="宋体" w:cs="Times New Roman"/>
                      <w:color w:val="auto"/>
                      <w:szCs w:val="21"/>
                    </w:rPr>
                  </w:pPr>
                  <w:r>
                    <w:rPr>
                      <w:rFonts w:hint="eastAsia" w:ascii="Times New Roman" w:hAnsi="Times New Roman" w:eastAsia="宋体" w:cs="Times New Roman"/>
                      <w:color w:val="auto"/>
                      <w:szCs w:val="21"/>
                    </w:rPr>
                    <w:t>（2）《常州市“十四五”生态环境保护规划》（常政办发〔2021〕130号），到2025年，常州市主要污染物减排满足省下达指标要求。全面贯彻落实《江苏省工业园区（集中区）污染物排放限值限量管理工作方案（试行）》（苏环办〔2021〕232号），完善工业园区主要污染物排放总量控制措施，实现主要污染物排放浓度和总量“双控”。</w:t>
                  </w:r>
                </w:p>
              </w:tc>
              <w:tc>
                <w:tcPr>
                  <w:tcW w:w="980" w:type="pct"/>
                  <w:noWrap w:val="0"/>
                  <w:tcMar>
                    <w:top w:w="0" w:type="dxa"/>
                    <w:left w:w="0" w:type="dxa"/>
                    <w:bottom w:w="0" w:type="dxa"/>
                    <w:right w:w="0" w:type="dxa"/>
                  </w:tcMar>
                  <w:vAlign w:val="center"/>
                </w:tcPr>
                <w:p w14:paraId="7D1872FE">
                  <w:pPr>
                    <w:jc w:val="center"/>
                    <w:rPr>
                      <w:rFonts w:hint="default" w:eastAsia="宋体"/>
                      <w:color w:val="auto"/>
                      <w:szCs w:val="21"/>
                      <w:lang w:val="en-US" w:eastAsia="zh-CN"/>
                    </w:rPr>
                  </w:pPr>
                  <w:r>
                    <w:rPr>
                      <w:rFonts w:hint="eastAsia"/>
                      <w:color w:val="auto"/>
                      <w:szCs w:val="21"/>
                      <w:lang w:eastAsia="zh-CN"/>
                    </w:rPr>
                    <w:t>（</w:t>
                  </w:r>
                  <w:r>
                    <w:rPr>
                      <w:rFonts w:hint="eastAsia"/>
                      <w:color w:val="auto"/>
                      <w:szCs w:val="21"/>
                      <w:lang w:val="en-US" w:eastAsia="zh-CN"/>
                    </w:rPr>
                    <w:t>1</w:t>
                  </w:r>
                  <w:r>
                    <w:rPr>
                      <w:rFonts w:hint="eastAsia"/>
                      <w:color w:val="auto"/>
                      <w:szCs w:val="21"/>
                      <w:lang w:eastAsia="zh-CN"/>
                    </w:rPr>
                    <w:t>）</w:t>
                  </w:r>
                  <w:r>
                    <w:rPr>
                      <w:color w:val="auto"/>
                      <w:szCs w:val="21"/>
                    </w:rPr>
                    <w:t>建设项目将根据要求向常州市金坛生态环境局申请总量</w:t>
                  </w:r>
                  <w:r>
                    <w:rPr>
                      <w:rFonts w:hint="eastAsia"/>
                      <w:color w:val="auto"/>
                      <w:szCs w:val="21"/>
                    </w:rPr>
                    <w:t>。</w:t>
                  </w:r>
                  <w:r>
                    <w:rPr>
                      <w:rFonts w:hint="eastAsia"/>
                      <w:color w:val="auto"/>
                      <w:szCs w:val="21"/>
                      <w:lang w:eastAsia="zh-CN"/>
                    </w:rPr>
                    <w:t>（</w:t>
                  </w:r>
                  <w:r>
                    <w:rPr>
                      <w:rFonts w:hint="eastAsia"/>
                      <w:color w:val="auto"/>
                      <w:szCs w:val="21"/>
                      <w:lang w:val="en-US" w:eastAsia="zh-CN"/>
                    </w:rPr>
                    <w:t>2</w:t>
                  </w:r>
                  <w:r>
                    <w:rPr>
                      <w:rFonts w:hint="eastAsia"/>
                      <w:color w:val="auto"/>
                      <w:szCs w:val="21"/>
                      <w:lang w:eastAsia="zh-CN"/>
                    </w:rPr>
                    <w:t>）</w:t>
                  </w:r>
                  <w:r>
                    <w:rPr>
                      <w:rFonts w:hint="eastAsia"/>
                      <w:color w:val="auto"/>
                      <w:szCs w:val="21"/>
                      <w:lang w:val="en-US" w:eastAsia="zh-CN"/>
                    </w:rPr>
                    <w:t>本项目废气均收集处理后排放，实行总量控制，无生产废水排放，生活污水接管至常州金坛区第二污水处理有限公司处理，固废收集处理不外排。</w:t>
                  </w:r>
                </w:p>
              </w:tc>
              <w:tc>
                <w:tcPr>
                  <w:tcW w:w="425" w:type="pct"/>
                  <w:noWrap w:val="0"/>
                  <w:tcMar>
                    <w:top w:w="0" w:type="dxa"/>
                    <w:left w:w="0" w:type="dxa"/>
                    <w:bottom w:w="0" w:type="dxa"/>
                    <w:right w:w="0" w:type="dxa"/>
                  </w:tcMar>
                  <w:vAlign w:val="center"/>
                </w:tcPr>
                <w:p w14:paraId="5A0462D4">
                  <w:pPr>
                    <w:jc w:val="center"/>
                    <w:rPr>
                      <w:color w:val="auto"/>
                      <w:szCs w:val="21"/>
                    </w:rPr>
                  </w:pPr>
                  <w:r>
                    <w:rPr>
                      <w:color w:val="auto"/>
                      <w:szCs w:val="21"/>
                    </w:rPr>
                    <w:t>相符</w:t>
                  </w:r>
                </w:p>
              </w:tc>
            </w:tr>
            <w:tr w14:paraId="0C29628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69" w:type="pct"/>
                  <w:noWrap w:val="0"/>
                  <w:tcMar>
                    <w:top w:w="0" w:type="dxa"/>
                    <w:left w:w="0" w:type="dxa"/>
                    <w:bottom w:w="0" w:type="dxa"/>
                    <w:right w:w="0" w:type="dxa"/>
                  </w:tcMar>
                  <w:vAlign w:val="center"/>
                </w:tcPr>
                <w:p w14:paraId="310E9FB8">
                  <w:pPr>
                    <w:jc w:val="center"/>
                    <w:rPr>
                      <w:color w:val="auto"/>
                      <w:szCs w:val="21"/>
                    </w:rPr>
                  </w:pPr>
                  <w:r>
                    <w:rPr>
                      <w:color w:val="auto"/>
                      <w:szCs w:val="21"/>
                    </w:rPr>
                    <w:t>3</w:t>
                  </w:r>
                </w:p>
              </w:tc>
              <w:tc>
                <w:tcPr>
                  <w:tcW w:w="460" w:type="pct"/>
                  <w:noWrap w:val="0"/>
                  <w:tcMar>
                    <w:top w:w="0" w:type="dxa"/>
                    <w:left w:w="0" w:type="dxa"/>
                    <w:bottom w:w="0" w:type="dxa"/>
                    <w:right w:w="0" w:type="dxa"/>
                  </w:tcMar>
                  <w:vAlign w:val="center"/>
                </w:tcPr>
                <w:p w14:paraId="3334E226">
                  <w:pPr>
                    <w:jc w:val="center"/>
                    <w:rPr>
                      <w:color w:val="auto"/>
                      <w:szCs w:val="21"/>
                    </w:rPr>
                  </w:pPr>
                  <w:r>
                    <w:rPr>
                      <w:color w:val="auto"/>
                      <w:szCs w:val="21"/>
                    </w:rPr>
                    <w:t>环境风险防控</w:t>
                  </w:r>
                </w:p>
              </w:tc>
              <w:tc>
                <w:tcPr>
                  <w:tcW w:w="2764" w:type="pct"/>
                  <w:noWrap w:val="0"/>
                  <w:tcMar>
                    <w:top w:w="0" w:type="dxa"/>
                    <w:left w:w="0" w:type="dxa"/>
                    <w:bottom w:w="0" w:type="dxa"/>
                    <w:right w:w="0" w:type="dxa"/>
                  </w:tcMar>
                  <w:vAlign w:val="center"/>
                </w:tcPr>
                <w:p w14:paraId="5725EC14">
                  <w:pPr>
                    <w:jc w:val="center"/>
                    <w:rPr>
                      <w:rFonts w:hint="eastAsia" w:ascii="Times New Roman" w:hAnsi="Times New Roman" w:eastAsia="宋体" w:cs="Times New Roman"/>
                      <w:color w:val="auto"/>
                      <w:szCs w:val="21"/>
                    </w:rPr>
                  </w:pPr>
                  <w:r>
                    <w:rPr>
                      <w:rFonts w:hint="eastAsia" w:ascii="Times New Roman" w:hAnsi="Times New Roman" w:eastAsia="宋体" w:cs="Times New Roman"/>
                      <w:color w:val="auto"/>
                      <w:szCs w:val="21"/>
                    </w:rPr>
                    <w:t>（2）根据《常州市长江生态优先绿色发展三年行动计划（2019-2021年）》（常长江发〔2019〕3号），大幅压减沿江地区化工生产企业数量，沿江1公里范围内凡是与化工园区无产业链关联、安全和环保隐患大的企业2020年底前依法关停退出。</w:t>
                  </w:r>
                </w:p>
                <w:p w14:paraId="6EE2E95F">
                  <w:pPr>
                    <w:jc w:val="center"/>
                    <w:rPr>
                      <w:rFonts w:hint="eastAsia" w:ascii="Times New Roman" w:hAnsi="Times New Roman" w:eastAsia="宋体" w:cs="Times New Roman"/>
                      <w:color w:val="auto"/>
                      <w:szCs w:val="21"/>
                    </w:rPr>
                  </w:pPr>
                  <w:r>
                    <w:rPr>
                      <w:rFonts w:hint="eastAsia" w:ascii="Times New Roman" w:hAnsi="Times New Roman" w:eastAsia="宋体" w:cs="Times New Roman"/>
                      <w:color w:val="auto"/>
                      <w:szCs w:val="21"/>
                    </w:rPr>
                    <w:t>（4）完善废弃危险化学品等危险废物（以下简称“危险废物”）、重点环保设施和项目、涉爆粉尘企业等分级管控和隐患排查治理的责任体系、制度标准、工作机制；重点加强化学工业园区、涉及大宗危化品使用企业、贮存和运输危化品的港口码头、尾矿库、集中式污水处理厂、危废处理企业的环境风险防控；建立覆盖危险废物产生、收集、贮存、转移、运输、利用、处置等全过程的监督体系，严厉打击危险废物非法转移、处置和倾倒行为。</w:t>
                  </w:r>
                </w:p>
              </w:tc>
              <w:tc>
                <w:tcPr>
                  <w:tcW w:w="980" w:type="pct"/>
                  <w:noWrap w:val="0"/>
                  <w:tcMar>
                    <w:top w:w="0" w:type="dxa"/>
                    <w:left w:w="0" w:type="dxa"/>
                    <w:bottom w:w="0" w:type="dxa"/>
                    <w:right w:w="0" w:type="dxa"/>
                  </w:tcMar>
                  <w:vAlign w:val="center"/>
                </w:tcPr>
                <w:p w14:paraId="3B5612A4">
                  <w:pPr>
                    <w:jc w:val="center"/>
                    <w:rPr>
                      <w:rFonts w:hint="eastAsia"/>
                      <w:color w:val="auto"/>
                      <w:szCs w:val="21"/>
                    </w:rPr>
                  </w:pPr>
                  <w:r>
                    <w:rPr>
                      <w:rFonts w:hint="eastAsia"/>
                      <w:color w:val="auto"/>
                      <w:szCs w:val="21"/>
                      <w:lang w:eastAsia="zh-CN"/>
                    </w:rPr>
                    <w:t>（</w:t>
                  </w:r>
                  <w:r>
                    <w:rPr>
                      <w:rFonts w:hint="eastAsia"/>
                      <w:color w:val="auto"/>
                      <w:szCs w:val="21"/>
                      <w:lang w:val="en-US" w:eastAsia="zh-CN"/>
                    </w:rPr>
                    <w:t>2</w:t>
                  </w:r>
                  <w:r>
                    <w:rPr>
                      <w:rFonts w:hint="eastAsia"/>
                      <w:color w:val="auto"/>
                      <w:szCs w:val="21"/>
                      <w:lang w:eastAsia="zh-CN"/>
                    </w:rPr>
                    <w:t>）</w:t>
                  </w:r>
                  <w:r>
                    <w:rPr>
                      <w:rFonts w:hint="eastAsia"/>
                      <w:color w:val="auto"/>
                      <w:szCs w:val="21"/>
                      <w:lang w:val="en-US" w:eastAsia="zh-CN"/>
                    </w:rPr>
                    <w:t>本项目不在长江1公里范围内。</w:t>
                  </w:r>
                  <w:r>
                    <w:rPr>
                      <w:rFonts w:hint="eastAsia"/>
                      <w:color w:val="auto"/>
                      <w:szCs w:val="21"/>
                      <w:lang w:eastAsia="zh-CN"/>
                    </w:rPr>
                    <w:t>（</w:t>
                  </w:r>
                  <w:r>
                    <w:rPr>
                      <w:rFonts w:hint="eastAsia"/>
                      <w:color w:val="auto"/>
                      <w:szCs w:val="21"/>
                      <w:lang w:val="en-US" w:eastAsia="zh-CN"/>
                    </w:rPr>
                    <w:t>4</w:t>
                  </w:r>
                  <w:r>
                    <w:rPr>
                      <w:rFonts w:hint="eastAsia"/>
                      <w:color w:val="auto"/>
                      <w:szCs w:val="21"/>
                      <w:lang w:eastAsia="zh-CN"/>
                    </w:rPr>
                    <w:t>）</w:t>
                  </w:r>
                  <w:r>
                    <w:rPr>
                      <w:color w:val="auto"/>
                      <w:szCs w:val="21"/>
                    </w:rPr>
                    <w:t>项目实施后，</w:t>
                  </w:r>
                  <w:r>
                    <w:rPr>
                      <w:rFonts w:hint="eastAsia"/>
                      <w:color w:val="auto"/>
                      <w:szCs w:val="21"/>
                    </w:rPr>
                    <w:t>按要求</w:t>
                  </w:r>
                  <w:r>
                    <w:rPr>
                      <w:color w:val="auto"/>
                      <w:szCs w:val="21"/>
                    </w:rPr>
                    <w:t>建立环境应急体系</w:t>
                  </w:r>
                  <w:r>
                    <w:rPr>
                      <w:rFonts w:hint="eastAsia"/>
                      <w:color w:val="auto"/>
                      <w:szCs w:val="21"/>
                    </w:rPr>
                    <w:t>、编制</w:t>
                  </w:r>
                  <w:r>
                    <w:rPr>
                      <w:color w:val="auto"/>
                      <w:szCs w:val="21"/>
                    </w:rPr>
                    <w:t>突发环境事件</w:t>
                  </w:r>
                  <w:r>
                    <w:rPr>
                      <w:rFonts w:hint="eastAsia"/>
                      <w:color w:val="auto"/>
                      <w:szCs w:val="21"/>
                    </w:rPr>
                    <w:t>应急预案</w:t>
                  </w:r>
                  <w:r>
                    <w:rPr>
                      <w:color w:val="auto"/>
                      <w:szCs w:val="21"/>
                    </w:rPr>
                    <w:t>，</w:t>
                  </w:r>
                  <w:r>
                    <w:rPr>
                      <w:rFonts w:hint="eastAsia"/>
                      <w:color w:val="auto"/>
                      <w:szCs w:val="21"/>
                    </w:rPr>
                    <w:t>落实预案中的相关要求，</w:t>
                  </w:r>
                  <w:r>
                    <w:rPr>
                      <w:color w:val="auto"/>
                      <w:szCs w:val="21"/>
                    </w:rPr>
                    <w:t>并报</w:t>
                  </w:r>
                  <w:r>
                    <w:rPr>
                      <w:rFonts w:hint="eastAsia"/>
                      <w:color w:val="auto"/>
                      <w:szCs w:val="21"/>
                    </w:rPr>
                    <w:t>环保部门</w:t>
                  </w:r>
                  <w:r>
                    <w:rPr>
                      <w:color w:val="auto"/>
                      <w:szCs w:val="21"/>
                    </w:rPr>
                    <w:t>备案</w:t>
                  </w:r>
                  <w:r>
                    <w:rPr>
                      <w:rFonts w:hint="eastAsia"/>
                      <w:color w:val="auto"/>
                      <w:szCs w:val="21"/>
                    </w:rPr>
                    <w:t>。</w:t>
                  </w:r>
                  <w:r>
                    <w:rPr>
                      <w:rFonts w:hint="eastAsia"/>
                      <w:color w:val="auto"/>
                      <w:szCs w:val="21"/>
                      <w:lang w:val="en-US" w:eastAsia="zh-CN"/>
                    </w:rPr>
                    <w:t>本项目</w:t>
                  </w:r>
                  <w:r>
                    <w:rPr>
                      <w:color w:val="auto"/>
                      <w:szCs w:val="21"/>
                    </w:rPr>
                    <w:t>产生的危险废物交由有资质单位处置，</w:t>
                  </w:r>
                  <w:r>
                    <w:rPr>
                      <w:rFonts w:hint="eastAsia"/>
                      <w:color w:val="auto"/>
                      <w:szCs w:val="21"/>
                      <w:lang w:val="en-US" w:eastAsia="zh-CN"/>
                    </w:rPr>
                    <w:t>零</w:t>
                  </w:r>
                  <w:r>
                    <w:rPr>
                      <w:color w:val="auto"/>
                      <w:szCs w:val="21"/>
                    </w:rPr>
                    <w:t>排放</w:t>
                  </w:r>
                  <w:r>
                    <w:rPr>
                      <w:rFonts w:hint="eastAsia"/>
                      <w:color w:val="auto"/>
                      <w:szCs w:val="21"/>
                    </w:rPr>
                    <w:t>。</w:t>
                  </w:r>
                </w:p>
              </w:tc>
              <w:tc>
                <w:tcPr>
                  <w:tcW w:w="425" w:type="pct"/>
                  <w:noWrap w:val="0"/>
                  <w:tcMar>
                    <w:top w:w="0" w:type="dxa"/>
                    <w:left w:w="0" w:type="dxa"/>
                    <w:bottom w:w="0" w:type="dxa"/>
                    <w:right w:w="0" w:type="dxa"/>
                  </w:tcMar>
                  <w:vAlign w:val="center"/>
                </w:tcPr>
                <w:p w14:paraId="689851B5">
                  <w:pPr>
                    <w:jc w:val="center"/>
                    <w:rPr>
                      <w:color w:val="auto"/>
                      <w:szCs w:val="21"/>
                    </w:rPr>
                  </w:pPr>
                  <w:r>
                    <w:rPr>
                      <w:color w:val="auto"/>
                      <w:szCs w:val="21"/>
                    </w:rPr>
                    <w:t>相符</w:t>
                  </w:r>
                </w:p>
              </w:tc>
            </w:tr>
            <w:tr w14:paraId="5CAEE7C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69" w:type="pct"/>
                  <w:noWrap w:val="0"/>
                  <w:tcMar>
                    <w:top w:w="0" w:type="dxa"/>
                    <w:left w:w="0" w:type="dxa"/>
                    <w:bottom w:w="0" w:type="dxa"/>
                    <w:right w:w="0" w:type="dxa"/>
                  </w:tcMar>
                  <w:vAlign w:val="center"/>
                </w:tcPr>
                <w:p w14:paraId="5B4C5DB8">
                  <w:pPr>
                    <w:jc w:val="center"/>
                    <w:rPr>
                      <w:color w:val="auto"/>
                      <w:szCs w:val="21"/>
                    </w:rPr>
                  </w:pPr>
                  <w:r>
                    <w:rPr>
                      <w:color w:val="auto"/>
                      <w:szCs w:val="21"/>
                    </w:rPr>
                    <w:t>4</w:t>
                  </w:r>
                </w:p>
              </w:tc>
              <w:tc>
                <w:tcPr>
                  <w:tcW w:w="460" w:type="pct"/>
                  <w:noWrap w:val="0"/>
                  <w:tcMar>
                    <w:top w:w="0" w:type="dxa"/>
                    <w:left w:w="0" w:type="dxa"/>
                    <w:bottom w:w="0" w:type="dxa"/>
                    <w:right w:w="0" w:type="dxa"/>
                  </w:tcMar>
                  <w:vAlign w:val="center"/>
                </w:tcPr>
                <w:p w14:paraId="514E2747">
                  <w:pPr>
                    <w:jc w:val="center"/>
                    <w:rPr>
                      <w:color w:val="auto"/>
                      <w:szCs w:val="21"/>
                    </w:rPr>
                  </w:pPr>
                  <w:r>
                    <w:rPr>
                      <w:color w:val="auto"/>
                      <w:szCs w:val="21"/>
                    </w:rPr>
                    <w:t>资源利用效率要求</w:t>
                  </w:r>
                </w:p>
              </w:tc>
              <w:tc>
                <w:tcPr>
                  <w:tcW w:w="2764" w:type="pct"/>
                  <w:noWrap w:val="0"/>
                  <w:tcMar>
                    <w:top w:w="0" w:type="dxa"/>
                    <w:left w:w="0" w:type="dxa"/>
                    <w:bottom w:w="0" w:type="dxa"/>
                    <w:right w:w="0" w:type="dxa"/>
                  </w:tcMar>
                  <w:vAlign w:val="center"/>
                </w:tcPr>
                <w:p w14:paraId="27B874AB">
                  <w:pPr>
                    <w:jc w:val="center"/>
                    <w:rPr>
                      <w:rFonts w:hint="eastAsia" w:ascii="Times New Roman" w:hAnsi="Times New Roman" w:eastAsia="宋体" w:cs="Times New Roman"/>
                      <w:color w:val="auto"/>
                      <w:szCs w:val="21"/>
                    </w:rPr>
                  </w:pPr>
                  <w:r>
                    <w:rPr>
                      <w:rFonts w:hint="eastAsia" w:ascii="Times New Roman" w:hAnsi="Times New Roman" w:eastAsia="宋体" w:cs="Times New Roman"/>
                      <w:color w:val="auto"/>
                      <w:szCs w:val="21"/>
                    </w:rPr>
                    <w:t>（3）根据《市政府关于公布常州市高污染燃料禁燃区类别的通告》（常政发〔2017〕163号），常州市禁燃区内禁止新建、扩建燃用高污染燃料的项目和设施，已建成的应逐步或依法限期改用天然气、电或者其他清洁能源。禁止燃用的燃料主要包括：①“II类”（较严），具体包括：除单台出力大于等于20蒸吨/小时锅炉以外燃用的煤炭及其制品；石油焦、油页岩、原油、重油、渣油、煤焦油。②“III类”（严格），具体包括：煤炭及其制品（包括原煤、散煤、煤矸石、煤泥、煤粉、水煤浆、型煤、焦炭、兰炭等）；石油焦、油页岩、原油、重油、渣油、煤焦油；非专用锅炉或未配置高效除尘设施的专用锅炉燃用的生物质成型燃料；国家规定的其它高污染燃料。</w:t>
                  </w:r>
                </w:p>
              </w:tc>
              <w:tc>
                <w:tcPr>
                  <w:tcW w:w="980" w:type="pct"/>
                  <w:noWrap w:val="0"/>
                  <w:tcMar>
                    <w:top w:w="0" w:type="dxa"/>
                    <w:left w:w="0" w:type="dxa"/>
                    <w:bottom w:w="0" w:type="dxa"/>
                    <w:right w:w="0" w:type="dxa"/>
                  </w:tcMar>
                  <w:vAlign w:val="center"/>
                </w:tcPr>
                <w:p w14:paraId="79E3AA60">
                  <w:pPr>
                    <w:jc w:val="center"/>
                    <w:rPr>
                      <w:rFonts w:hint="eastAsia"/>
                      <w:color w:val="auto"/>
                      <w:szCs w:val="21"/>
                    </w:rPr>
                  </w:pPr>
                  <w:r>
                    <w:rPr>
                      <w:rFonts w:hint="eastAsia"/>
                      <w:color w:val="auto"/>
                      <w:szCs w:val="21"/>
                      <w:lang w:eastAsia="zh-CN"/>
                    </w:rPr>
                    <w:t>（</w:t>
                  </w:r>
                  <w:r>
                    <w:rPr>
                      <w:rFonts w:hint="eastAsia"/>
                      <w:color w:val="auto"/>
                      <w:szCs w:val="21"/>
                      <w:lang w:val="en-US" w:eastAsia="zh-CN"/>
                    </w:rPr>
                    <w:t>3</w:t>
                  </w:r>
                  <w:r>
                    <w:rPr>
                      <w:rFonts w:hint="eastAsia"/>
                      <w:color w:val="auto"/>
                      <w:szCs w:val="21"/>
                      <w:lang w:eastAsia="zh-CN"/>
                    </w:rPr>
                    <w:t>）</w:t>
                  </w:r>
                  <w:r>
                    <w:rPr>
                      <w:rFonts w:hint="eastAsia"/>
                      <w:color w:val="auto"/>
                      <w:szCs w:val="21"/>
                      <w:lang w:val="en-US" w:eastAsia="zh-CN"/>
                    </w:rPr>
                    <w:t>本项目不使用以上禁止燃用的燃料</w:t>
                  </w:r>
                  <w:r>
                    <w:rPr>
                      <w:color w:val="auto"/>
                      <w:szCs w:val="21"/>
                    </w:rPr>
                    <w:t>；</w:t>
                  </w:r>
                  <w:r>
                    <w:rPr>
                      <w:rFonts w:hint="eastAsia"/>
                      <w:color w:val="auto"/>
                      <w:szCs w:val="21"/>
                    </w:rPr>
                    <w:t>使用清洁能源电</w:t>
                  </w:r>
                  <w:r>
                    <w:rPr>
                      <w:color w:val="auto"/>
                      <w:szCs w:val="21"/>
                    </w:rPr>
                    <w:t>；不建设燃煤设施</w:t>
                  </w:r>
                  <w:r>
                    <w:rPr>
                      <w:rFonts w:hint="eastAsia"/>
                      <w:color w:val="auto"/>
                      <w:szCs w:val="21"/>
                    </w:rPr>
                    <w:t>。</w:t>
                  </w:r>
                </w:p>
              </w:tc>
              <w:tc>
                <w:tcPr>
                  <w:tcW w:w="425" w:type="pct"/>
                  <w:noWrap w:val="0"/>
                  <w:tcMar>
                    <w:top w:w="0" w:type="dxa"/>
                    <w:left w:w="0" w:type="dxa"/>
                    <w:bottom w:w="0" w:type="dxa"/>
                    <w:right w:w="0" w:type="dxa"/>
                  </w:tcMar>
                  <w:vAlign w:val="center"/>
                </w:tcPr>
                <w:p w14:paraId="11CE3C89">
                  <w:pPr>
                    <w:jc w:val="center"/>
                    <w:rPr>
                      <w:color w:val="auto"/>
                      <w:szCs w:val="21"/>
                    </w:rPr>
                  </w:pPr>
                  <w:r>
                    <w:rPr>
                      <w:color w:val="auto"/>
                      <w:szCs w:val="21"/>
                    </w:rPr>
                    <w:t>相符</w:t>
                  </w:r>
                </w:p>
              </w:tc>
            </w:tr>
          </w:tbl>
          <w:p w14:paraId="663B9757">
            <w:pPr>
              <w:autoSpaceDE w:val="0"/>
              <w:autoSpaceDN w:val="0"/>
              <w:spacing w:before="120" w:beforeLines="50" w:line="360" w:lineRule="auto"/>
              <w:ind w:firstLine="420" w:firstLineChars="200"/>
              <w:rPr>
                <w:color w:val="auto"/>
                <w:szCs w:val="21"/>
              </w:rPr>
            </w:pPr>
            <w:r>
              <w:rPr>
                <w:rFonts w:hint="eastAsia"/>
                <w:color w:val="auto"/>
                <w:szCs w:val="21"/>
              </w:rPr>
              <w:t>（</w:t>
            </w:r>
            <w:r>
              <w:rPr>
                <w:rFonts w:hint="eastAsia"/>
                <w:color w:val="auto"/>
                <w:szCs w:val="21"/>
                <w:lang w:val="en-US" w:eastAsia="zh-CN"/>
              </w:rPr>
              <w:t>3</w:t>
            </w:r>
            <w:r>
              <w:rPr>
                <w:rFonts w:hint="eastAsia"/>
                <w:color w:val="auto"/>
                <w:szCs w:val="21"/>
              </w:rPr>
              <w:t>）</w:t>
            </w:r>
            <w:r>
              <w:rPr>
                <w:color w:val="auto"/>
                <w:szCs w:val="21"/>
              </w:rPr>
              <w:t>对照</w:t>
            </w:r>
            <w:r>
              <w:rPr>
                <w:bCs/>
                <w:color w:val="auto"/>
                <w:kern w:val="0"/>
                <w:szCs w:val="21"/>
              </w:rPr>
              <w:t>《</w:t>
            </w:r>
            <w:r>
              <w:rPr>
                <w:rFonts w:hint="eastAsia"/>
                <w:bCs/>
                <w:color w:val="auto"/>
                <w:kern w:val="0"/>
                <w:szCs w:val="21"/>
              </w:rPr>
              <w:t>常州市中心城区（金坛区）重点管控单元</w:t>
            </w:r>
            <w:r>
              <w:rPr>
                <w:bCs/>
                <w:color w:val="auto"/>
                <w:kern w:val="0"/>
                <w:szCs w:val="21"/>
              </w:rPr>
              <w:t>》</w:t>
            </w:r>
            <w:r>
              <w:rPr>
                <w:color w:val="auto"/>
                <w:szCs w:val="21"/>
              </w:rPr>
              <w:t>，相符性见下表。</w:t>
            </w:r>
          </w:p>
          <w:p w14:paraId="631BBDA8">
            <w:pPr>
              <w:pStyle w:val="7"/>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b/>
                <w:bCs/>
                <w:color w:val="auto"/>
                <w:szCs w:val="21"/>
              </w:rPr>
            </w:pPr>
            <w:r>
              <w:rPr>
                <w:b/>
                <w:bCs/>
                <w:color w:val="auto"/>
                <w:szCs w:val="21"/>
              </w:rPr>
              <w:t>表1-</w:t>
            </w:r>
            <w:r>
              <w:rPr>
                <w:rFonts w:hint="eastAsia"/>
                <w:b/>
                <w:bCs/>
                <w:color w:val="auto"/>
                <w:szCs w:val="21"/>
                <w:lang w:val="en-US" w:eastAsia="zh-CN"/>
              </w:rPr>
              <w:t>7</w:t>
            </w:r>
            <w:r>
              <w:rPr>
                <w:b/>
                <w:bCs/>
                <w:color w:val="auto"/>
                <w:szCs w:val="21"/>
              </w:rPr>
              <w:t xml:space="preserve"> 与</w:t>
            </w:r>
            <w:r>
              <w:rPr>
                <w:rFonts w:hint="eastAsia"/>
                <w:b/>
                <w:bCs/>
                <w:color w:val="auto"/>
                <w:szCs w:val="21"/>
              </w:rPr>
              <w:t>江苏金坛经济开发区重点管控单元</w:t>
            </w:r>
            <w:r>
              <w:rPr>
                <w:b/>
                <w:bCs/>
                <w:color w:val="auto"/>
                <w:szCs w:val="21"/>
              </w:rPr>
              <w:t>相符性</w:t>
            </w:r>
          </w:p>
          <w:tbl>
            <w:tblPr>
              <w:tblStyle w:val="28"/>
              <w:tblW w:w="4998"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585"/>
              <w:gridCol w:w="736"/>
              <w:gridCol w:w="3060"/>
              <w:gridCol w:w="2934"/>
              <w:gridCol w:w="680"/>
            </w:tblGrid>
            <w:tr w14:paraId="35C501D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66" w:type="pct"/>
                  <w:noWrap w:val="0"/>
                  <w:tcMar>
                    <w:top w:w="0" w:type="dxa"/>
                    <w:left w:w="0" w:type="dxa"/>
                    <w:bottom w:w="0" w:type="dxa"/>
                    <w:right w:w="0" w:type="dxa"/>
                  </w:tcMar>
                  <w:vAlign w:val="center"/>
                </w:tcPr>
                <w:p w14:paraId="3FF4FDDD">
                  <w:pPr>
                    <w:jc w:val="center"/>
                    <w:rPr>
                      <w:b/>
                      <w:bCs/>
                      <w:color w:val="auto"/>
                      <w:szCs w:val="21"/>
                    </w:rPr>
                  </w:pPr>
                  <w:r>
                    <w:rPr>
                      <w:b/>
                      <w:bCs/>
                      <w:color w:val="auto"/>
                      <w:szCs w:val="21"/>
                    </w:rPr>
                    <w:t>序号</w:t>
                  </w:r>
                </w:p>
              </w:tc>
              <w:tc>
                <w:tcPr>
                  <w:tcW w:w="2373" w:type="pct"/>
                  <w:gridSpan w:val="2"/>
                  <w:noWrap w:val="0"/>
                  <w:tcMar>
                    <w:top w:w="0" w:type="dxa"/>
                    <w:left w:w="0" w:type="dxa"/>
                    <w:bottom w:w="0" w:type="dxa"/>
                    <w:right w:w="0" w:type="dxa"/>
                  </w:tcMar>
                  <w:vAlign w:val="center"/>
                </w:tcPr>
                <w:p w14:paraId="134470C0">
                  <w:pPr>
                    <w:jc w:val="center"/>
                    <w:rPr>
                      <w:b/>
                      <w:bCs/>
                      <w:color w:val="auto"/>
                      <w:szCs w:val="21"/>
                    </w:rPr>
                  </w:pPr>
                  <w:r>
                    <w:rPr>
                      <w:b/>
                      <w:bCs/>
                      <w:color w:val="auto"/>
                      <w:szCs w:val="21"/>
                    </w:rPr>
                    <w:t>管控要求</w:t>
                  </w:r>
                </w:p>
              </w:tc>
              <w:tc>
                <w:tcPr>
                  <w:tcW w:w="1834" w:type="pct"/>
                  <w:noWrap w:val="0"/>
                  <w:tcMar>
                    <w:top w:w="0" w:type="dxa"/>
                    <w:left w:w="0" w:type="dxa"/>
                    <w:bottom w:w="0" w:type="dxa"/>
                    <w:right w:w="0" w:type="dxa"/>
                  </w:tcMar>
                  <w:vAlign w:val="center"/>
                </w:tcPr>
                <w:p w14:paraId="7B42841C">
                  <w:pPr>
                    <w:jc w:val="center"/>
                    <w:rPr>
                      <w:b/>
                      <w:bCs/>
                      <w:color w:val="auto"/>
                      <w:szCs w:val="21"/>
                    </w:rPr>
                  </w:pPr>
                  <w:r>
                    <w:rPr>
                      <w:b/>
                      <w:color w:val="auto"/>
                      <w:szCs w:val="21"/>
                    </w:rPr>
                    <w:t>本项目相关内容</w:t>
                  </w:r>
                </w:p>
              </w:tc>
              <w:tc>
                <w:tcPr>
                  <w:tcW w:w="425" w:type="pct"/>
                  <w:noWrap w:val="0"/>
                  <w:tcMar>
                    <w:top w:w="0" w:type="dxa"/>
                    <w:left w:w="0" w:type="dxa"/>
                    <w:bottom w:w="0" w:type="dxa"/>
                    <w:right w:w="0" w:type="dxa"/>
                  </w:tcMar>
                  <w:vAlign w:val="center"/>
                </w:tcPr>
                <w:p w14:paraId="70FA3B80">
                  <w:pPr>
                    <w:jc w:val="center"/>
                    <w:rPr>
                      <w:b/>
                      <w:bCs/>
                      <w:color w:val="auto"/>
                      <w:szCs w:val="21"/>
                    </w:rPr>
                  </w:pPr>
                  <w:r>
                    <w:rPr>
                      <w:b/>
                      <w:bCs/>
                      <w:color w:val="auto"/>
                      <w:szCs w:val="21"/>
                    </w:rPr>
                    <w:t>相符性</w:t>
                  </w:r>
                </w:p>
              </w:tc>
            </w:tr>
            <w:tr w14:paraId="648271A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66" w:type="pct"/>
                  <w:noWrap w:val="0"/>
                  <w:tcMar>
                    <w:top w:w="0" w:type="dxa"/>
                    <w:left w:w="0" w:type="dxa"/>
                    <w:bottom w:w="0" w:type="dxa"/>
                    <w:right w:w="0" w:type="dxa"/>
                  </w:tcMar>
                  <w:vAlign w:val="center"/>
                </w:tcPr>
                <w:p w14:paraId="5669E018">
                  <w:pPr>
                    <w:jc w:val="center"/>
                    <w:rPr>
                      <w:color w:val="auto"/>
                      <w:szCs w:val="21"/>
                    </w:rPr>
                  </w:pPr>
                  <w:r>
                    <w:rPr>
                      <w:color w:val="auto"/>
                      <w:szCs w:val="21"/>
                    </w:rPr>
                    <w:t>1</w:t>
                  </w:r>
                </w:p>
              </w:tc>
              <w:tc>
                <w:tcPr>
                  <w:tcW w:w="460" w:type="pct"/>
                  <w:noWrap w:val="0"/>
                  <w:tcMar>
                    <w:top w:w="0" w:type="dxa"/>
                    <w:left w:w="0" w:type="dxa"/>
                    <w:bottom w:w="0" w:type="dxa"/>
                    <w:right w:w="0" w:type="dxa"/>
                  </w:tcMar>
                  <w:vAlign w:val="center"/>
                </w:tcPr>
                <w:p w14:paraId="7DED38F1">
                  <w:pPr>
                    <w:jc w:val="center"/>
                    <w:rPr>
                      <w:color w:val="auto"/>
                      <w:szCs w:val="21"/>
                    </w:rPr>
                  </w:pPr>
                  <w:r>
                    <w:rPr>
                      <w:color w:val="auto"/>
                      <w:szCs w:val="21"/>
                    </w:rPr>
                    <w:t>空间布局约束</w:t>
                  </w:r>
                </w:p>
              </w:tc>
              <w:tc>
                <w:tcPr>
                  <w:tcW w:w="1913" w:type="pct"/>
                  <w:noWrap w:val="0"/>
                  <w:tcMar>
                    <w:top w:w="0" w:type="dxa"/>
                    <w:left w:w="0" w:type="dxa"/>
                    <w:bottom w:w="0" w:type="dxa"/>
                    <w:right w:w="0" w:type="dxa"/>
                  </w:tcMar>
                  <w:vAlign w:val="center"/>
                </w:tcPr>
                <w:p w14:paraId="726172F4">
                  <w:pPr>
                    <w:jc w:val="center"/>
                    <w:rPr>
                      <w:rFonts w:hint="eastAsia" w:eastAsia="宋体"/>
                      <w:color w:val="auto"/>
                      <w:szCs w:val="21"/>
                      <w:lang w:eastAsia="zh-CN"/>
                    </w:rPr>
                  </w:pPr>
                  <w:r>
                    <w:rPr>
                      <w:rFonts w:hint="eastAsia" w:eastAsia="宋体"/>
                      <w:color w:val="auto"/>
                      <w:szCs w:val="21"/>
                      <w:lang w:eastAsia="zh-CN"/>
                    </w:rPr>
                    <w:t>（1）各类开发建设活动应符合常州市总体规划、控制性详细规划、土地利用规划等相关要求。（2）禁止引入列入《产业结构调整指导目录（2019年本）》、《江苏省产业结构调整限制、淘汰和禁止目录》、《江苏省工业和信息产业结构调整、限制、淘汰目录及能耗限额》淘汰类的产业</w:t>
                  </w:r>
                </w:p>
              </w:tc>
              <w:tc>
                <w:tcPr>
                  <w:tcW w:w="1834" w:type="pct"/>
                  <w:noWrap w:val="0"/>
                  <w:tcMar>
                    <w:top w:w="0" w:type="dxa"/>
                    <w:left w:w="0" w:type="dxa"/>
                    <w:bottom w:w="0" w:type="dxa"/>
                    <w:right w:w="0" w:type="dxa"/>
                  </w:tcMar>
                  <w:vAlign w:val="center"/>
                </w:tcPr>
                <w:p w14:paraId="1621C07E">
                  <w:pPr>
                    <w:jc w:val="center"/>
                    <w:rPr>
                      <w:rFonts w:hint="default" w:eastAsia="宋体"/>
                      <w:color w:val="auto"/>
                      <w:szCs w:val="21"/>
                      <w:lang w:val="en-US" w:eastAsia="zh-CN"/>
                    </w:rPr>
                  </w:pPr>
                  <w:r>
                    <w:rPr>
                      <w:rFonts w:hint="eastAsia"/>
                      <w:color w:val="auto"/>
                      <w:szCs w:val="21"/>
                      <w:lang w:val="en-US" w:eastAsia="zh-CN"/>
                    </w:rPr>
                    <w:t>（1）本项目符合相关规划要求；（2）本项目不属于以上禁止类、淘汰类的产业</w:t>
                  </w:r>
                  <w:r>
                    <w:rPr>
                      <w:rFonts w:hint="eastAsia"/>
                      <w:color w:val="auto"/>
                      <w:szCs w:val="21"/>
                    </w:rPr>
                    <w:t>。</w:t>
                  </w:r>
                </w:p>
              </w:tc>
              <w:tc>
                <w:tcPr>
                  <w:tcW w:w="425" w:type="pct"/>
                  <w:noWrap w:val="0"/>
                  <w:tcMar>
                    <w:top w:w="0" w:type="dxa"/>
                    <w:left w:w="0" w:type="dxa"/>
                    <w:bottom w:w="0" w:type="dxa"/>
                    <w:right w:w="0" w:type="dxa"/>
                  </w:tcMar>
                  <w:vAlign w:val="center"/>
                </w:tcPr>
                <w:p w14:paraId="031B2D8A">
                  <w:pPr>
                    <w:jc w:val="center"/>
                    <w:rPr>
                      <w:color w:val="auto"/>
                      <w:szCs w:val="21"/>
                    </w:rPr>
                  </w:pPr>
                  <w:r>
                    <w:rPr>
                      <w:color w:val="auto"/>
                      <w:szCs w:val="21"/>
                    </w:rPr>
                    <w:t>相符</w:t>
                  </w:r>
                </w:p>
              </w:tc>
            </w:tr>
            <w:tr w14:paraId="77417DA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66" w:type="pct"/>
                  <w:noWrap w:val="0"/>
                  <w:tcMar>
                    <w:top w:w="0" w:type="dxa"/>
                    <w:left w:w="0" w:type="dxa"/>
                    <w:bottom w:w="0" w:type="dxa"/>
                    <w:right w:w="0" w:type="dxa"/>
                  </w:tcMar>
                  <w:vAlign w:val="center"/>
                </w:tcPr>
                <w:p w14:paraId="5B70E469">
                  <w:pPr>
                    <w:jc w:val="center"/>
                    <w:rPr>
                      <w:color w:val="auto"/>
                      <w:szCs w:val="21"/>
                    </w:rPr>
                  </w:pPr>
                  <w:r>
                    <w:rPr>
                      <w:color w:val="auto"/>
                      <w:szCs w:val="21"/>
                    </w:rPr>
                    <w:t>2</w:t>
                  </w:r>
                </w:p>
              </w:tc>
              <w:tc>
                <w:tcPr>
                  <w:tcW w:w="460" w:type="pct"/>
                  <w:noWrap w:val="0"/>
                  <w:tcMar>
                    <w:top w:w="0" w:type="dxa"/>
                    <w:left w:w="0" w:type="dxa"/>
                    <w:bottom w:w="0" w:type="dxa"/>
                    <w:right w:w="0" w:type="dxa"/>
                  </w:tcMar>
                  <w:vAlign w:val="center"/>
                </w:tcPr>
                <w:p w14:paraId="520987AE">
                  <w:pPr>
                    <w:jc w:val="center"/>
                    <w:rPr>
                      <w:color w:val="auto"/>
                      <w:szCs w:val="21"/>
                    </w:rPr>
                  </w:pPr>
                  <w:r>
                    <w:rPr>
                      <w:color w:val="auto"/>
                      <w:szCs w:val="21"/>
                    </w:rPr>
                    <w:t>污染物排放管控</w:t>
                  </w:r>
                </w:p>
              </w:tc>
              <w:tc>
                <w:tcPr>
                  <w:tcW w:w="1913" w:type="pct"/>
                  <w:noWrap w:val="0"/>
                  <w:tcMar>
                    <w:top w:w="0" w:type="dxa"/>
                    <w:left w:w="0" w:type="dxa"/>
                    <w:bottom w:w="0" w:type="dxa"/>
                    <w:right w:w="0" w:type="dxa"/>
                  </w:tcMar>
                  <w:vAlign w:val="center"/>
                </w:tcPr>
                <w:p w14:paraId="5C038A51">
                  <w:pPr>
                    <w:jc w:val="center"/>
                    <w:rPr>
                      <w:rFonts w:hint="eastAsia" w:ascii="Times New Roman" w:hAnsi="Times New Roman" w:eastAsia="宋体" w:cs="Times New Roman"/>
                      <w:color w:val="auto"/>
                      <w:szCs w:val="21"/>
                    </w:rPr>
                  </w:pPr>
                  <w:r>
                    <w:rPr>
                      <w:rFonts w:hint="eastAsia" w:ascii="Times New Roman" w:hAnsi="Times New Roman" w:eastAsia="宋体" w:cs="Times New Roman"/>
                      <w:color w:val="auto"/>
                      <w:szCs w:val="21"/>
                    </w:rPr>
                    <w:t>（1）严格实施污染物总量控制制度，根据区域环境质量改善目标，削减污染物排放总量。（2）强化餐饮油烟治理，加强噪声污染防治，严格施工扬尘监管，加强土壤和地下水污染防治与修复。</w:t>
                  </w:r>
                </w:p>
              </w:tc>
              <w:tc>
                <w:tcPr>
                  <w:tcW w:w="1834" w:type="pct"/>
                  <w:noWrap w:val="0"/>
                  <w:tcMar>
                    <w:top w:w="0" w:type="dxa"/>
                    <w:left w:w="0" w:type="dxa"/>
                    <w:bottom w:w="0" w:type="dxa"/>
                    <w:right w:w="0" w:type="dxa"/>
                  </w:tcMar>
                  <w:vAlign w:val="center"/>
                </w:tcPr>
                <w:p w14:paraId="7B2A0ECC">
                  <w:pPr>
                    <w:jc w:val="center"/>
                    <w:rPr>
                      <w:rFonts w:hint="default" w:eastAsia="宋体"/>
                      <w:color w:val="auto"/>
                      <w:szCs w:val="21"/>
                      <w:lang w:val="en-US" w:eastAsia="zh-CN"/>
                    </w:rPr>
                  </w:pPr>
                  <w:r>
                    <w:rPr>
                      <w:rFonts w:hint="eastAsia"/>
                      <w:color w:val="auto"/>
                      <w:szCs w:val="21"/>
                      <w:lang w:eastAsia="zh-CN"/>
                    </w:rPr>
                    <w:t>（</w:t>
                  </w:r>
                  <w:r>
                    <w:rPr>
                      <w:rFonts w:hint="eastAsia"/>
                      <w:color w:val="auto"/>
                      <w:szCs w:val="21"/>
                      <w:lang w:val="en-US" w:eastAsia="zh-CN"/>
                    </w:rPr>
                    <w:t>1</w:t>
                  </w:r>
                  <w:r>
                    <w:rPr>
                      <w:rFonts w:hint="eastAsia"/>
                      <w:color w:val="auto"/>
                      <w:szCs w:val="21"/>
                      <w:lang w:eastAsia="zh-CN"/>
                    </w:rPr>
                    <w:t>）</w:t>
                  </w:r>
                  <w:r>
                    <w:rPr>
                      <w:color w:val="auto"/>
                      <w:szCs w:val="21"/>
                    </w:rPr>
                    <w:t>建设项目将根据要求向常州市金坛生态环境局申请总量</w:t>
                  </w:r>
                  <w:r>
                    <w:rPr>
                      <w:rFonts w:hint="eastAsia"/>
                      <w:color w:val="auto"/>
                      <w:szCs w:val="21"/>
                    </w:rPr>
                    <w:t>。</w:t>
                  </w:r>
                  <w:r>
                    <w:rPr>
                      <w:rFonts w:hint="eastAsia"/>
                      <w:color w:val="auto"/>
                      <w:szCs w:val="21"/>
                      <w:lang w:eastAsia="zh-CN"/>
                    </w:rPr>
                    <w:t>（</w:t>
                  </w:r>
                  <w:r>
                    <w:rPr>
                      <w:rFonts w:hint="eastAsia"/>
                      <w:color w:val="auto"/>
                      <w:szCs w:val="21"/>
                      <w:lang w:val="en-US" w:eastAsia="zh-CN"/>
                    </w:rPr>
                    <w:t>2</w:t>
                  </w:r>
                  <w:r>
                    <w:rPr>
                      <w:rFonts w:hint="eastAsia"/>
                      <w:color w:val="auto"/>
                      <w:szCs w:val="21"/>
                      <w:lang w:eastAsia="zh-CN"/>
                    </w:rPr>
                    <w:t>）</w:t>
                  </w:r>
                  <w:r>
                    <w:rPr>
                      <w:rFonts w:hint="eastAsia"/>
                      <w:color w:val="auto"/>
                      <w:szCs w:val="21"/>
                      <w:lang w:val="en-US" w:eastAsia="zh-CN"/>
                    </w:rPr>
                    <w:t>本项目不涉及餐饮，本项目</w:t>
                  </w:r>
                  <w:r>
                    <w:rPr>
                      <w:rFonts w:hint="default" w:ascii="Times New Roman" w:hAnsi="Times New Roman" w:eastAsia="宋体" w:cs="Times New Roman"/>
                      <w:color w:val="auto"/>
                      <w:sz w:val="21"/>
                      <w:szCs w:val="21"/>
                    </w:rPr>
                    <w:t>依托厂区现有</w:t>
                  </w:r>
                  <w:r>
                    <w:rPr>
                      <w:rFonts w:hint="eastAsia" w:ascii="Times New Roman" w:hAnsi="Times New Roman" w:eastAsia="宋体" w:cs="Times New Roman"/>
                      <w:color w:val="auto"/>
                      <w:sz w:val="21"/>
                      <w:szCs w:val="21"/>
                      <w:lang w:val="en-US" w:eastAsia="zh-CN"/>
                    </w:rPr>
                    <w:t>隔声，新建消声、减震措施后达标排放</w:t>
                  </w:r>
                  <w:r>
                    <w:rPr>
                      <w:rFonts w:hint="eastAsia"/>
                      <w:color w:val="auto"/>
                      <w:szCs w:val="21"/>
                      <w:lang w:val="en-US" w:eastAsia="zh-CN"/>
                    </w:rPr>
                    <w:t>。</w:t>
                  </w:r>
                </w:p>
              </w:tc>
              <w:tc>
                <w:tcPr>
                  <w:tcW w:w="425" w:type="pct"/>
                  <w:noWrap w:val="0"/>
                  <w:tcMar>
                    <w:top w:w="0" w:type="dxa"/>
                    <w:left w:w="0" w:type="dxa"/>
                    <w:bottom w:w="0" w:type="dxa"/>
                    <w:right w:w="0" w:type="dxa"/>
                  </w:tcMar>
                  <w:vAlign w:val="center"/>
                </w:tcPr>
                <w:p w14:paraId="77FEC112">
                  <w:pPr>
                    <w:jc w:val="center"/>
                    <w:rPr>
                      <w:color w:val="auto"/>
                      <w:szCs w:val="21"/>
                    </w:rPr>
                  </w:pPr>
                  <w:r>
                    <w:rPr>
                      <w:color w:val="auto"/>
                      <w:szCs w:val="21"/>
                    </w:rPr>
                    <w:t>相符</w:t>
                  </w:r>
                </w:p>
              </w:tc>
            </w:tr>
            <w:tr w14:paraId="69F0F09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66" w:type="pct"/>
                  <w:noWrap w:val="0"/>
                  <w:tcMar>
                    <w:top w:w="0" w:type="dxa"/>
                    <w:left w:w="0" w:type="dxa"/>
                    <w:bottom w:w="0" w:type="dxa"/>
                    <w:right w:w="0" w:type="dxa"/>
                  </w:tcMar>
                  <w:vAlign w:val="center"/>
                </w:tcPr>
                <w:p w14:paraId="48A1DAA2">
                  <w:pPr>
                    <w:jc w:val="center"/>
                    <w:rPr>
                      <w:color w:val="auto"/>
                      <w:szCs w:val="21"/>
                    </w:rPr>
                  </w:pPr>
                  <w:r>
                    <w:rPr>
                      <w:color w:val="auto"/>
                      <w:szCs w:val="21"/>
                    </w:rPr>
                    <w:t>3</w:t>
                  </w:r>
                </w:p>
              </w:tc>
              <w:tc>
                <w:tcPr>
                  <w:tcW w:w="460" w:type="pct"/>
                  <w:noWrap w:val="0"/>
                  <w:tcMar>
                    <w:top w:w="0" w:type="dxa"/>
                    <w:left w:w="0" w:type="dxa"/>
                    <w:bottom w:w="0" w:type="dxa"/>
                    <w:right w:w="0" w:type="dxa"/>
                  </w:tcMar>
                  <w:vAlign w:val="center"/>
                </w:tcPr>
                <w:p w14:paraId="0EDF3437">
                  <w:pPr>
                    <w:jc w:val="center"/>
                    <w:rPr>
                      <w:color w:val="auto"/>
                      <w:szCs w:val="21"/>
                    </w:rPr>
                  </w:pPr>
                  <w:r>
                    <w:rPr>
                      <w:color w:val="auto"/>
                      <w:szCs w:val="21"/>
                    </w:rPr>
                    <w:t>环境风险防控</w:t>
                  </w:r>
                </w:p>
              </w:tc>
              <w:tc>
                <w:tcPr>
                  <w:tcW w:w="1913" w:type="pct"/>
                  <w:noWrap w:val="0"/>
                  <w:tcMar>
                    <w:top w:w="0" w:type="dxa"/>
                    <w:left w:w="0" w:type="dxa"/>
                    <w:bottom w:w="0" w:type="dxa"/>
                    <w:right w:w="0" w:type="dxa"/>
                  </w:tcMar>
                  <w:vAlign w:val="center"/>
                </w:tcPr>
                <w:p w14:paraId="254D1359">
                  <w:pPr>
                    <w:jc w:val="center"/>
                    <w:rPr>
                      <w:rFonts w:hint="eastAsia" w:ascii="Times New Roman" w:hAnsi="Times New Roman" w:eastAsia="宋体" w:cs="Times New Roman"/>
                      <w:color w:val="auto"/>
                      <w:szCs w:val="21"/>
                      <w:lang w:eastAsia="zh-CN"/>
                    </w:rPr>
                  </w:pPr>
                  <w:r>
                    <w:rPr>
                      <w:rFonts w:hint="eastAsia" w:ascii="Times New Roman" w:hAnsi="Times New Roman" w:eastAsia="宋体" w:cs="Times New Roman"/>
                      <w:color w:val="auto"/>
                      <w:szCs w:val="21"/>
                    </w:rPr>
                    <w:t>合理布局工业、商业、居住、科教等功能区块，严格控制噪声、恶臭、油烟等污染排放较大的建设项目布局</w:t>
                  </w:r>
                  <w:r>
                    <w:rPr>
                      <w:rFonts w:hint="eastAsia" w:ascii="Times New Roman" w:hAnsi="Times New Roman" w:eastAsia="宋体" w:cs="Times New Roman"/>
                      <w:color w:val="auto"/>
                      <w:szCs w:val="21"/>
                      <w:lang w:eastAsia="zh-CN"/>
                    </w:rPr>
                    <w:t>。</w:t>
                  </w:r>
                </w:p>
              </w:tc>
              <w:tc>
                <w:tcPr>
                  <w:tcW w:w="1834" w:type="pct"/>
                  <w:noWrap w:val="0"/>
                  <w:tcMar>
                    <w:top w:w="0" w:type="dxa"/>
                    <w:left w:w="0" w:type="dxa"/>
                    <w:bottom w:w="0" w:type="dxa"/>
                    <w:right w:w="0" w:type="dxa"/>
                  </w:tcMar>
                  <w:vAlign w:val="center"/>
                </w:tcPr>
                <w:p w14:paraId="2E9ED650">
                  <w:pPr>
                    <w:jc w:val="center"/>
                    <w:rPr>
                      <w:rFonts w:hint="default"/>
                      <w:color w:val="auto"/>
                      <w:szCs w:val="21"/>
                      <w:lang w:val="en-US"/>
                    </w:rPr>
                  </w:pPr>
                  <w:r>
                    <w:rPr>
                      <w:rFonts w:hint="eastAsia"/>
                      <w:color w:val="auto"/>
                      <w:szCs w:val="21"/>
                      <w:lang w:val="en-US" w:eastAsia="zh-CN"/>
                    </w:rPr>
                    <w:t>本项目不新建用地，租赁现有已建空置厂房生产。本项目废气均收集处理后排放，实行总量控制，无生产废水排放，生活污水接管至常州金坛区第二污水处理有限公司处理，固废收集处理不外排，</w:t>
                  </w:r>
                  <w:r>
                    <w:rPr>
                      <w:rFonts w:hint="default" w:ascii="Times New Roman" w:hAnsi="Times New Roman" w:eastAsia="宋体" w:cs="Times New Roman"/>
                      <w:color w:val="auto"/>
                      <w:sz w:val="21"/>
                      <w:szCs w:val="21"/>
                    </w:rPr>
                    <w:t>依托厂区现有</w:t>
                  </w:r>
                  <w:r>
                    <w:rPr>
                      <w:rFonts w:hint="eastAsia" w:ascii="Times New Roman" w:hAnsi="Times New Roman" w:eastAsia="宋体" w:cs="Times New Roman"/>
                      <w:color w:val="auto"/>
                      <w:sz w:val="21"/>
                      <w:szCs w:val="21"/>
                      <w:lang w:val="en-US" w:eastAsia="zh-CN"/>
                    </w:rPr>
                    <w:t>隔声，新建消声、减震措施后达标排放。</w:t>
                  </w:r>
                </w:p>
              </w:tc>
              <w:tc>
                <w:tcPr>
                  <w:tcW w:w="425" w:type="pct"/>
                  <w:noWrap w:val="0"/>
                  <w:tcMar>
                    <w:top w:w="0" w:type="dxa"/>
                    <w:left w:w="0" w:type="dxa"/>
                    <w:bottom w:w="0" w:type="dxa"/>
                    <w:right w:w="0" w:type="dxa"/>
                  </w:tcMar>
                  <w:vAlign w:val="center"/>
                </w:tcPr>
                <w:p w14:paraId="4009C66F">
                  <w:pPr>
                    <w:jc w:val="center"/>
                    <w:rPr>
                      <w:color w:val="auto"/>
                      <w:szCs w:val="21"/>
                    </w:rPr>
                  </w:pPr>
                  <w:r>
                    <w:rPr>
                      <w:color w:val="auto"/>
                      <w:szCs w:val="21"/>
                    </w:rPr>
                    <w:t>相符</w:t>
                  </w:r>
                </w:p>
              </w:tc>
            </w:tr>
            <w:tr w14:paraId="6129115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66" w:type="pct"/>
                  <w:noWrap w:val="0"/>
                  <w:tcMar>
                    <w:top w:w="0" w:type="dxa"/>
                    <w:left w:w="0" w:type="dxa"/>
                    <w:bottom w:w="0" w:type="dxa"/>
                    <w:right w:w="0" w:type="dxa"/>
                  </w:tcMar>
                  <w:vAlign w:val="center"/>
                </w:tcPr>
                <w:p w14:paraId="462FADD0">
                  <w:pPr>
                    <w:jc w:val="center"/>
                    <w:rPr>
                      <w:color w:val="auto"/>
                      <w:szCs w:val="21"/>
                    </w:rPr>
                  </w:pPr>
                  <w:r>
                    <w:rPr>
                      <w:color w:val="auto"/>
                      <w:szCs w:val="21"/>
                    </w:rPr>
                    <w:t>4</w:t>
                  </w:r>
                </w:p>
              </w:tc>
              <w:tc>
                <w:tcPr>
                  <w:tcW w:w="460" w:type="pct"/>
                  <w:noWrap w:val="0"/>
                  <w:tcMar>
                    <w:top w:w="0" w:type="dxa"/>
                    <w:left w:w="0" w:type="dxa"/>
                    <w:bottom w:w="0" w:type="dxa"/>
                    <w:right w:w="0" w:type="dxa"/>
                  </w:tcMar>
                  <w:vAlign w:val="center"/>
                </w:tcPr>
                <w:p w14:paraId="7628D65B">
                  <w:pPr>
                    <w:jc w:val="center"/>
                    <w:rPr>
                      <w:color w:val="auto"/>
                      <w:szCs w:val="21"/>
                    </w:rPr>
                  </w:pPr>
                  <w:r>
                    <w:rPr>
                      <w:color w:val="auto"/>
                      <w:szCs w:val="21"/>
                    </w:rPr>
                    <w:t>资源利用效率要求</w:t>
                  </w:r>
                </w:p>
              </w:tc>
              <w:tc>
                <w:tcPr>
                  <w:tcW w:w="1913" w:type="pct"/>
                  <w:noWrap w:val="0"/>
                  <w:tcMar>
                    <w:top w:w="0" w:type="dxa"/>
                    <w:left w:w="0" w:type="dxa"/>
                    <w:bottom w:w="0" w:type="dxa"/>
                    <w:right w:w="0" w:type="dxa"/>
                  </w:tcMar>
                  <w:vAlign w:val="center"/>
                </w:tcPr>
                <w:p w14:paraId="1E6B2CDE">
                  <w:pPr>
                    <w:jc w:val="center"/>
                    <w:rPr>
                      <w:rFonts w:hint="eastAsia" w:ascii="Times New Roman" w:hAnsi="Times New Roman" w:eastAsia="宋体" w:cs="Times New Roman"/>
                      <w:color w:val="auto"/>
                      <w:szCs w:val="21"/>
                    </w:rPr>
                  </w:pPr>
                  <w:r>
                    <w:rPr>
                      <w:rFonts w:hint="eastAsia" w:ascii="Times New Roman" w:hAnsi="Times New Roman" w:eastAsia="宋体" w:cs="Times New Roman"/>
                      <w:color w:val="auto"/>
                      <w:szCs w:val="21"/>
                    </w:rPr>
                    <w:t>全面开展节水型社会建设，推进节水产品推广普及，限制高耗水服务业用水。</w:t>
                  </w:r>
                </w:p>
              </w:tc>
              <w:tc>
                <w:tcPr>
                  <w:tcW w:w="1834" w:type="pct"/>
                  <w:noWrap w:val="0"/>
                  <w:tcMar>
                    <w:top w:w="0" w:type="dxa"/>
                    <w:left w:w="0" w:type="dxa"/>
                    <w:bottom w:w="0" w:type="dxa"/>
                    <w:right w:w="0" w:type="dxa"/>
                  </w:tcMar>
                  <w:vAlign w:val="center"/>
                </w:tcPr>
                <w:p w14:paraId="726C159E">
                  <w:pPr>
                    <w:jc w:val="center"/>
                    <w:rPr>
                      <w:rFonts w:hint="default"/>
                      <w:color w:val="auto"/>
                      <w:szCs w:val="21"/>
                      <w:lang w:val="en-US"/>
                    </w:rPr>
                  </w:pPr>
                  <w:r>
                    <w:rPr>
                      <w:rFonts w:hint="eastAsia"/>
                      <w:color w:val="auto"/>
                      <w:szCs w:val="21"/>
                      <w:lang w:val="en-US" w:eastAsia="zh-CN"/>
                    </w:rPr>
                    <w:t>本项目不产生生产废水及排放，生活污水接管至污水处理厂处理，不属于高耗水行业</w:t>
                  </w:r>
                </w:p>
              </w:tc>
              <w:tc>
                <w:tcPr>
                  <w:tcW w:w="425" w:type="pct"/>
                  <w:noWrap w:val="0"/>
                  <w:tcMar>
                    <w:top w:w="0" w:type="dxa"/>
                    <w:left w:w="0" w:type="dxa"/>
                    <w:bottom w:w="0" w:type="dxa"/>
                    <w:right w:w="0" w:type="dxa"/>
                  </w:tcMar>
                  <w:vAlign w:val="center"/>
                </w:tcPr>
                <w:p w14:paraId="61EFE502">
                  <w:pPr>
                    <w:jc w:val="center"/>
                    <w:rPr>
                      <w:color w:val="auto"/>
                      <w:szCs w:val="21"/>
                    </w:rPr>
                  </w:pPr>
                  <w:r>
                    <w:rPr>
                      <w:color w:val="auto"/>
                      <w:szCs w:val="21"/>
                    </w:rPr>
                    <w:t>相符</w:t>
                  </w:r>
                </w:p>
              </w:tc>
            </w:tr>
          </w:tbl>
          <w:p w14:paraId="2CAAC23C">
            <w:pPr>
              <w:spacing w:before="120" w:beforeLines="50" w:line="360" w:lineRule="auto"/>
              <w:ind w:firstLine="420" w:firstLineChars="200"/>
              <w:rPr>
                <w:color w:val="auto"/>
                <w:szCs w:val="21"/>
              </w:rPr>
            </w:pPr>
            <w:r>
              <w:rPr>
                <w:color w:val="auto"/>
                <w:szCs w:val="21"/>
              </w:rPr>
              <w:t>综上所述，本项目符合“三线一单”的相关要求。本项目的建设均符合上述管理要求，项目符合国家及地方的产业政策要求。</w:t>
            </w:r>
          </w:p>
          <w:p w14:paraId="40BE9875">
            <w:pPr>
              <w:spacing w:line="360" w:lineRule="auto"/>
              <w:ind w:firstLine="422" w:firstLineChars="200"/>
              <w:rPr>
                <w:b/>
                <w:bCs/>
                <w:color w:val="auto"/>
                <w:szCs w:val="21"/>
              </w:rPr>
            </w:pPr>
            <w:r>
              <w:rPr>
                <w:rFonts w:hint="eastAsia"/>
                <w:b/>
                <w:bCs/>
                <w:color w:val="auto"/>
                <w:szCs w:val="21"/>
              </w:rPr>
              <w:t>四、</w:t>
            </w:r>
            <w:r>
              <w:rPr>
                <w:b/>
                <w:bCs/>
                <w:color w:val="auto"/>
                <w:szCs w:val="21"/>
              </w:rPr>
              <w:t>与其他相关文件相符性分析</w:t>
            </w:r>
          </w:p>
          <w:p w14:paraId="3AE91A40">
            <w:pPr>
              <w:ind w:firstLine="482"/>
              <w:jc w:val="center"/>
              <w:rPr>
                <w:b/>
                <w:bCs/>
                <w:color w:val="auto"/>
                <w:szCs w:val="21"/>
              </w:rPr>
            </w:pPr>
            <w:r>
              <w:rPr>
                <w:b/>
                <w:bCs/>
                <w:color w:val="auto"/>
                <w:szCs w:val="21"/>
              </w:rPr>
              <w:t>表1-</w:t>
            </w:r>
            <w:r>
              <w:rPr>
                <w:rFonts w:hint="eastAsia"/>
                <w:b/>
                <w:bCs/>
                <w:color w:val="auto"/>
                <w:szCs w:val="21"/>
                <w:lang w:val="en-US" w:eastAsia="zh-CN"/>
              </w:rPr>
              <w:t>8</w:t>
            </w:r>
            <w:r>
              <w:rPr>
                <w:b/>
                <w:bCs/>
                <w:color w:val="auto"/>
                <w:szCs w:val="21"/>
              </w:rPr>
              <w:t xml:space="preserve"> 本项目与相关文件的相符性分析</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214"/>
              <w:gridCol w:w="523"/>
              <w:gridCol w:w="3125"/>
              <w:gridCol w:w="2549"/>
              <w:gridCol w:w="584"/>
            </w:tblGrid>
            <w:tr w14:paraId="147AD98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noWrap w:val="0"/>
                  <w:tcMar>
                    <w:top w:w="0" w:type="dxa"/>
                    <w:left w:w="0" w:type="dxa"/>
                    <w:bottom w:w="0" w:type="dxa"/>
                    <w:right w:w="0" w:type="dxa"/>
                  </w:tcMar>
                  <w:vAlign w:val="center"/>
                </w:tcPr>
                <w:p w14:paraId="3B258D15">
                  <w:pPr>
                    <w:pStyle w:val="75"/>
                    <w:adjustRightInd w:val="0"/>
                    <w:snapToGrid w:val="0"/>
                    <w:spacing w:line="240" w:lineRule="auto"/>
                    <w:rPr>
                      <w:rFonts w:eastAsia="宋体"/>
                      <w:b/>
                      <w:color w:val="auto"/>
                      <w:szCs w:val="21"/>
                    </w:rPr>
                  </w:pPr>
                  <w:r>
                    <w:rPr>
                      <w:rFonts w:eastAsia="宋体"/>
                      <w:b/>
                      <w:color w:val="auto"/>
                      <w:szCs w:val="21"/>
                    </w:rPr>
                    <w:t>文件</w:t>
                  </w:r>
                </w:p>
              </w:tc>
              <w:tc>
                <w:tcPr>
                  <w:tcW w:w="2281" w:type="pct"/>
                  <w:gridSpan w:val="2"/>
                  <w:noWrap w:val="0"/>
                  <w:tcMar>
                    <w:top w:w="0" w:type="dxa"/>
                    <w:left w:w="0" w:type="dxa"/>
                    <w:bottom w:w="0" w:type="dxa"/>
                    <w:right w:w="0" w:type="dxa"/>
                  </w:tcMar>
                  <w:vAlign w:val="center"/>
                </w:tcPr>
                <w:p w14:paraId="4D8C9DF4">
                  <w:pPr>
                    <w:pStyle w:val="75"/>
                    <w:adjustRightInd w:val="0"/>
                    <w:snapToGrid w:val="0"/>
                    <w:spacing w:line="240" w:lineRule="auto"/>
                    <w:rPr>
                      <w:rFonts w:eastAsia="宋体"/>
                      <w:b/>
                      <w:color w:val="auto"/>
                      <w:szCs w:val="21"/>
                    </w:rPr>
                  </w:pPr>
                  <w:r>
                    <w:rPr>
                      <w:rFonts w:eastAsia="宋体"/>
                      <w:b/>
                      <w:color w:val="auto"/>
                      <w:szCs w:val="21"/>
                    </w:rPr>
                    <w:t>与项目相关要求</w:t>
                  </w:r>
                </w:p>
              </w:tc>
              <w:tc>
                <w:tcPr>
                  <w:tcW w:w="1594" w:type="pct"/>
                  <w:noWrap w:val="0"/>
                  <w:tcMar>
                    <w:top w:w="0" w:type="dxa"/>
                    <w:left w:w="0" w:type="dxa"/>
                    <w:bottom w:w="0" w:type="dxa"/>
                    <w:right w:w="0" w:type="dxa"/>
                  </w:tcMar>
                  <w:vAlign w:val="center"/>
                </w:tcPr>
                <w:p w14:paraId="0E8C826B">
                  <w:pPr>
                    <w:pStyle w:val="75"/>
                    <w:adjustRightInd w:val="0"/>
                    <w:snapToGrid w:val="0"/>
                    <w:spacing w:line="240" w:lineRule="auto"/>
                    <w:rPr>
                      <w:rFonts w:eastAsia="宋体"/>
                      <w:b/>
                      <w:color w:val="auto"/>
                      <w:szCs w:val="21"/>
                    </w:rPr>
                  </w:pPr>
                  <w:r>
                    <w:rPr>
                      <w:rFonts w:eastAsia="宋体"/>
                      <w:b/>
                      <w:color w:val="auto"/>
                      <w:szCs w:val="21"/>
                    </w:rPr>
                    <w:t>本项目相符性分析</w:t>
                  </w:r>
                </w:p>
              </w:tc>
              <w:tc>
                <w:tcPr>
                  <w:tcW w:w="365" w:type="pct"/>
                  <w:noWrap w:val="0"/>
                  <w:tcMar>
                    <w:top w:w="0" w:type="dxa"/>
                    <w:left w:w="0" w:type="dxa"/>
                    <w:bottom w:w="0" w:type="dxa"/>
                    <w:right w:w="0" w:type="dxa"/>
                  </w:tcMar>
                  <w:vAlign w:val="center"/>
                </w:tcPr>
                <w:p w14:paraId="19830A21">
                  <w:pPr>
                    <w:pStyle w:val="75"/>
                    <w:adjustRightInd w:val="0"/>
                    <w:snapToGrid w:val="0"/>
                    <w:spacing w:line="240" w:lineRule="auto"/>
                    <w:rPr>
                      <w:rFonts w:eastAsia="宋体"/>
                      <w:b/>
                      <w:color w:val="auto"/>
                      <w:szCs w:val="21"/>
                    </w:rPr>
                  </w:pPr>
                  <w:r>
                    <w:rPr>
                      <w:rFonts w:eastAsia="宋体"/>
                      <w:b/>
                      <w:color w:val="auto"/>
                      <w:szCs w:val="21"/>
                    </w:rPr>
                    <w:t>是否</w:t>
                  </w:r>
                </w:p>
                <w:p w14:paraId="4919AC15">
                  <w:pPr>
                    <w:pStyle w:val="75"/>
                    <w:adjustRightInd w:val="0"/>
                    <w:snapToGrid w:val="0"/>
                    <w:spacing w:line="240" w:lineRule="auto"/>
                    <w:rPr>
                      <w:rFonts w:eastAsia="宋体"/>
                      <w:b/>
                      <w:color w:val="auto"/>
                      <w:szCs w:val="21"/>
                    </w:rPr>
                  </w:pPr>
                  <w:r>
                    <w:rPr>
                      <w:rFonts w:eastAsia="宋体"/>
                      <w:b/>
                      <w:color w:val="auto"/>
                      <w:szCs w:val="21"/>
                    </w:rPr>
                    <w:t>相符</w:t>
                  </w:r>
                </w:p>
              </w:tc>
            </w:tr>
            <w:tr w14:paraId="64F8A7A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02" w:hRule="atLeast"/>
                <w:jc w:val="center"/>
              </w:trPr>
              <w:tc>
                <w:tcPr>
                  <w:tcW w:w="759" w:type="pct"/>
                  <w:vMerge w:val="restart"/>
                  <w:noWrap w:val="0"/>
                  <w:tcMar>
                    <w:top w:w="0" w:type="dxa"/>
                    <w:left w:w="0" w:type="dxa"/>
                    <w:bottom w:w="0" w:type="dxa"/>
                    <w:right w:w="0" w:type="dxa"/>
                  </w:tcMar>
                  <w:vAlign w:val="center"/>
                </w:tcPr>
                <w:p w14:paraId="1BAD8A91">
                  <w:pPr>
                    <w:pStyle w:val="75"/>
                    <w:adjustRightInd w:val="0"/>
                    <w:snapToGrid w:val="0"/>
                    <w:spacing w:line="240" w:lineRule="auto"/>
                    <w:rPr>
                      <w:rFonts w:eastAsia="宋体"/>
                      <w:bCs/>
                      <w:color w:val="auto"/>
                      <w:szCs w:val="21"/>
                    </w:rPr>
                  </w:pPr>
                  <w:r>
                    <w:rPr>
                      <w:rFonts w:eastAsia="宋体"/>
                      <w:bCs/>
                      <w:color w:val="auto"/>
                      <w:szCs w:val="21"/>
                    </w:rPr>
                    <w:t>《江苏省大气污染物防治条例》</w:t>
                  </w:r>
                </w:p>
              </w:tc>
              <w:tc>
                <w:tcPr>
                  <w:tcW w:w="2281" w:type="pct"/>
                  <w:gridSpan w:val="2"/>
                  <w:noWrap w:val="0"/>
                  <w:tcMar>
                    <w:top w:w="0" w:type="dxa"/>
                    <w:left w:w="0" w:type="dxa"/>
                    <w:bottom w:w="0" w:type="dxa"/>
                    <w:right w:w="0" w:type="dxa"/>
                  </w:tcMar>
                  <w:vAlign w:val="center"/>
                </w:tcPr>
                <w:p w14:paraId="4C41C043">
                  <w:pPr>
                    <w:pStyle w:val="75"/>
                    <w:adjustRightInd w:val="0"/>
                    <w:snapToGrid w:val="0"/>
                    <w:spacing w:line="240" w:lineRule="auto"/>
                    <w:jc w:val="both"/>
                    <w:rPr>
                      <w:rFonts w:eastAsia="宋体"/>
                      <w:color w:val="auto"/>
                      <w:szCs w:val="21"/>
                    </w:rPr>
                  </w:pPr>
                  <w:r>
                    <w:rPr>
                      <w:rFonts w:eastAsia="宋体"/>
                      <w:color w:val="auto"/>
                      <w:szCs w:val="21"/>
                    </w:rPr>
                    <w:t>禁止使用列入淘汰名录的高污染工艺设备。淘汰的高污染工艺设备，企业不得转让给他人使用。</w:t>
                  </w:r>
                </w:p>
              </w:tc>
              <w:tc>
                <w:tcPr>
                  <w:tcW w:w="1594" w:type="pct"/>
                  <w:noWrap w:val="0"/>
                  <w:tcMar>
                    <w:top w:w="0" w:type="dxa"/>
                    <w:left w:w="0" w:type="dxa"/>
                    <w:bottom w:w="0" w:type="dxa"/>
                    <w:right w:w="0" w:type="dxa"/>
                  </w:tcMar>
                  <w:vAlign w:val="center"/>
                </w:tcPr>
                <w:p w14:paraId="606CA9B8">
                  <w:pPr>
                    <w:pStyle w:val="75"/>
                    <w:adjustRightInd w:val="0"/>
                    <w:snapToGrid w:val="0"/>
                    <w:spacing w:line="240" w:lineRule="auto"/>
                    <w:rPr>
                      <w:rFonts w:hint="eastAsia" w:eastAsia="宋体"/>
                      <w:color w:val="auto"/>
                      <w:szCs w:val="21"/>
                      <w:lang w:eastAsia="zh-CN"/>
                    </w:rPr>
                  </w:pPr>
                  <w:r>
                    <w:rPr>
                      <w:rFonts w:eastAsia="宋体"/>
                      <w:color w:val="auto"/>
                      <w:szCs w:val="21"/>
                    </w:rPr>
                    <w:t>项目不使用淘汰的高污染工艺设备</w:t>
                  </w:r>
                  <w:r>
                    <w:rPr>
                      <w:rFonts w:hint="eastAsia" w:eastAsia="宋体"/>
                      <w:color w:val="auto"/>
                      <w:szCs w:val="21"/>
                      <w:lang w:eastAsia="zh-CN"/>
                    </w:rPr>
                    <w:t>。</w:t>
                  </w:r>
                </w:p>
              </w:tc>
              <w:tc>
                <w:tcPr>
                  <w:tcW w:w="365" w:type="pct"/>
                  <w:noWrap w:val="0"/>
                  <w:tcMar>
                    <w:top w:w="0" w:type="dxa"/>
                    <w:left w:w="0" w:type="dxa"/>
                    <w:bottom w:w="0" w:type="dxa"/>
                    <w:right w:w="0" w:type="dxa"/>
                  </w:tcMar>
                  <w:vAlign w:val="center"/>
                </w:tcPr>
                <w:p w14:paraId="20940740">
                  <w:pPr>
                    <w:pStyle w:val="75"/>
                    <w:adjustRightInd w:val="0"/>
                    <w:snapToGrid w:val="0"/>
                    <w:spacing w:line="240" w:lineRule="auto"/>
                    <w:rPr>
                      <w:rFonts w:eastAsia="宋体"/>
                      <w:color w:val="auto"/>
                      <w:szCs w:val="21"/>
                    </w:rPr>
                  </w:pPr>
                  <w:r>
                    <w:rPr>
                      <w:rFonts w:eastAsia="宋体"/>
                      <w:color w:val="auto"/>
                      <w:szCs w:val="21"/>
                    </w:rPr>
                    <w:t>相符</w:t>
                  </w:r>
                </w:p>
              </w:tc>
            </w:tr>
            <w:tr w14:paraId="0FB21D6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759" w:type="pct"/>
                  <w:vMerge w:val="continue"/>
                  <w:noWrap w:val="0"/>
                  <w:tcMar>
                    <w:top w:w="0" w:type="dxa"/>
                    <w:left w:w="0" w:type="dxa"/>
                    <w:bottom w:w="0" w:type="dxa"/>
                    <w:right w:w="0" w:type="dxa"/>
                  </w:tcMar>
                  <w:vAlign w:val="center"/>
                </w:tcPr>
                <w:p w14:paraId="2B7ECC7E">
                  <w:pPr>
                    <w:pStyle w:val="75"/>
                    <w:adjustRightInd w:val="0"/>
                    <w:snapToGrid w:val="0"/>
                    <w:spacing w:line="240" w:lineRule="auto"/>
                    <w:rPr>
                      <w:rFonts w:eastAsia="宋体"/>
                      <w:bCs/>
                      <w:color w:val="auto"/>
                      <w:szCs w:val="21"/>
                    </w:rPr>
                  </w:pPr>
                </w:p>
              </w:tc>
              <w:tc>
                <w:tcPr>
                  <w:tcW w:w="2281" w:type="pct"/>
                  <w:gridSpan w:val="2"/>
                  <w:noWrap w:val="0"/>
                  <w:tcMar>
                    <w:top w:w="0" w:type="dxa"/>
                    <w:left w:w="0" w:type="dxa"/>
                    <w:bottom w:w="0" w:type="dxa"/>
                    <w:right w:w="0" w:type="dxa"/>
                  </w:tcMar>
                  <w:vAlign w:val="center"/>
                </w:tcPr>
                <w:p w14:paraId="7A5AA6C4">
                  <w:pPr>
                    <w:pStyle w:val="75"/>
                    <w:adjustRightInd w:val="0"/>
                    <w:snapToGrid w:val="0"/>
                    <w:spacing w:line="240" w:lineRule="auto"/>
                    <w:jc w:val="both"/>
                    <w:rPr>
                      <w:rFonts w:eastAsia="宋体"/>
                      <w:color w:val="auto"/>
                      <w:szCs w:val="21"/>
                    </w:rPr>
                  </w:pPr>
                  <w:r>
                    <w:rPr>
                      <w:rFonts w:eastAsia="宋体"/>
                      <w:color w:val="auto"/>
                      <w:szCs w:val="21"/>
                    </w:rPr>
                    <w:t>企业应当使用资源利用率高、污染物排放量少的工艺、设备，采用最佳实用大气污染控制技术，减少大气污染物的产生。</w:t>
                  </w:r>
                </w:p>
              </w:tc>
              <w:tc>
                <w:tcPr>
                  <w:tcW w:w="1594" w:type="pct"/>
                  <w:noWrap w:val="0"/>
                  <w:tcMar>
                    <w:top w:w="0" w:type="dxa"/>
                    <w:left w:w="0" w:type="dxa"/>
                    <w:bottom w:w="0" w:type="dxa"/>
                    <w:right w:w="0" w:type="dxa"/>
                  </w:tcMar>
                  <w:vAlign w:val="center"/>
                </w:tcPr>
                <w:p w14:paraId="250E375E">
                  <w:pPr>
                    <w:pStyle w:val="75"/>
                    <w:adjustRightInd w:val="0"/>
                    <w:snapToGrid w:val="0"/>
                    <w:spacing w:line="240" w:lineRule="auto"/>
                    <w:jc w:val="both"/>
                    <w:rPr>
                      <w:rFonts w:hint="eastAsia" w:eastAsia="宋体"/>
                      <w:color w:val="auto"/>
                      <w:szCs w:val="21"/>
                      <w:lang w:eastAsia="zh-CN"/>
                    </w:rPr>
                  </w:pPr>
                  <w:r>
                    <w:rPr>
                      <w:rFonts w:hint="eastAsia" w:eastAsia="宋体" w:cs="Times New Roman"/>
                      <w:color w:val="auto"/>
                      <w:szCs w:val="21"/>
                      <w:lang w:val="en-US" w:eastAsia="zh-CN"/>
                    </w:rPr>
                    <w:t>本项目</w:t>
                  </w:r>
                  <w:r>
                    <w:rPr>
                      <w:rFonts w:hint="default" w:ascii="Times New Roman" w:hAnsi="Times New Roman" w:eastAsia="宋体" w:cs="Times New Roman"/>
                      <w:color w:val="auto"/>
                      <w:szCs w:val="21"/>
                    </w:rPr>
                    <w:t>配料、投料粉尘半密闭收集至布袋除尘器处理后通过1根15米高排气筒DA001排放，挤出、烘干、测试废气半密闭收集至1套“水喷淋塔+除湿器+二级活性炭吸附装置”处理后通过1根15米高排气筒DA002排放，破碎过程密闭操作，产生的微量粉尘无组织排放。</w:t>
                  </w:r>
                  <w:r>
                    <w:rPr>
                      <w:rFonts w:eastAsia="宋体"/>
                      <w:color w:val="auto"/>
                      <w:szCs w:val="21"/>
                    </w:rPr>
                    <w:t>废气经处理后均可达标排放，对大气环境影响较小，不会对区域大气环境质量造成明显影响</w:t>
                  </w:r>
                  <w:r>
                    <w:rPr>
                      <w:rFonts w:hint="eastAsia" w:eastAsia="宋体"/>
                      <w:color w:val="auto"/>
                      <w:szCs w:val="21"/>
                      <w:lang w:eastAsia="zh-CN"/>
                    </w:rPr>
                    <w:t>。</w:t>
                  </w:r>
                </w:p>
              </w:tc>
              <w:tc>
                <w:tcPr>
                  <w:tcW w:w="365" w:type="pct"/>
                  <w:noWrap w:val="0"/>
                  <w:tcMar>
                    <w:top w:w="0" w:type="dxa"/>
                    <w:left w:w="0" w:type="dxa"/>
                    <w:bottom w:w="0" w:type="dxa"/>
                    <w:right w:w="0" w:type="dxa"/>
                  </w:tcMar>
                  <w:vAlign w:val="center"/>
                </w:tcPr>
                <w:p w14:paraId="01137341">
                  <w:pPr>
                    <w:adjustRightInd w:val="0"/>
                    <w:snapToGrid w:val="0"/>
                    <w:jc w:val="center"/>
                    <w:rPr>
                      <w:color w:val="auto"/>
                      <w:szCs w:val="21"/>
                    </w:rPr>
                  </w:pPr>
                  <w:r>
                    <w:rPr>
                      <w:color w:val="auto"/>
                      <w:szCs w:val="21"/>
                    </w:rPr>
                    <w:t>相符</w:t>
                  </w:r>
                </w:p>
              </w:tc>
            </w:tr>
            <w:tr w14:paraId="5C7C00A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31DE194D">
                  <w:pPr>
                    <w:pStyle w:val="75"/>
                    <w:adjustRightInd w:val="0"/>
                    <w:snapToGrid w:val="0"/>
                    <w:spacing w:line="240" w:lineRule="auto"/>
                    <w:rPr>
                      <w:rFonts w:eastAsia="宋体"/>
                      <w:bCs/>
                      <w:color w:val="auto"/>
                      <w:szCs w:val="21"/>
                    </w:rPr>
                  </w:pPr>
                </w:p>
              </w:tc>
              <w:tc>
                <w:tcPr>
                  <w:tcW w:w="2281" w:type="pct"/>
                  <w:gridSpan w:val="2"/>
                  <w:noWrap w:val="0"/>
                  <w:tcMar>
                    <w:top w:w="0" w:type="dxa"/>
                    <w:left w:w="0" w:type="dxa"/>
                    <w:bottom w:w="0" w:type="dxa"/>
                    <w:right w:w="0" w:type="dxa"/>
                  </w:tcMar>
                  <w:vAlign w:val="center"/>
                </w:tcPr>
                <w:p w14:paraId="652556E4">
                  <w:pPr>
                    <w:pStyle w:val="75"/>
                    <w:adjustRightInd w:val="0"/>
                    <w:snapToGrid w:val="0"/>
                    <w:spacing w:line="240" w:lineRule="auto"/>
                    <w:jc w:val="both"/>
                    <w:rPr>
                      <w:rFonts w:eastAsia="宋体"/>
                      <w:color w:val="auto"/>
                      <w:szCs w:val="21"/>
                    </w:rPr>
                  </w:pPr>
                  <w:r>
                    <w:rPr>
                      <w:rFonts w:eastAsia="宋体"/>
                      <w:color w:val="auto"/>
                      <w:szCs w:val="21"/>
                    </w:rPr>
                    <w:t>产生挥发性有机物废气的生产经营活动，应当在密闭空间或者设备中进行，并设置废气收集和处理系统等污染防治设施，保持其正常使用。</w:t>
                  </w:r>
                </w:p>
              </w:tc>
              <w:tc>
                <w:tcPr>
                  <w:tcW w:w="1594" w:type="pct"/>
                  <w:noWrap w:val="0"/>
                  <w:tcMar>
                    <w:top w:w="0" w:type="dxa"/>
                    <w:left w:w="0" w:type="dxa"/>
                    <w:bottom w:w="0" w:type="dxa"/>
                    <w:right w:w="0" w:type="dxa"/>
                  </w:tcMar>
                  <w:vAlign w:val="center"/>
                </w:tcPr>
                <w:p w14:paraId="3AE4983A">
                  <w:pPr>
                    <w:pStyle w:val="75"/>
                    <w:adjustRightInd w:val="0"/>
                    <w:snapToGrid w:val="0"/>
                    <w:spacing w:line="240" w:lineRule="auto"/>
                    <w:jc w:val="both"/>
                    <w:rPr>
                      <w:rFonts w:eastAsia="宋体"/>
                      <w:color w:val="auto"/>
                      <w:szCs w:val="21"/>
                    </w:rPr>
                  </w:pPr>
                  <w:r>
                    <w:rPr>
                      <w:rFonts w:eastAsia="宋体"/>
                      <w:color w:val="auto"/>
                      <w:szCs w:val="21"/>
                    </w:rPr>
                    <w:t>本项目</w:t>
                  </w:r>
                  <w:r>
                    <w:rPr>
                      <w:rFonts w:hint="eastAsia" w:eastAsia="宋体"/>
                      <w:color w:val="auto"/>
                      <w:szCs w:val="21"/>
                    </w:rPr>
                    <w:t>配料、投料粉尘半密闭收集至布袋除尘器处理后通过1根15米高排气筒DA001排放，挤出、烘干、测试废气半密闭收集至1套“水喷淋塔+除湿器+二级活性炭吸附装置”处理后通过1根15米高排气筒DA002排放，破碎过程密闭操作，产生的微量粉尘无组织排放</w:t>
                  </w:r>
                  <w:r>
                    <w:rPr>
                      <w:rFonts w:eastAsia="宋体"/>
                      <w:color w:val="auto"/>
                      <w:szCs w:val="21"/>
                    </w:rPr>
                    <w:t>，</w:t>
                  </w:r>
                  <w:r>
                    <w:rPr>
                      <w:rFonts w:hint="eastAsia" w:eastAsia="宋体"/>
                      <w:color w:val="auto"/>
                      <w:szCs w:val="21"/>
                      <w:lang w:val="en-US" w:eastAsia="zh-CN"/>
                    </w:rPr>
                    <w:t>有机</w:t>
                  </w:r>
                  <w:r>
                    <w:rPr>
                      <w:rFonts w:hint="eastAsia" w:eastAsia="宋体"/>
                      <w:bCs/>
                      <w:color w:val="auto"/>
                      <w:szCs w:val="21"/>
                    </w:rPr>
                    <w:t>废气收集、净化处理效率均不低于90%</w:t>
                  </w:r>
                </w:p>
              </w:tc>
              <w:tc>
                <w:tcPr>
                  <w:tcW w:w="365" w:type="pct"/>
                  <w:noWrap w:val="0"/>
                  <w:tcMar>
                    <w:top w:w="0" w:type="dxa"/>
                    <w:left w:w="0" w:type="dxa"/>
                    <w:bottom w:w="0" w:type="dxa"/>
                    <w:right w:w="0" w:type="dxa"/>
                  </w:tcMar>
                  <w:vAlign w:val="center"/>
                </w:tcPr>
                <w:p w14:paraId="20C1894B">
                  <w:pPr>
                    <w:adjustRightInd w:val="0"/>
                    <w:snapToGrid w:val="0"/>
                    <w:jc w:val="center"/>
                    <w:rPr>
                      <w:color w:val="auto"/>
                      <w:szCs w:val="21"/>
                    </w:rPr>
                  </w:pPr>
                  <w:r>
                    <w:rPr>
                      <w:color w:val="auto"/>
                      <w:szCs w:val="21"/>
                    </w:rPr>
                    <w:t>相符</w:t>
                  </w:r>
                </w:p>
              </w:tc>
            </w:tr>
            <w:tr w14:paraId="7001D2C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restart"/>
                  <w:noWrap w:val="0"/>
                  <w:tcMar>
                    <w:top w:w="0" w:type="dxa"/>
                    <w:left w:w="0" w:type="dxa"/>
                    <w:bottom w:w="0" w:type="dxa"/>
                    <w:right w:w="0" w:type="dxa"/>
                  </w:tcMar>
                  <w:vAlign w:val="center"/>
                </w:tcPr>
                <w:p w14:paraId="09A87ED4">
                  <w:pPr>
                    <w:pStyle w:val="75"/>
                    <w:adjustRightInd w:val="0"/>
                    <w:snapToGrid w:val="0"/>
                    <w:spacing w:line="240" w:lineRule="auto"/>
                    <w:rPr>
                      <w:rFonts w:eastAsia="宋体"/>
                      <w:bCs/>
                      <w:color w:val="auto"/>
                      <w:szCs w:val="21"/>
                    </w:rPr>
                  </w:pPr>
                  <w:r>
                    <w:rPr>
                      <w:rFonts w:eastAsia="宋体"/>
                      <w:bCs/>
                      <w:color w:val="auto"/>
                      <w:szCs w:val="21"/>
                    </w:rPr>
                    <w:t>《关于印发＜江苏省重点行业挥发性有机物污染控制指南＞的通知》（苏环办[2014]128号文）</w:t>
                  </w:r>
                </w:p>
              </w:tc>
              <w:tc>
                <w:tcPr>
                  <w:tcW w:w="2281" w:type="pct"/>
                  <w:gridSpan w:val="2"/>
                  <w:noWrap w:val="0"/>
                  <w:tcMar>
                    <w:top w:w="0" w:type="dxa"/>
                    <w:left w:w="0" w:type="dxa"/>
                    <w:bottom w:w="0" w:type="dxa"/>
                    <w:right w:w="0" w:type="dxa"/>
                  </w:tcMar>
                  <w:vAlign w:val="center"/>
                </w:tcPr>
                <w:p w14:paraId="23E6EAA1">
                  <w:pPr>
                    <w:pStyle w:val="75"/>
                    <w:adjustRightInd w:val="0"/>
                    <w:snapToGrid w:val="0"/>
                    <w:spacing w:line="240" w:lineRule="auto"/>
                    <w:jc w:val="both"/>
                    <w:rPr>
                      <w:rFonts w:eastAsia="宋体"/>
                      <w:color w:val="auto"/>
                      <w:szCs w:val="21"/>
                    </w:rPr>
                  </w:pPr>
                  <w:r>
                    <w:rPr>
                      <w:rFonts w:eastAsia="宋体"/>
                      <w:color w:val="auto"/>
                      <w:szCs w:val="21"/>
                    </w:rPr>
                    <w:t>所有产生有机废气污染的企业，应优先采用环保型原辅料、生产工艺和装备，对相应生产单元或设施进行密闭，从源头控制VOCs的产生，减少废气污染物排放。</w:t>
                  </w:r>
                </w:p>
              </w:tc>
              <w:tc>
                <w:tcPr>
                  <w:tcW w:w="1594" w:type="pct"/>
                  <w:noWrap w:val="0"/>
                  <w:tcMar>
                    <w:top w:w="0" w:type="dxa"/>
                    <w:left w:w="0" w:type="dxa"/>
                    <w:bottom w:w="0" w:type="dxa"/>
                    <w:right w:w="0" w:type="dxa"/>
                  </w:tcMar>
                  <w:vAlign w:val="center"/>
                </w:tcPr>
                <w:p w14:paraId="18A42020">
                  <w:pPr>
                    <w:pStyle w:val="75"/>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本项目配料、投料粉尘半密闭收集至布袋除尘器处理后通过1根15米高排气筒DA001排放，挤出、烘干、测试废气半密闭收集至1套“水喷淋塔+除湿器+二级活性炭吸附装置”处理后通过1根15米高排气筒DA002排放，破碎过程密闭操作，产生的微量粉尘无组织排放</w:t>
                  </w:r>
                  <w:r>
                    <w:rPr>
                      <w:rFonts w:hint="eastAsia" w:ascii="Times New Roman" w:hAnsi="Times New Roman" w:eastAsia="宋体" w:cs="Times New Roman"/>
                      <w:color w:val="auto"/>
                      <w:sz w:val="21"/>
                      <w:szCs w:val="21"/>
                      <w:lang w:val="en-US" w:eastAsia="zh-CN"/>
                    </w:rPr>
                    <w:t>。废气经处理后均可达标排放，不会对区域大气环境质量造成明显影响。</w:t>
                  </w:r>
                </w:p>
              </w:tc>
              <w:tc>
                <w:tcPr>
                  <w:tcW w:w="365" w:type="pct"/>
                  <w:noWrap w:val="0"/>
                  <w:tcMar>
                    <w:top w:w="0" w:type="dxa"/>
                    <w:left w:w="0" w:type="dxa"/>
                    <w:bottom w:w="0" w:type="dxa"/>
                    <w:right w:w="0" w:type="dxa"/>
                  </w:tcMar>
                  <w:vAlign w:val="center"/>
                </w:tcPr>
                <w:p w14:paraId="066B5B5B">
                  <w:pPr>
                    <w:pStyle w:val="75"/>
                    <w:adjustRightInd w:val="0"/>
                    <w:snapToGrid w:val="0"/>
                    <w:spacing w:line="240" w:lineRule="auto"/>
                    <w:rPr>
                      <w:rFonts w:eastAsia="宋体"/>
                      <w:color w:val="auto"/>
                      <w:szCs w:val="21"/>
                    </w:rPr>
                  </w:pPr>
                  <w:r>
                    <w:rPr>
                      <w:rFonts w:eastAsia="宋体"/>
                      <w:color w:val="auto"/>
                      <w:szCs w:val="21"/>
                    </w:rPr>
                    <w:t>相符</w:t>
                  </w:r>
                </w:p>
              </w:tc>
            </w:tr>
            <w:tr w14:paraId="5A6C27B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30AD0521">
                  <w:pPr>
                    <w:pStyle w:val="75"/>
                    <w:adjustRightInd w:val="0"/>
                    <w:snapToGrid w:val="0"/>
                    <w:spacing w:line="240" w:lineRule="auto"/>
                    <w:rPr>
                      <w:rFonts w:eastAsia="宋体"/>
                      <w:bCs/>
                      <w:color w:val="auto"/>
                      <w:szCs w:val="21"/>
                    </w:rPr>
                  </w:pPr>
                </w:p>
              </w:tc>
              <w:tc>
                <w:tcPr>
                  <w:tcW w:w="2281" w:type="pct"/>
                  <w:gridSpan w:val="2"/>
                  <w:noWrap w:val="0"/>
                  <w:tcMar>
                    <w:top w:w="0" w:type="dxa"/>
                    <w:left w:w="0" w:type="dxa"/>
                    <w:bottom w:w="0" w:type="dxa"/>
                    <w:right w:w="0" w:type="dxa"/>
                  </w:tcMar>
                  <w:vAlign w:val="center"/>
                </w:tcPr>
                <w:p w14:paraId="107C8335">
                  <w:pPr>
                    <w:pStyle w:val="75"/>
                    <w:adjustRightInd w:val="0"/>
                    <w:snapToGrid w:val="0"/>
                    <w:spacing w:line="240" w:lineRule="auto"/>
                    <w:jc w:val="both"/>
                    <w:rPr>
                      <w:rFonts w:hint="eastAsia" w:eastAsia="宋体"/>
                      <w:color w:val="auto"/>
                      <w:szCs w:val="21"/>
                    </w:rPr>
                  </w:pPr>
                  <w:r>
                    <w:rPr>
                      <w:rFonts w:eastAsia="宋体"/>
                      <w:color w:val="auto"/>
                      <w:szCs w:val="21"/>
                    </w:rPr>
                    <w:t>鼓励对排放的非甲烷总烃进行回收利用，并优先在生产系统内回用。对浓度、性状差异较大的废气应分类收集，并采用适宜的方式进行有效处理，确保非甲烷总烃总去除率满足管要求，其中有机化工、</w:t>
                  </w:r>
                  <w:r>
                    <w:rPr>
                      <w:rFonts w:hint="eastAsia" w:eastAsia="宋体"/>
                      <w:color w:val="auto"/>
                      <w:szCs w:val="21"/>
                    </w:rPr>
                    <w:t>医药化工、橡胶和塑料制品(有溶剂浸胶工艺)、溶剂型涂料表面涂装、包装印刷业的VOCS总收集、净化处理率均不低于90%，其他行业原则上不低于75%。</w:t>
                  </w:r>
                </w:p>
              </w:tc>
              <w:tc>
                <w:tcPr>
                  <w:tcW w:w="1594" w:type="pct"/>
                  <w:noWrap w:val="0"/>
                  <w:tcMar>
                    <w:top w:w="0" w:type="dxa"/>
                    <w:left w:w="0" w:type="dxa"/>
                    <w:bottom w:w="0" w:type="dxa"/>
                    <w:right w:w="0" w:type="dxa"/>
                  </w:tcMar>
                  <w:vAlign w:val="center"/>
                </w:tcPr>
                <w:p w14:paraId="1AA97C05">
                  <w:pPr>
                    <w:pStyle w:val="75"/>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本项目</w:t>
                  </w:r>
                  <w:r>
                    <w:rPr>
                      <w:rFonts w:hint="default" w:ascii="Times New Roman" w:hAnsi="Times New Roman" w:eastAsia="宋体" w:cs="Times New Roman"/>
                      <w:color w:val="auto"/>
                      <w:sz w:val="21"/>
                      <w:szCs w:val="21"/>
                      <w:lang w:val="en-US" w:eastAsia="zh-CN"/>
                    </w:rPr>
                    <w:t>配料、投料粉尘半密闭收集至布袋除尘器处理后通过1根15米高排气筒DA001排放，挤出、烘干、测试废气半密闭收集至1套“水喷淋塔+除湿器+二级活性炭吸附装置”处理后通过1根15米高排气筒DA002排放，破碎过程密闭操作，产生的微量粉尘无组织排放，</w:t>
                  </w:r>
                  <w:r>
                    <w:rPr>
                      <w:rFonts w:hint="eastAsia" w:eastAsia="宋体" w:cs="Times New Roman"/>
                      <w:color w:val="auto"/>
                      <w:sz w:val="21"/>
                      <w:szCs w:val="21"/>
                      <w:lang w:val="en-US" w:eastAsia="zh-CN"/>
                    </w:rPr>
                    <w:t>有机</w:t>
                  </w:r>
                  <w:r>
                    <w:rPr>
                      <w:rFonts w:hint="default" w:ascii="Times New Roman" w:hAnsi="Times New Roman" w:eastAsia="宋体" w:cs="Times New Roman"/>
                      <w:bCs/>
                      <w:color w:val="auto"/>
                      <w:sz w:val="21"/>
                      <w:szCs w:val="21"/>
                      <w:lang w:eastAsia="zh-CN"/>
                    </w:rPr>
                    <w:t>废气收集、净化处理效率均不低于90%。</w:t>
                  </w:r>
                </w:p>
              </w:tc>
              <w:tc>
                <w:tcPr>
                  <w:tcW w:w="365" w:type="pct"/>
                  <w:noWrap w:val="0"/>
                  <w:tcMar>
                    <w:top w:w="0" w:type="dxa"/>
                    <w:left w:w="0" w:type="dxa"/>
                    <w:bottom w:w="0" w:type="dxa"/>
                    <w:right w:w="0" w:type="dxa"/>
                  </w:tcMar>
                  <w:vAlign w:val="center"/>
                </w:tcPr>
                <w:p w14:paraId="1A27FBF4">
                  <w:pPr>
                    <w:pStyle w:val="75"/>
                    <w:adjustRightInd w:val="0"/>
                    <w:snapToGrid w:val="0"/>
                    <w:spacing w:line="240" w:lineRule="auto"/>
                    <w:rPr>
                      <w:rFonts w:eastAsia="宋体"/>
                      <w:color w:val="auto"/>
                      <w:szCs w:val="21"/>
                    </w:rPr>
                  </w:pPr>
                  <w:r>
                    <w:rPr>
                      <w:rFonts w:eastAsia="宋体"/>
                      <w:color w:val="auto"/>
                      <w:szCs w:val="21"/>
                    </w:rPr>
                    <w:t>相符</w:t>
                  </w:r>
                </w:p>
              </w:tc>
            </w:tr>
            <w:tr w14:paraId="608A089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restart"/>
                  <w:noWrap w:val="0"/>
                  <w:tcMar>
                    <w:top w:w="0" w:type="dxa"/>
                    <w:left w:w="0" w:type="dxa"/>
                    <w:bottom w:w="0" w:type="dxa"/>
                    <w:right w:w="0" w:type="dxa"/>
                  </w:tcMar>
                  <w:vAlign w:val="center"/>
                </w:tcPr>
                <w:p w14:paraId="5AF4E800">
                  <w:pPr>
                    <w:pStyle w:val="75"/>
                    <w:adjustRightInd w:val="0"/>
                    <w:snapToGrid w:val="0"/>
                    <w:spacing w:line="240" w:lineRule="auto"/>
                    <w:rPr>
                      <w:rFonts w:eastAsia="宋体"/>
                      <w:bCs/>
                      <w:color w:val="auto"/>
                      <w:szCs w:val="21"/>
                    </w:rPr>
                  </w:pPr>
                  <w:r>
                    <w:rPr>
                      <w:rFonts w:eastAsia="宋体"/>
                      <w:bCs/>
                      <w:color w:val="auto"/>
                      <w:szCs w:val="21"/>
                    </w:rPr>
                    <w:t>《生态环境部关于印发〈重点行业挥发性有机物综合治理方案〉的通知》（环大气[2019]53号）</w:t>
                  </w:r>
                </w:p>
              </w:tc>
              <w:tc>
                <w:tcPr>
                  <w:tcW w:w="327" w:type="pct"/>
                  <w:noWrap w:val="0"/>
                  <w:tcMar>
                    <w:top w:w="0" w:type="dxa"/>
                    <w:left w:w="0" w:type="dxa"/>
                    <w:bottom w:w="0" w:type="dxa"/>
                    <w:right w:w="0" w:type="dxa"/>
                  </w:tcMar>
                  <w:vAlign w:val="center"/>
                </w:tcPr>
                <w:p w14:paraId="6AC260F1">
                  <w:pPr>
                    <w:pStyle w:val="75"/>
                    <w:adjustRightInd w:val="0"/>
                    <w:snapToGrid w:val="0"/>
                    <w:spacing w:line="240" w:lineRule="auto"/>
                    <w:rPr>
                      <w:rFonts w:eastAsia="宋体"/>
                      <w:color w:val="auto"/>
                      <w:szCs w:val="21"/>
                    </w:rPr>
                  </w:pPr>
                  <w:r>
                    <w:rPr>
                      <w:rFonts w:hint="eastAsia" w:eastAsia="宋体"/>
                      <w:bCs/>
                      <w:color w:val="auto"/>
                      <w:szCs w:val="21"/>
                    </w:rPr>
                    <w:t>全面加强无组织排放控制</w:t>
                  </w:r>
                </w:p>
              </w:tc>
              <w:tc>
                <w:tcPr>
                  <w:tcW w:w="1954" w:type="pct"/>
                  <w:noWrap w:val="0"/>
                  <w:tcMar>
                    <w:top w:w="0" w:type="dxa"/>
                    <w:left w:w="0" w:type="dxa"/>
                    <w:bottom w:w="0" w:type="dxa"/>
                    <w:right w:w="0" w:type="dxa"/>
                  </w:tcMar>
                  <w:vAlign w:val="center"/>
                </w:tcPr>
                <w:p w14:paraId="10C735A5">
                  <w:pPr>
                    <w:suppressAutoHyphens/>
                    <w:rPr>
                      <w:bCs/>
                      <w:color w:val="auto"/>
                      <w:szCs w:val="21"/>
                    </w:rPr>
                  </w:pPr>
                  <w:r>
                    <w:rPr>
                      <w:rFonts w:hint="eastAsia"/>
                      <w:bCs/>
                      <w:color w:val="auto"/>
                      <w:szCs w:val="21"/>
                    </w:rPr>
                    <w:t>重点对含VOCs物料（包括含VOCs原辅材料、含VOCs产品、含VOCs废料以及有机聚合物材料等）储存、转移和输送、设备与管线组件泄漏、敞开液面逸散以及工艺过程等五类排放源实施管控，通过采取设备与场所密闭、工艺改进、废气有效收集等措施，削减VOCs无组织排放。含VOCs物料生产和使用过程，应采取有效收集措施或在密闭空间中操作。</w:t>
                  </w:r>
                </w:p>
              </w:tc>
              <w:tc>
                <w:tcPr>
                  <w:tcW w:w="1594" w:type="pct"/>
                  <w:noWrap w:val="0"/>
                  <w:tcMar>
                    <w:top w:w="0" w:type="dxa"/>
                    <w:left w:w="0" w:type="dxa"/>
                    <w:bottom w:w="0" w:type="dxa"/>
                    <w:right w:w="0" w:type="dxa"/>
                  </w:tcMar>
                  <w:vAlign w:val="center"/>
                </w:tcPr>
                <w:p w14:paraId="193A798D">
                  <w:pPr>
                    <w:keepNext w:val="0"/>
                    <w:keepLines w:val="0"/>
                    <w:pageBreakBefore w:val="0"/>
                    <w:widowControl w:val="0"/>
                    <w:suppressAutoHyphens/>
                    <w:kinsoku/>
                    <w:wordWrap/>
                    <w:overflowPunct/>
                    <w:topLinePunct w:val="0"/>
                    <w:autoSpaceDE/>
                    <w:autoSpaceDN/>
                    <w:bidi w:val="0"/>
                    <w:adjustRightInd/>
                    <w:snapToGrid/>
                    <w:spacing w:line="240" w:lineRule="auto"/>
                    <w:ind w:left="0" w:leftChars="0" w:firstLine="0" w:firstLineChars="0"/>
                    <w:jc w:val="both"/>
                    <w:textAlignment w:val="auto"/>
                    <w:rPr>
                      <w:rFonts w:hint="default" w:ascii="Times New Roman" w:hAnsi="Times New Roman" w:eastAsia="宋体" w:cs="Times New Roman"/>
                      <w:b w:val="0"/>
                      <w:bCs/>
                      <w:color w:val="auto"/>
                      <w:kern w:val="2"/>
                      <w:sz w:val="21"/>
                      <w:szCs w:val="21"/>
                      <w:lang w:val="en-US" w:eastAsia="zh-CN" w:bidi="ar-SA"/>
                    </w:rPr>
                  </w:pPr>
                  <w:r>
                    <w:rPr>
                      <w:rFonts w:hint="default" w:ascii="Times New Roman" w:hAnsi="Times New Roman" w:eastAsia="宋体" w:cs="Times New Roman"/>
                      <w:bCs/>
                      <w:color w:val="auto"/>
                      <w:sz w:val="21"/>
                      <w:szCs w:val="21"/>
                      <w:lang w:val="en-US" w:eastAsia="zh-CN"/>
                    </w:rPr>
                    <w:t>本</w:t>
                  </w:r>
                  <w:r>
                    <w:rPr>
                      <w:rFonts w:hint="default" w:ascii="Times New Roman" w:hAnsi="Times New Roman" w:eastAsia="宋体" w:cs="Times New Roman"/>
                      <w:bCs/>
                      <w:color w:val="auto"/>
                      <w:sz w:val="21"/>
                      <w:szCs w:val="21"/>
                      <w:lang w:eastAsia="zh-CN"/>
                    </w:rPr>
                    <w:t>项目配料、投料粉尘半密闭收集至布袋除尘器处理后通过1根15米高排气筒DA001排放，挤出、烘干、测试废气半密闭收集至1套“水喷淋塔+除湿器+二级活性炭吸附装置”处理后通过1根15米高排气筒DA002排放，破碎过程密闭操作，产生的微量粉尘无组织排放</w:t>
                  </w:r>
                  <w:r>
                    <w:rPr>
                      <w:rFonts w:hint="default"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有机</w:t>
                  </w:r>
                  <w:r>
                    <w:rPr>
                      <w:rFonts w:hint="default" w:ascii="Times New Roman" w:hAnsi="Times New Roman" w:eastAsia="宋体" w:cs="Times New Roman"/>
                      <w:bCs/>
                      <w:color w:val="auto"/>
                      <w:sz w:val="21"/>
                      <w:szCs w:val="21"/>
                      <w:lang w:eastAsia="zh-CN"/>
                    </w:rPr>
                    <w:t>废气收集、净化处理效率均不低于90%。</w:t>
                  </w:r>
                </w:p>
              </w:tc>
              <w:tc>
                <w:tcPr>
                  <w:tcW w:w="365" w:type="pct"/>
                  <w:noWrap w:val="0"/>
                  <w:tcMar>
                    <w:top w:w="0" w:type="dxa"/>
                    <w:left w:w="0" w:type="dxa"/>
                    <w:bottom w:w="0" w:type="dxa"/>
                    <w:right w:w="0" w:type="dxa"/>
                  </w:tcMar>
                  <w:vAlign w:val="center"/>
                </w:tcPr>
                <w:p w14:paraId="7AC25774">
                  <w:pPr>
                    <w:pStyle w:val="75"/>
                    <w:adjustRightInd w:val="0"/>
                    <w:snapToGrid w:val="0"/>
                    <w:spacing w:line="240" w:lineRule="auto"/>
                    <w:rPr>
                      <w:rFonts w:eastAsia="宋体"/>
                      <w:color w:val="auto"/>
                      <w:szCs w:val="21"/>
                    </w:rPr>
                  </w:pPr>
                  <w:r>
                    <w:rPr>
                      <w:rFonts w:eastAsia="宋体"/>
                      <w:color w:val="auto"/>
                      <w:szCs w:val="21"/>
                    </w:rPr>
                    <w:t>相符</w:t>
                  </w:r>
                </w:p>
              </w:tc>
            </w:tr>
            <w:tr w14:paraId="79C2805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759" w:type="pct"/>
                  <w:vMerge w:val="continue"/>
                  <w:noWrap w:val="0"/>
                  <w:tcMar>
                    <w:top w:w="0" w:type="dxa"/>
                    <w:left w:w="0" w:type="dxa"/>
                    <w:bottom w:w="0" w:type="dxa"/>
                    <w:right w:w="0" w:type="dxa"/>
                  </w:tcMar>
                  <w:vAlign w:val="center"/>
                </w:tcPr>
                <w:p w14:paraId="11F202E4">
                  <w:pPr>
                    <w:pStyle w:val="75"/>
                    <w:adjustRightInd w:val="0"/>
                    <w:snapToGrid w:val="0"/>
                    <w:spacing w:line="240" w:lineRule="auto"/>
                    <w:rPr>
                      <w:rFonts w:eastAsia="宋体"/>
                      <w:bCs/>
                      <w:color w:val="auto"/>
                      <w:szCs w:val="21"/>
                    </w:rPr>
                  </w:pPr>
                </w:p>
              </w:tc>
              <w:tc>
                <w:tcPr>
                  <w:tcW w:w="327" w:type="pct"/>
                  <w:noWrap w:val="0"/>
                  <w:tcMar>
                    <w:top w:w="0" w:type="dxa"/>
                    <w:left w:w="0" w:type="dxa"/>
                    <w:bottom w:w="0" w:type="dxa"/>
                    <w:right w:w="0" w:type="dxa"/>
                  </w:tcMar>
                  <w:vAlign w:val="center"/>
                </w:tcPr>
                <w:p w14:paraId="55526029">
                  <w:pPr>
                    <w:pStyle w:val="75"/>
                    <w:adjustRightInd w:val="0"/>
                    <w:snapToGrid w:val="0"/>
                    <w:spacing w:line="240" w:lineRule="auto"/>
                    <w:rPr>
                      <w:rFonts w:eastAsia="宋体"/>
                      <w:color w:val="auto"/>
                      <w:szCs w:val="21"/>
                    </w:rPr>
                  </w:pPr>
                  <w:r>
                    <w:rPr>
                      <w:rFonts w:hint="eastAsia" w:eastAsia="宋体"/>
                      <w:bCs/>
                      <w:color w:val="auto"/>
                      <w:szCs w:val="21"/>
                    </w:rPr>
                    <w:t>推进建设适宜高效的治污设施</w:t>
                  </w:r>
                </w:p>
              </w:tc>
              <w:tc>
                <w:tcPr>
                  <w:tcW w:w="1954" w:type="pct"/>
                  <w:noWrap w:val="0"/>
                  <w:tcMar>
                    <w:top w:w="0" w:type="dxa"/>
                    <w:left w:w="0" w:type="dxa"/>
                    <w:bottom w:w="0" w:type="dxa"/>
                    <w:right w:w="0" w:type="dxa"/>
                  </w:tcMar>
                  <w:vAlign w:val="center"/>
                </w:tcPr>
                <w:p w14:paraId="7E40A29F">
                  <w:pPr>
                    <w:suppressAutoHyphens/>
                    <w:jc w:val="center"/>
                    <w:rPr>
                      <w:bCs/>
                      <w:color w:val="auto"/>
                      <w:szCs w:val="21"/>
                    </w:rPr>
                  </w:pPr>
                  <w:r>
                    <w:rPr>
                      <w:rFonts w:hint="eastAsia"/>
                      <w:bCs/>
                      <w:color w:val="auto"/>
                      <w:szCs w:val="21"/>
                    </w:rPr>
                    <w:t>实行重点排放源排放浓度与去除效率双重控制。车间或生产设施收集排放的废气，VOCs初始排放速率大于等于3千克/小时、重点区域大于等于2千克/小时的，应加大控制力度，除确保排放浓度稳定达标外，还应实行去除效率控制，去除效率不低于80%；采用的原辅材料符合国家有关低VOCs含量产品规定的除外，有行业排放标准的按其相关规定执行。</w:t>
                  </w:r>
                </w:p>
              </w:tc>
              <w:tc>
                <w:tcPr>
                  <w:tcW w:w="1594" w:type="pct"/>
                  <w:noWrap w:val="0"/>
                  <w:tcMar>
                    <w:top w:w="0" w:type="dxa"/>
                    <w:left w:w="0" w:type="dxa"/>
                    <w:bottom w:w="0" w:type="dxa"/>
                    <w:right w:w="0" w:type="dxa"/>
                  </w:tcMar>
                  <w:vAlign w:val="center"/>
                </w:tcPr>
                <w:p w14:paraId="0113CE12">
                  <w:pPr>
                    <w:keepNext w:val="0"/>
                    <w:keepLines w:val="0"/>
                    <w:pageBreakBefore w:val="0"/>
                    <w:widowControl w:val="0"/>
                    <w:suppressAutoHyphens/>
                    <w:kinsoku/>
                    <w:wordWrap/>
                    <w:overflowPunct/>
                    <w:topLinePunct w:val="0"/>
                    <w:autoSpaceDE/>
                    <w:autoSpaceDN/>
                    <w:bidi w:val="0"/>
                    <w:adjustRightInd/>
                    <w:snapToGrid/>
                    <w:spacing w:line="240" w:lineRule="auto"/>
                    <w:ind w:left="0" w:leftChars="0" w:firstLine="0" w:firstLineChars="0"/>
                    <w:jc w:val="both"/>
                    <w:textAlignment w:val="auto"/>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lang w:eastAsia="zh-CN"/>
                    </w:rPr>
                    <w:t>本项目</w:t>
                  </w:r>
                  <w:r>
                    <w:rPr>
                      <w:rFonts w:hint="eastAsia" w:ascii="Times New Roman" w:hAnsi="Times New Roman" w:eastAsia="宋体" w:cs="Times New Roman"/>
                      <w:bCs/>
                      <w:color w:val="auto"/>
                      <w:sz w:val="21"/>
                      <w:szCs w:val="21"/>
                      <w:lang w:val="en-US" w:eastAsia="zh-CN"/>
                    </w:rPr>
                    <w:t>所在</w:t>
                  </w:r>
                  <w:r>
                    <w:rPr>
                      <w:rFonts w:hint="default" w:ascii="Times New Roman" w:hAnsi="Times New Roman" w:eastAsia="宋体" w:cs="Times New Roman"/>
                      <w:bCs/>
                      <w:color w:val="auto"/>
                      <w:sz w:val="21"/>
                      <w:szCs w:val="21"/>
                      <w:lang w:eastAsia="zh-CN"/>
                    </w:rPr>
                    <w:t>区域为大气重点控制区。</w:t>
                  </w:r>
                  <w:r>
                    <w:rPr>
                      <w:rFonts w:hint="default" w:ascii="Times New Roman" w:hAnsi="Times New Roman" w:eastAsia="宋体" w:cs="Times New Roman"/>
                      <w:color w:val="auto"/>
                      <w:sz w:val="21"/>
                      <w:szCs w:val="21"/>
                    </w:rPr>
                    <w:t>本项目配料、投料粉尘半密闭收集至布袋除尘器处理后通过1根15米高排气筒DA001排放，挤出、烘干、测试废气半密闭收集至1套“水喷淋塔+除湿器+二级活性炭吸附装置”处理后通过1根15米高排气筒DA002排放，破碎过程密闭操作，产生的微量粉尘无组织排放</w:t>
                  </w:r>
                  <w:r>
                    <w:rPr>
                      <w:rFonts w:hint="default" w:ascii="Times New Roman" w:hAnsi="Times New Roman" w:eastAsia="宋体" w:cs="Times New Roman"/>
                      <w:color w:val="auto"/>
                      <w:sz w:val="21"/>
                      <w:szCs w:val="21"/>
                      <w:lang w:val="en-US" w:eastAsia="zh-CN"/>
                    </w:rPr>
                    <w:t>，</w:t>
                  </w:r>
                  <w:r>
                    <w:rPr>
                      <w:rFonts w:hint="default" w:ascii="Times New Roman" w:hAnsi="Times New Roman" w:eastAsia="宋体" w:cs="Times New Roman"/>
                      <w:bCs/>
                      <w:color w:val="auto"/>
                      <w:sz w:val="21"/>
                      <w:szCs w:val="21"/>
                      <w:lang w:eastAsia="zh-CN"/>
                    </w:rPr>
                    <w:t>废气收集、净化处理效率均不低于</w:t>
                  </w:r>
                  <w:r>
                    <w:rPr>
                      <w:rFonts w:hint="eastAsia" w:cs="Times New Roman"/>
                      <w:bCs/>
                      <w:color w:val="auto"/>
                      <w:sz w:val="21"/>
                      <w:szCs w:val="21"/>
                      <w:lang w:val="en-US" w:eastAsia="zh-CN"/>
                    </w:rPr>
                    <w:t>80</w:t>
                  </w:r>
                  <w:r>
                    <w:rPr>
                      <w:rFonts w:hint="default" w:ascii="Times New Roman" w:hAnsi="Times New Roman" w:eastAsia="宋体" w:cs="Times New Roman"/>
                      <w:bCs/>
                      <w:color w:val="auto"/>
                      <w:sz w:val="21"/>
                      <w:szCs w:val="21"/>
                      <w:lang w:eastAsia="zh-CN"/>
                    </w:rPr>
                    <w:t>%</w:t>
                  </w:r>
                  <w:r>
                    <w:rPr>
                      <w:rFonts w:hint="eastAsia" w:ascii="Times New Roman" w:hAnsi="Times New Roman" w:eastAsia="宋体" w:cs="Times New Roman"/>
                      <w:bCs/>
                      <w:color w:val="auto"/>
                      <w:sz w:val="21"/>
                      <w:szCs w:val="21"/>
                      <w:lang w:eastAsia="zh-CN"/>
                    </w:rPr>
                    <w:t>，</w:t>
                  </w:r>
                  <w:r>
                    <w:rPr>
                      <w:rFonts w:hint="eastAsia" w:ascii="Times New Roman" w:hAnsi="Times New Roman" w:eastAsia="宋体" w:cs="Times New Roman"/>
                      <w:bCs/>
                      <w:color w:val="auto"/>
                      <w:sz w:val="21"/>
                      <w:szCs w:val="21"/>
                      <w:lang w:val="en-US" w:eastAsia="zh-CN"/>
                    </w:rPr>
                    <w:t>初始排放速率小于2kg/h，</w:t>
                  </w:r>
                  <w:r>
                    <w:rPr>
                      <w:rFonts w:hint="default" w:ascii="Times New Roman" w:hAnsi="Times New Roman" w:eastAsia="宋体" w:cs="Times New Roman"/>
                      <w:bCs/>
                      <w:color w:val="auto"/>
                      <w:sz w:val="21"/>
                      <w:szCs w:val="21"/>
                      <w:lang w:eastAsia="zh-CN"/>
                    </w:rPr>
                    <w:t>非甲烷总烃废气排放执行《大气污染物综合排放标准》（DB32/4041-2021）中标准限值。</w:t>
                  </w:r>
                </w:p>
              </w:tc>
              <w:tc>
                <w:tcPr>
                  <w:tcW w:w="365" w:type="pct"/>
                  <w:noWrap w:val="0"/>
                  <w:tcMar>
                    <w:top w:w="0" w:type="dxa"/>
                    <w:left w:w="0" w:type="dxa"/>
                    <w:bottom w:w="0" w:type="dxa"/>
                    <w:right w:w="0" w:type="dxa"/>
                  </w:tcMar>
                  <w:vAlign w:val="center"/>
                </w:tcPr>
                <w:p w14:paraId="34856D8D">
                  <w:pPr>
                    <w:pStyle w:val="75"/>
                    <w:adjustRightInd w:val="0"/>
                    <w:snapToGrid w:val="0"/>
                    <w:spacing w:line="240" w:lineRule="auto"/>
                    <w:rPr>
                      <w:rFonts w:eastAsia="宋体"/>
                      <w:color w:val="auto"/>
                      <w:szCs w:val="21"/>
                    </w:rPr>
                  </w:pPr>
                  <w:r>
                    <w:rPr>
                      <w:rFonts w:eastAsia="宋体"/>
                      <w:color w:val="auto"/>
                      <w:szCs w:val="21"/>
                    </w:rPr>
                    <w:t>相符</w:t>
                  </w:r>
                </w:p>
              </w:tc>
            </w:tr>
            <w:tr w14:paraId="6709ABF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54639913">
                  <w:pPr>
                    <w:pStyle w:val="75"/>
                    <w:adjustRightInd w:val="0"/>
                    <w:snapToGrid w:val="0"/>
                    <w:spacing w:line="240" w:lineRule="auto"/>
                    <w:rPr>
                      <w:rFonts w:eastAsia="宋体"/>
                      <w:bCs/>
                      <w:color w:val="auto"/>
                      <w:szCs w:val="21"/>
                    </w:rPr>
                  </w:pPr>
                </w:p>
              </w:tc>
              <w:tc>
                <w:tcPr>
                  <w:tcW w:w="327" w:type="pct"/>
                  <w:noWrap w:val="0"/>
                  <w:tcMar>
                    <w:top w:w="0" w:type="dxa"/>
                    <w:left w:w="0" w:type="dxa"/>
                    <w:bottom w:w="0" w:type="dxa"/>
                    <w:right w:w="0" w:type="dxa"/>
                  </w:tcMar>
                  <w:vAlign w:val="center"/>
                </w:tcPr>
                <w:p w14:paraId="629E9B7E">
                  <w:pPr>
                    <w:pStyle w:val="75"/>
                    <w:adjustRightInd w:val="0"/>
                    <w:snapToGrid w:val="0"/>
                    <w:spacing w:line="240" w:lineRule="auto"/>
                    <w:rPr>
                      <w:rFonts w:eastAsia="宋体"/>
                      <w:color w:val="auto"/>
                      <w:szCs w:val="21"/>
                    </w:rPr>
                  </w:pPr>
                  <w:r>
                    <w:rPr>
                      <w:rFonts w:hint="eastAsia" w:eastAsia="宋体"/>
                      <w:bCs/>
                      <w:color w:val="auto"/>
                      <w:szCs w:val="21"/>
                    </w:rPr>
                    <w:t>深入实施精细化管控</w:t>
                  </w:r>
                </w:p>
              </w:tc>
              <w:tc>
                <w:tcPr>
                  <w:tcW w:w="1954" w:type="pct"/>
                  <w:noWrap w:val="0"/>
                  <w:tcMar>
                    <w:top w:w="0" w:type="dxa"/>
                    <w:left w:w="0" w:type="dxa"/>
                    <w:bottom w:w="0" w:type="dxa"/>
                    <w:right w:w="0" w:type="dxa"/>
                  </w:tcMar>
                  <w:vAlign w:val="center"/>
                </w:tcPr>
                <w:p w14:paraId="6D24A475">
                  <w:pPr>
                    <w:suppressAutoHyphens/>
                    <w:jc w:val="center"/>
                    <w:rPr>
                      <w:bCs/>
                      <w:color w:val="auto"/>
                      <w:szCs w:val="21"/>
                    </w:rPr>
                  </w:pPr>
                  <w:r>
                    <w:rPr>
                      <w:rFonts w:hint="eastAsia"/>
                      <w:bCs/>
                      <w:color w:val="auto"/>
                      <w:szCs w:val="21"/>
                    </w:rPr>
                    <w:t>加强企业运行管理。企业应系统梳理VOCs排放主要环节和工序，包括启停机、检维修作业等，制定具体操作规程，落实到具体责任人。健全内部考核制度。加强人员能力培训和技术交流。建立管理台账，记录企业生产和治污设施运行的关键参数，在线监控参数要确保能够实时调取，相关台账记录至少保存三年。</w:t>
                  </w:r>
                </w:p>
              </w:tc>
              <w:tc>
                <w:tcPr>
                  <w:tcW w:w="1594" w:type="pct"/>
                  <w:noWrap w:val="0"/>
                  <w:tcMar>
                    <w:top w:w="0" w:type="dxa"/>
                    <w:left w:w="0" w:type="dxa"/>
                    <w:bottom w:w="0" w:type="dxa"/>
                    <w:right w:w="0" w:type="dxa"/>
                  </w:tcMar>
                  <w:vAlign w:val="center"/>
                </w:tcPr>
                <w:p w14:paraId="07466F3C">
                  <w:pPr>
                    <w:suppressAutoHyphens/>
                    <w:spacing w:line="240" w:lineRule="auto"/>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lang w:eastAsia="zh-CN"/>
                    </w:rPr>
                    <w:t>本项目产生非甲烷总烃、</w:t>
                  </w:r>
                  <w:r>
                    <w:rPr>
                      <w:rFonts w:hint="default" w:ascii="Times New Roman" w:hAnsi="Times New Roman" w:eastAsia="宋体" w:cs="Times New Roman"/>
                      <w:bCs/>
                      <w:color w:val="auto"/>
                      <w:sz w:val="21"/>
                      <w:szCs w:val="21"/>
                      <w:lang w:val="en-US" w:eastAsia="zh-CN"/>
                    </w:rPr>
                    <w:t>颗粒物</w:t>
                  </w:r>
                  <w:r>
                    <w:rPr>
                      <w:rFonts w:hint="default" w:ascii="Times New Roman" w:hAnsi="Times New Roman" w:eastAsia="宋体" w:cs="Times New Roman"/>
                      <w:bCs/>
                      <w:color w:val="auto"/>
                      <w:sz w:val="21"/>
                      <w:szCs w:val="21"/>
                      <w:lang w:eastAsia="zh-CN"/>
                    </w:rPr>
                    <w:t>等废气，项目安排环保专员负责相关具体工作，并根据相关规定实行台账制度。</w:t>
                  </w:r>
                </w:p>
              </w:tc>
              <w:tc>
                <w:tcPr>
                  <w:tcW w:w="365" w:type="pct"/>
                  <w:noWrap w:val="0"/>
                  <w:tcMar>
                    <w:top w:w="0" w:type="dxa"/>
                    <w:left w:w="0" w:type="dxa"/>
                    <w:bottom w:w="0" w:type="dxa"/>
                    <w:right w:w="0" w:type="dxa"/>
                  </w:tcMar>
                  <w:vAlign w:val="center"/>
                </w:tcPr>
                <w:p w14:paraId="1C9FD731">
                  <w:pPr>
                    <w:pStyle w:val="75"/>
                    <w:adjustRightInd w:val="0"/>
                    <w:snapToGrid w:val="0"/>
                    <w:spacing w:line="240" w:lineRule="auto"/>
                    <w:rPr>
                      <w:rFonts w:eastAsia="宋体"/>
                      <w:color w:val="auto"/>
                      <w:szCs w:val="21"/>
                    </w:rPr>
                  </w:pPr>
                  <w:r>
                    <w:rPr>
                      <w:rFonts w:eastAsia="宋体"/>
                      <w:color w:val="auto"/>
                      <w:szCs w:val="21"/>
                    </w:rPr>
                    <w:t>相符</w:t>
                  </w:r>
                </w:p>
              </w:tc>
            </w:tr>
            <w:tr w14:paraId="70EB035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54" w:hRule="atLeast"/>
                <w:jc w:val="center"/>
              </w:trPr>
              <w:tc>
                <w:tcPr>
                  <w:tcW w:w="759" w:type="pct"/>
                  <w:vMerge w:val="restart"/>
                  <w:noWrap w:val="0"/>
                  <w:tcMar>
                    <w:top w:w="0" w:type="dxa"/>
                    <w:left w:w="0" w:type="dxa"/>
                    <w:bottom w:w="0" w:type="dxa"/>
                    <w:right w:w="0" w:type="dxa"/>
                  </w:tcMar>
                  <w:vAlign w:val="center"/>
                </w:tcPr>
                <w:p w14:paraId="0AD656E6">
                  <w:pPr>
                    <w:pStyle w:val="75"/>
                    <w:adjustRightInd w:val="0"/>
                    <w:snapToGrid w:val="0"/>
                    <w:spacing w:line="240" w:lineRule="auto"/>
                    <w:rPr>
                      <w:rFonts w:eastAsia="宋体"/>
                      <w:bCs/>
                      <w:color w:val="auto"/>
                      <w:szCs w:val="21"/>
                    </w:rPr>
                  </w:pPr>
                  <w:r>
                    <w:rPr>
                      <w:rFonts w:eastAsia="宋体"/>
                      <w:bCs/>
                      <w:color w:val="auto"/>
                      <w:szCs w:val="21"/>
                    </w:rPr>
                    <w:t>《2021年常州市深入打好污染防治攻坚战工作方案》</w:t>
                  </w:r>
                </w:p>
              </w:tc>
              <w:tc>
                <w:tcPr>
                  <w:tcW w:w="2281" w:type="pct"/>
                  <w:gridSpan w:val="2"/>
                  <w:noWrap w:val="0"/>
                  <w:tcMar>
                    <w:top w:w="0" w:type="dxa"/>
                    <w:left w:w="0" w:type="dxa"/>
                    <w:bottom w:w="0" w:type="dxa"/>
                    <w:right w:w="0" w:type="dxa"/>
                  </w:tcMar>
                  <w:vAlign w:val="center"/>
                </w:tcPr>
                <w:p w14:paraId="7EA98AFB">
                  <w:pPr>
                    <w:pStyle w:val="75"/>
                    <w:adjustRightInd w:val="0"/>
                    <w:snapToGrid w:val="0"/>
                    <w:spacing w:line="240" w:lineRule="auto"/>
                    <w:jc w:val="both"/>
                    <w:rPr>
                      <w:rFonts w:eastAsia="宋体"/>
                      <w:color w:val="auto"/>
                      <w:szCs w:val="21"/>
                    </w:rPr>
                  </w:pPr>
                  <w:r>
                    <w:rPr>
                      <w:rFonts w:eastAsia="宋体"/>
                      <w:color w:val="auto"/>
                      <w:szCs w:val="21"/>
                    </w:rPr>
                    <w:t>推广实施《低挥发性有机化合物含量涂料产品技术要求》（GB/T38597-2020），完成低挥发性有机物等原辅料源头替代项目50个以上。</w:t>
                  </w:r>
                </w:p>
              </w:tc>
              <w:tc>
                <w:tcPr>
                  <w:tcW w:w="1594" w:type="pct"/>
                  <w:noWrap w:val="0"/>
                  <w:tcMar>
                    <w:top w:w="0" w:type="dxa"/>
                    <w:left w:w="0" w:type="dxa"/>
                    <w:bottom w:w="0" w:type="dxa"/>
                    <w:right w:w="0" w:type="dxa"/>
                  </w:tcMar>
                  <w:vAlign w:val="center"/>
                </w:tcPr>
                <w:p w14:paraId="427525F8">
                  <w:pPr>
                    <w:pStyle w:val="75"/>
                    <w:adjustRightInd w:val="0"/>
                    <w:snapToGrid w:val="0"/>
                    <w:spacing w:line="240" w:lineRule="auto"/>
                    <w:rPr>
                      <w:rFonts w:hint="eastAsia" w:eastAsia="宋体"/>
                      <w:color w:val="auto"/>
                      <w:szCs w:val="21"/>
                      <w:lang w:eastAsia="zh-CN"/>
                    </w:rPr>
                  </w:pPr>
                  <w:r>
                    <w:rPr>
                      <w:rFonts w:hint="eastAsia" w:eastAsia="宋体"/>
                      <w:color w:val="auto"/>
                      <w:szCs w:val="21"/>
                    </w:rPr>
                    <w:t>本</w:t>
                  </w:r>
                  <w:r>
                    <w:rPr>
                      <w:rFonts w:eastAsia="宋体"/>
                      <w:color w:val="auto"/>
                      <w:szCs w:val="21"/>
                    </w:rPr>
                    <w:t>项目不使用涂料</w:t>
                  </w:r>
                  <w:r>
                    <w:rPr>
                      <w:rFonts w:hint="eastAsia" w:eastAsia="宋体"/>
                      <w:color w:val="auto"/>
                      <w:szCs w:val="21"/>
                      <w:lang w:eastAsia="zh-CN"/>
                    </w:rPr>
                    <w:t>。</w:t>
                  </w:r>
                </w:p>
              </w:tc>
              <w:tc>
                <w:tcPr>
                  <w:tcW w:w="365" w:type="pct"/>
                  <w:noWrap w:val="0"/>
                  <w:tcMar>
                    <w:top w:w="0" w:type="dxa"/>
                    <w:left w:w="0" w:type="dxa"/>
                    <w:bottom w:w="0" w:type="dxa"/>
                    <w:right w:w="0" w:type="dxa"/>
                  </w:tcMar>
                  <w:vAlign w:val="center"/>
                </w:tcPr>
                <w:p w14:paraId="24524D9D">
                  <w:pPr>
                    <w:pStyle w:val="75"/>
                    <w:adjustRightInd w:val="0"/>
                    <w:snapToGrid w:val="0"/>
                    <w:spacing w:line="240" w:lineRule="auto"/>
                    <w:rPr>
                      <w:rFonts w:eastAsia="宋体"/>
                      <w:color w:val="auto"/>
                      <w:szCs w:val="21"/>
                    </w:rPr>
                  </w:pPr>
                  <w:r>
                    <w:rPr>
                      <w:rFonts w:eastAsia="宋体"/>
                      <w:color w:val="auto"/>
                      <w:szCs w:val="21"/>
                    </w:rPr>
                    <w:t>相符</w:t>
                  </w:r>
                </w:p>
              </w:tc>
            </w:tr>
            <w:tr w14:paraId="1993288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769596BE">
                  <w:pPr>
                    <w:pStyle w:val="75"/>
                    <w:adjustRightInd w:val="0"/>
                    <w:snapToGrid w:val="0"/>
                    <w:spacing w:line="240" w:lineRule="auto"/>
                    <w:rPr>
                      <w:rFonts w:eastAsia="宋体"/>
                      <w:bCs/>
                      <w:color w:val="auto"/>
                      <w:szCs w:val="21"/>
                    </w:rPr>
                  </w:pPr>
                </w:p>
              </w:tc>
              <w:tc>
                <w:tcPr>
                  <w:tcW w:w="2281" w:type="pct"/>
                  <w:gridSpan w:val="2"/>
                  <w:noWrap w:val="0"/>
                  <w:tcMar>
                    <w:top w:w="0" w:type="dxa"/>
                    <w:left w:w="0" w:type="dxa"/>
                    <w:bottom w:w="0" w:type="dxa"/>
                    <w:right w:w="0" w:type="dxa"/>
                  </w:tcMar>
                  <w:vAlign w:val="center"/>
                </w:tcPr>
                <w:p w14:paraId="23A6C981">
                  <w:pPr>
                    <w:pStyle w:val="75"/>
                    <w:adjustRightInd w:val="0"/>
                    <w:snapToGrid w:val="0"/>
                    <w:spacing w:line="240" w:lineRule="auto"/>
                    <w:rPr>
                      <w:rFonts w:eastAsia="宋体"/>
                      <w:color w:val="auto"/>
                      <w:szCs w:val="21"/>
                    </w:rPr>
                  </w:pPr>
                  <w:r>
                    <w:rPr>
                      <w:rFonts w:eastAsia="宋体"/>
                      <w:color w:val="auto"/>
                      <w:szCs w:val="21"/>
                    </w:rPr>
                    <w:t>工业园区和重点行业企业污水稳定达标排放，实现雨污分流、清污分流。</w:t>
                  </w:r>
                </w:p>
              </w:tc>
              <w:tc>
                <w:tcPr>
                  <w:tcW w:w="1594" w:type="pct"/>
                  <w:noWrap w:val="0"/>
                  <w:tcMar>
                    <w:top w:w="0" w:type="dxa"/>
                    <w:left w:w="0" w:type="dxa"/>
                    <w:bottom w:w="0" w:type="dxa"/>
                    <w:right w:w="0" w:type="dxa"/>
                  </w:tcMar>
                  <w:vAlign w:val="center"/>
                </w:tcPr>
                <w:p w14:paraId="74868788">
                  <w:pPr>
                    <w:pStyle w:val="75"/>
                    <w:adjustRightInd w:val="0"/>
                    <w:snapToGrid w:val="0"/>
                    <w:spacing w:line="240" w:lineRule="auto"/>
                    <w:rPr>
                      <w:rFonts w:hint="eastAsia" w:eastAsia="宋体"/>
                      <w:color w:val="auto"/>
                      <w:szCs w:val="21"/>
                      <w:lang w:eastAsia="zh-CN"/>
                    </w:rPr>
                  </w:pPr>
                  <w:r>
                    <w:rPr>
                      <w:rFonts w:eastAsia="宋体"/>
                      <w:color w:val="auto"/>
                      <w:szCs w:val="21"/>
                    </w:rPr>
                    <w:t>项目所在厂区已实施雨污分流</w:t>
                  </w:r>
                  <w:r>
                    <w:rPr>
                      <w:rFonts w:hint="eastAsia" w:eastAsia="宋体"/>
                      <w:color w:val="auto"/>
                      <w:szCs w:val="21"/>
                      <w:lang w:eastAsia="zh-CN"/>
                    </w:rPr>
                    <w:t>。</w:t>
                  </w:r>
                </w:p>
              </w:tc>
              <w:tc>
                <w:tcPr>
                  <w:tcW w:w="365" w:type="pct"/>
                  <w:noWrap w:val="0"/>
                  <w:tcMar>
                    <w:top w:w="0" w:type="dxa"/>
                    <w:left w:w="0" w:type="dxa"/>
                    <w:bottom w:w="0" w:type="dxa"/>
                    <w:right w:w="0" w:type="dxa"/>
                  </w:tcMar>
                  <w:vAlign w:val="center"/>
                </w:tcPr>
                <w:p w14:paraId="1DC47326">
                  <w:pPr>
                    <w:pStyle w:val="75"/>
                    <w:adjustRightInd w:val="0"/>
                    <w:snapToGrid w:val="0"/>
                    <w:spacing w:line="240" w:lineRule="auto"/>
                    <w:rPr>
                      <w:rFonts w:eastAsia="宋体"/>
                      <w:color w:val="auto"/>
                      <w:szCs w:val="21"/>
                    </w:rPr>
                  </w:pPr>
                  <w:r>
                    <w:rPr>
                      <w:rFonts w:eastAsia="宋体"/>
                      <w:color w:val="auto"/>
                      <w:szCs w:val="21"/>
                    </w:rPr>
                    <w:t>相符</w:t>
                  </w:r>
                </w:p>
              </w:tc>
            </w:tr>
            <w:tr w14:paraId="4E8A9B0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1C5E6A35">
                  <w:pPr>
                    <w:pStyle w:val="75"/>
                    <w:adjustRightInd w:val="0"/>
                    <w:snapToGrid w:val="0"/>
                    <w:spacing w:line="240" w:lineRule="auto"/>
                    <w:rPr>
                      <w:rFonts w:eastAsia="宋体"/>
                      <w:bCs/>
                      <w:color w:val="auto"/>
                      <w:szCs w:val="21"/>
                    </w:rPr>
                  </w:pPr>
                </w:p>
              </w:tc>
              <w:tc>
                <w:tcPr>
                  <w:tcW w:w="2281" w:type="pct"/>
                  <w:gridSpan w:val="2"/>
                  <w:noWrap w:val="0"/>
                  <w:tcMar>
                    <w:top w:w="0" w:type="dxa"/>
                    <w:left w:w="0" w:type="dxa"/>
                    <w:bottom w:w="0" w:type="dxa"/>
                    <w:right w:w="0" w:type="dxa"/>
                  </w:tcMar>
                  <w:vAlign w:val="center"/>
                </w:tcPr>
                <w:p w14:paraId="410F1556">
                  <w:pPr>
                    <w:pStyle w:val="75"/>
                    <w:adjustRightInd w:val="0"/>
                    <w:snapToGrid w:val="0"/>
                    <w:spacing w:line="240" w:lineRule="auto"/>
                    <w:rPr>
                      <w:rFonts w:eastAsia="宋体"/>
                      <w:color w:val="auto"/>
                      <w:szCs w:val="21"/>
                    </w:rPr>
                  </w:pPr>
                  <w:r>
                    <w:rPr>
                      <w:rFonts w:eastAsia="宋体"/>
                      <w:color w:val="auto"/>
                      <w:szCs w:val="21"/>
                    </w:rPr>
                    <w:t>深入打击和遏制危险废物非法转移倾倒等环境违法犯罪行为，建立问题清单，实行销号管理。</w:t>
                  </w:r>
                </w:p>
              </w:tc>
              <w:tc>
                <w:tcPr>
                  <w:tcW w:w="1594" w:type="pct"/>
                  <w:noWrap w:val="0"/>
                  <w:tcMar>
                    <w:top w:w="0" w:type="dxa"/>
                    <w:left w:w="0" w:type="dxa"/>
                    <w:bottom w:w="0" w:type="dxa"/>
                    <w:right w:w="0" w:type="dxa"/>
                  </w:tcMar>
                  <w:vAlign w:val="center"/>
                </w:tcPr>
                <w:p w14:paraId="36370F22">
                  <w:pPr>
                    <w:pStyle w:val="75"/>
                    <w:adjustRightInd w:val="0"/>
                    <w:snapToGrid w:val="0"/>
                    <w:spacing w:line="240" w:lineRule="auto"/>
                    <w:jc w:val="both"/>
                    <w:rPr>
                      <w:rFonts w:hint="eastAsia" w:eastAsia="宋体"/>
                      <w:color w:val="auto"/>
                      <w:szCs w:val="21"/>
                      <w:lang w:eastAsia="zh-CN"/>
                    </w:rPr>
                  </w:pPr>
                  <w:r>
                    <w:rPr>
                      <w:rFonts w:eastAsia="宋体"/>
                      <w:color w:val="auto"/>
                      <w:szCs w:val="21"/>
                    </w:rPr>
                    <w:t>项目产生的危险废物收集后暂存于危险废物仓库，定期委托有资质单位处置</w:t>
                  </w:r>
                  <w:r>
                    <w:rPr>
                      <w:rFonts w:hint="eastAsia" w:eastAsia="宋体"/>
                      <w:color w:val="auto"/>
                      <w:szCs w:val="21"/>
                      <w:lang w:eastAsia="zh-CN"/>
                    </w:rPr>
                    <w:t>。</w:t>
                  </w:r>
                </w:p>
              </w:tc>
              <w:tc>
                <w:tcPr>
                  <w:tcW w:w="365" w:type="pct"/>
                  <w:noWrap w:val="0"/>
                  <w:tcMar>
                    <w:top w:w="0" w:type="dxa"/>
                    <w:left w:w="0" w:type="dxa"/>
                    <w:bottom w:w="0" w:type="dxa"/>
                    <w:right w:w="0" w:type="dxa"/>
                  </w:tcMar>
                  <w:vAlign w:val="center"/>
                </w:tcPr>
                <w:p w14:paraId="0299D6B5">
                  <w:pPr>
                    <w:pStyle w:val="75"/>
                    <w:adjustRightInd w:val="0"/>
                    <w:snapToGrid w:val="0"/>
                    <w:spacing w:line="240" w:lineRule="auto"/>
                    <w:rPr>
                      <w:rFonts w:eastAsia="宋体"/>
                      <w:color w:val="auto"/>
                      <w:szCs w:val="21"/>
                    </w:rPr>
                  </w:pPr>
                  <w:r>
                    <w:rPr>
                      <w:rFonts w:eastAsia="宋体"/>
                      <w:color w:val="auto"/>
                      <w:szCs w:val="21"/>
                    </w:rPr>
                    <w:t>相符</w:t>
                  </w:r>
                </w:p>
              </w:tc>
            </w:tr>
            <w:tr w14:paraId="2595F3D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759" w:type="pct"/>
                  <w:vMerge w:val="restart"/>
                  <w:noWrap w:val="0"/>
                  <w:tcMar>
                    <w:top w:w="0" w:type="dxa"/>
                    <w:left w:w="0" w:type="dxa"/>
                    <w:bottom w:w="0" w:type="dxa"/>
                    <w:right w:w="0" w:type="dxa"/>
                  </w:tcMar>
                  <w:vAlign w:val="center"/>
                </w:tcPr>
                <w:p w14:paraId="0DEC1D34">
                  <w:pPr>
                    <w:pStyle w:val="75"/>
                    <w:adjustRightInd w:val="0"/>
                    <w:snapToGrid w:val="0"/>
                    <w:spacing w:line="240" w:lineRule="auto"/>
                    <w:rPr>
                      <w:rFonts w:eastAsia="宋体"/>
                      <w:bCs/>
                      <w:color w:val="auto"/>
                      <w:szCs w:val="21"/>
                    </w:rPr>
                  </w:pPr>
                  <w:r>
                    <w:rPr>
                      <w:rFonts w:eastAsia="宋体"/>
                      <w:bCs/>
                      <w:color w:val="auto"/>
                      <w:szCs w:val="21"/>
                    </w:rPr>
                    <w:t xml:space="preserve">省大气办关于印发《江苏省挥发性有机物清洁原料替代工作方案》的通知（苏大气办〔2021〕2号 </w:t>
                  </w:r>
                </w:p>
              </w:tc>
              <w:tc>
                <w:tcPr>
                  <w:tcW w:w="2281" w:type="pct"/>
                  <w:gridSpan w:val="2"/>
                  <w:noWrap w:val="0"/>
                  <w:tcMar>
                    <w:top w:w="0" w:type="dxa"/>
                    <w:left w:w="0" w:type="dxa"/>
                    <w:bottom w:w="0" w:type="dxa"/>
                    <w:right w:w="0" w:type="dxa"/>
                  </w:tcMar>
                  <w:vAlign w:val="center"/>
                </w:tcPr>
                <w:p w14:paraId="6B0382D7">
                  <w:pPr>
                    <w:pStyle w:val="75"/>
                    <w:adjustRightInd w:val="0"/>
                    <w:snapToGrid w:val="0"/>
                    <w:spacing w:line="240" w:lineRule="auto"/>
                    <w:rPr>
                      <w:rFonts w:eastAsia="宋体"/>
                      <w:color w:val="auto"/>
                      <w:szCs w:val="21"/>
                    </w:rPr>
                  </w:pPr>
                  <w:r>
                    <w:rPr>
                      <w:rFonts w:eastAsia="宋体"/>
                      <w:color w:val="auto"/>
                      <w:szCs w:val="21"/>
                    </w:rPr>
                    <w:t>企业使用涂料、油墨、清洗剂、胶黏剂等产品应符合相关标准中VOCs含量的限值要求。</w:t>
                  </w:r>
                </w:p>
              </w:tc>
              <w:tc>
                <w:tcPr>
                  <w:tcW w:w="1594" w:type="pct"/>
                  <w:vMerge w:val="restart"/>
                  <w:noWrap w:val="0"/>
                  <w:tcMar>
                    <w:top w:w="0" w:type="dxa"/>
                    <w:left w:w="0" w:type="dxa"/>
                    <w:bottom w:w="0" w:type="dxa"/>
                    <w:right w:w="0" w:type="dxa"/>
                  </w:tcMar>
                  <w:vAlign w:val="center"/>
                </w:tcPr>
                <w:p w14:paraId="6CEE8B2E">
                  <w:pPr>
                    <w:pStyle w:val="75"/>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本项目不使用涂料、油墨、清洗剂、胶黏剂等</w:t>
                  </w:r>
                  <w:r>
                    <w:rPr>
                      <w:rFonts w:hint="eastAsia" w:cs="Times New Roman"/>
                      <w:color w:val="auto"/>
                      <w:sz w:val="21"/>
                      <w:szCs w:val="21"/>
                      <w:lang w:val="en-US" w:eastAsia="zh-CN"/>
                    </w:rPr>
                    <w:t>。</w:t>
                  </w:r>
                </w:p>
              </w:tc>
              <w:tc>
                <w:tcPr>
                  <w:tcW w:w="365" w:type="pct"/>
                  <w:noWrap w:val="0"/>
                  <w:tcMar>
                    <w:top w:w="0" w:type="dxa"/>
                    <w:left w:w="0" w:type="dxa"/>
                    <w:bottom w:w="0" w:type="dxa"/>
                    <w:right w:w="0" w:type="dxa"/>
                  </w:tcMar>
                  <w:vAlign w:val="center"/>
                </w:tcPr>
                <w:p w14:paraId="241A60A3">
                  <w:pPr>
                    <w:pStyle w:val="75"/>
                    <w:adjustRightInd w:val="0"/>
                    <w:snapToGrid w:val="0"/>
                    <w:spacing w:line="240" w:lineRule="auto"/>
                    <w:rPr>
                      <w:rFonts w:eastAsia="宋体"/>
                      <w:color w:val="auto"/>
                      <w:szCs w:val="21"/>
                    </w:rPr>
                  </w:pPr>
                  <w:r>
                    <w:rPr>
                      <w:rFonts w:eastAsia="宋体"/>
                      <w:color w:val="auto"/>
                      <w:szCs w:val="21"/>
                    </w:rPr>
                    <w:t>相符</w:t>
                  </w:r>
                </w:p>
              </w:tc>
            </w:tr>
            <w:tr w14:paraId="585EDAC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56473CA8">
                  <w:pPr>
                    <w:pStyle w:val="75"/>
                    <w:adjustRightInd w:val="0"/>
                    <w:snapToGrid w:val="0"/>
                    <w:spacing w:line="240" w:lineRule="auto"/>
                    <w:rPr>
                      <w:rFonts w:eastAsia="宋体"/>
                      <w:bCs/>
                      <w:color w:val="auto"/>
                      <w:szCs w:val="21"/>
                    </w:rPr>
                  </w:pPr>
                </w:p>
              </w:tc>
              <w:tc>
                <w:tcPr>
                  <w:tcW w:w="2281" w:type="pct"/>
                  <w:gridSpan w:val="2"/>
                  <w:noWrap w:val="0"/>
                  <w:tcMar>
                    <w:top w:w="0" w:type="dxa"/>
                    <w:left w:w="0" w:type="dxa"/>
                    <w:bottom w:w="0" w:type="dxa"/>
                    <w:right w:w="0" w:type="dxa"/>
                  </w:tcMar>
                  <w:vAlign w:val="center"/>
                </w:tcPr>
                <w:p w14:paraId="5CF43C25">
                  <w:pPr>
                    <w:pStyle w:val="75"/>
                    <w:adjustRightInd w:val="0"/>
                    <w:snapToGrid w:val="0"/>
                    <w:spacing w:line="240" w:lineRule="auto"/>
                    <w:rPr>
                      <w:rFonts w:eastAsia="宋体"/>
                      <w:color w:val="auto"/>
                      <w:szCs w:val="21"/>
                    </w:rPr>
                  </w:pPr>
                  <w:r>
                    <w:rPr>
                      <w:rFonts w:eastAsia="宋体"/>
                      <w:color w:val="auto"/>
                      <w:szCs w:val="21"/>
                    </w:rPr>
                    <w:t>禁止建设生产和使用高VOCs含量的涂料、油墨、胶黏剂等项目。</w:t>
                  </w:r>
                </w:p>
              </w:tc>
              <w:tc>
                <w:tcPr>
                  <w:tcW w:w="1594" w:type="pct"/>
                  <w:vMerge w:val="continue"/>
                  <w:noWrap w:val="0"/>
                  <w:tcMar>
                    <w:top w:w="0" w:type="dxa"/>
                    <w:left w:w="0" w:type="dxa"/>
                    <w:bottom w:w="0" w:type="dxa"/>
                    <w:right w:w="0" w:type="dxa"/>
                  </w:tcMar>
                  <w:vAlign w:val="center"/>
                </w:tcPr>
                <w:p w14:paraId="109996A2">
                  <w:pPr>
                    <w:pStyle w:val="75"/>
                    <w:adjustRightInd w:val="0"/>
                    <w:snapToGrid w:val="0"/>
                    <w:spacing w:line="240" w:lineRule="auto"/>
                    <w:rPr>
                      <w:rFonts w:eastAsia="宋体"/>
                      <w:color w:val="auto"/>
                      <w:szCs w:val="21"/>
                    </w:rPr>
                  </w:pPr>
                </w:p>
              </w:tc>
              <w:tc>
                <w:tcPr>
                  <w:tcW w:w="365" w:type="pct"/>
                  <w:noWrap w:val="0"/>
                  <w:tcMar>
                    <w:top w:w="0" w:type="dxa"/>
                    <w:left w:w="0" w:type="dxa"/>
                    <w:bottom w:w="0" w:type="dxa"/>
                    <w:right w:w="0" w:type="dxa"/>
                  </w:tcMar>
                  <w:vAlign w:val="center"/>
                </w:tcPr>
                <w:p w14:paraId="0F7F2852">
                  <w:pPr>
                    <w:adjustRightInd w:val="0"/>
                    <w:snapToGrid w:val="0"/>
                    <w:jc w:val="center"/>
                    <w:rPr>
                      <w:color w:val="auto"/>
                      <w:szCs w:val="21"/>
                    </w:rPr>
                  </w:pPr>
                  <w:r>
                    <w:rPr>
                      <w:color w:val="auto"/>
                      <w:szCs w:val="21"/>
                    </w:rPr>
                    <w:t>相符</w:t>
                  </w:r>
                </w:p>
              </w:tc>
            </w:tr>
            <w:tr w14:paraId="27DEC16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restart"/>
                  <w:noWrap w:val="0"/>
                  <w:tcMar>
                    <w:top w:w="0" w:type="dxa"/>
                    <w:left w:w="0" w:type="dxa"/>
                    <w:bottom w:w="0" w:type="dxa"/>
                    <w:right w:w="0" w:type="dxa"/>
                  </w:tcMar>
                  <w:vAlign w:val="center"/>
                </w:tcPr>
                <w:p w14:paraId="2A95364F">
                  <w:pPr>
                    <w:pStyle w:val="75"/>
                    <w:adjustRightInd w:val="0"/>
                    <w:snapToGrid w:val="0"/>
                    <w:spacing w:line="240" w:lineRule="auto"/>
                    <w:rPr>
                      <w:rFonts w:eastAsia="宋体"/>
                      <w:bCs/>
                      <w:color w:val="auto"/>
                      <w:szCs w:val="21"/>
                    </w:rPr>
                  </w:pPr>
                  <w:r>
                    <w:rPr>
                      <w:rFonts w:eastAsia="宋体"/>
                      <w:bCs/>
                      <w:color w:val="auto"/>
                      <w:szCs w:val="21"/>
                    </w:rPr>
                    <w:t>《关于印发常州市挥发性有机物清洁原料替代工作方案的通知》（常污防攻坚指办〔2021〕32号）</w:t>
                  </w:r>
                </w:p>
              </w:tc>
              <w:tc>
                <w:tcPr>
                  <w:tcW w:w="2281" w:type="pct"/>
                  <w:gridSpan w:val="2"/>
                  <w:noWrap w:val="0"/>
                  <w:tcMar>
                    <w:top w:w="0" w:type="dxa"/>
                    <w:left w:w="0" w:type="dxa"/>
                    <w:bottom w:w="0" w:type="dxa"/>
                    <w:right w:w="0" w:type="dxa"/>
                  </w:tcMar>
                  <w:vAlign w:val="center"/>
                </w:tcPr>
                <w:p w14:paraId="59456C8E">
                  <w:pPr>
                    <w:pStyle w:val="75"/>
                    <w:adjustRightInd w:val="0"/>
                    <w:snapToGrid w:val="0"/>
                    <w:spacing w:line="240" w:lineRule="auto"/>
                    <w:rPr>
                      <w:rFonts w:eastAsia="宋体"/>
                      <w:color w:val="auto"/>
                      <w:szCs w:val="21"/>
                    </w:rPr>
                  </w:pPr>
                  <w:r>
                    <w:rPr>
                      <w:rFonts w:eastAsia="宋体"/>
                      <w:color w:val="auto"/>
                      <w:szCs w:val="21"/>
                    </w:rPr>
                    <w:t>企业要使用符合《胶粘剂挥发性有机化合物限量》（GB33372-2020）规定的水基型、本体型胶黏剂产品。</w:t>
                  </w:r>
                </w:p>
              </w:tc>
              <w:tc>
                <w:tcPr>
                  <w:tcW w:w="1594" w:type="pct"/>
                  <w:vMerge w:val="continue"/>
                  <w:noWrap w:val="0"/>
                  <w:tcMar>
                    <w:top w:w="0" w:type="dxa"/>
                    <w:left w:w="0" w:type="dxa"/>
                    <w:bottom w:w="0" w:type="dxa"/>
                    <w:right w:w="0" w:type="dxa"/>
                  </w:tcMar>
                  <w:vAlign w:val="center"/>
                </w:tcPr>
                <w:p w14:paraId="7B821468">
                  <w:pPr>
                    <w:pStyle w:val="75"/>
                    <w:adjustRightInd w:val="0"/>
                    <w:snapToGrid w:val="0"/>
                    <w:spacing w:line="240" w:lineRule="auto"/>
                    <w:rPr>
                      <w:rFonts w:eastAsia="宋体"/>
                      <w:color w:val="auto"/>
                      <w:szCs w:val="21"/>
                    </w:rPr>
                  </w:pPr>
                </w:p>
              </w:tc>
              <w:tc>
                <w:tcPr>
                  <w:tcW w:w="365" w:type="pct"/>
                  <w:noWrap w:val="0"/>
                  <w:tcMar>
                    <w:top w:w="0" w:type="dxa"/>
                    <w:left w:w="0" w:type="dxa"/>
                    <w:bottom w:w="0" w:type="dxa"/>
                    <w:right w:w="0" w:type="dxa"/>
                  </w:tcMar>
                  <w:vAlign w:val="center"/>
                </w:tcPr>
                <w:p w14:paraId="28303FC1">
                  <w:pPr>
                    <w:adjustRightInd w:val="0"/>
                    <w:snapToGrid w:val="0"/>
                    <w:jc w:val="center"/>
                    <w:rPr>
                      <w:color w:val="auto"/>
                      <w:szCs w:val="21"/>
                    </w:rPr>
                  </w:pPr>
                  <w:r>
                    <w:rPr>
                      <w:color w:val="auto"/>
                      <w:szCs w:val="21"/>
                    </w:rPr>
                    <w:t>相符</w:t>
                  </w:r>
                </w:p>
              </w:tc>
            </w:tr>
            <w:tr w14:paraId="538FE48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3397E099">
                  <w:pPr>
                    <w:pStyle w:val="75"/>
                    <w:adjustRightInd w:val="0"/>
                    <w:snapToGrid w:val="0"/>
                    <w:spacing w:line="240" w:lineRule="auto"/>
                    <w:rPr>
                      <w:rFonts w:eastAsia="宋体"/>
                      <w:bCs/>
                      <w:color w:val="auto"/>
                      <w:szCs w:val="21"/>
                    </w:rPr>
                  </w:pPr>
                </w:p>
              </w:tc>
              <w:tc>
                <w:tcPr>
                  <w:tcW w:w="2281" w:type="pct"/>
                  <w:gridSpan w:val="2"/>
                  <w:noWrap w:val="0"/>
                  <w:tcMar>
                    <w:top w:w="0" w:type="dxa"/>
                    <w:left w:w="0" w:type="dxa"/>
                    <w:bottom w:w="0" w:type="dxa"/>
                    <w:right w:w="0" w:type="dxa"/>
                  </w:tcMar>
                  <w:vAlign w:val="center"/>
                </w:tcPr>
                <w:p w14:paraId="69BE3CE6">
                  <w:pPr>
                    <w:pStyle w:val="75"/>
                    <w:adjustRightInd w:val="0"/>
                    <w:snapToGrid w:val="0"/>
                    <w:spacing w:line="240" w:lineRule="auto"/>
                    <w:rPr>
                      <w:rFonts w:eastAsia="宋体"/>
                      <w:color w:val="auto"/>
                      <w:szCs w:val="21"/>
                    </w:rPr>
                  </w:pPr>
                  <w:r>
                    <w:rPr>
                      <w:rFonts w:eastAsia="宋体"/>
                      <w:color w:val="auto"/>
                      <w:szCs w:val="21"/>
                    </w:rPr>
                    <w:t>禁止建设生产和使用高VOCs含量的涂料、油墨、胶黏剂等项目。</w:t>
                  </w:r>
                </w:p>
              </w:tc>
              <w:tc>
                <w:tcPr>
                  <w:tcW w:w="1594" w:type="pct"/>
                  <w:vMerge w:val="continue"/>
                  <w:noWrap w:val="0"/>
                  <w:tcMar>
                    <w:top w:w="0" w:type="dxa"/>
                    <w:left w:w="0" w:type="dxa"/>
                    <w:bottom w:w="0" w:type="dxa"/>
                    <w:right w:w="0" w:type="dxa"/>
                  </w:tcMar>
                  <w:vAlign w:val="center"/>
                </w:tcPr>
                <w:p w14:paraId="04590A3C">
                  <w:pPr>
                    <w:pStyle w:val="75"/>
                    <w:adjustRightInd w:val="0"/>
                    <w:snapToGrid w:val="0"/>
                    <w:spacing w:line="240" w:lineRule="auto"/>
                    <w:rPr>
                      <w:rFonts w:eastAsia="宋体"/>
                      <w:color w:val="auto"/>
                      <w:szCs w:val="21"/>
                    </w:rPr>
                  </w:pPr>
                </w:p>
              </w:tc>
              <w:tc>
                <w:tcPr>
                  <w:tcW w:w="365" w:type="pct"/>
                  <w:noWrap w:val="0"/>
                  <w:tcMar>
                    <w:top w:w="0" w:type="dxa"/>
                    <w:left w:w="0" w:type="dxa"/>
                    <w:bottom w:w="0" w:type="dxa"/>
                    <w:right w:w="0" w:type="dxa"/>
                  </w:tcMar>
                  <w:vAlign w:val="center"/>
                </w:tcPr>
                <w:p w14:paraId="05B87AE4">
                  <w:pPr>
                    <w:adjustRightInd w:val="0"/>
                    <w:snapToGrid w:val="0"/>
                    <w:jc w:val="center"/>
                    <w:rPr>
                      <w:color w:val="auto"/>
                      <w:szCs w:val="21"/>
                    </w:rPr>
                  </w:pPr>
                  <w:r>
                    <w:rPr>
                      <w:color w:val="auto"/>
                      <w:szCs w:val="21"/>
                    </w:rPr>
                    <w:t>相符</w:t>
                  </w:r>
                </w:p>
              </w:tc>
            </w:tr>
            <w:tr w14:paraId="29E4E8D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restart"/>
                  <w:noWrap w:val="0"/>
                  <w:tcMar>
                    <w:top w:w="0" w:type="dxa"/>
                    <w:left w:w="0" w:type="dxa"/>
                    <w:bottom w:w="0" w:type="dxa"/>
                    <w:right w:w="0" w:type="dxa"/>
                  </w:tcMar>
                  <w:vAlign w:val="center"/>
                </w:tcPr>
                <w:p w14:paraId="603D4101">
                  <w:pPr>
                    <w:pStyle w:val="75"/>
                    <w:adjustRightInd w:val="0"/>
                    <w:snapToGrid w:val="0"/>
                    <w:spacing w:line="240" w:lineRule="auto"/>
                    <w:rPr>
                      <w:rFonts w:eastAsia="宋体"/>
                      <w:bCs/>
                      <w:color w:val="auto"/>
                      <w:szCs w:val="21"/>
                    </w:rPr>
                  </w:pPr>
                  <w:r>
                    <w:rPr>
                      <w:rFonts w:eastAsia="宋体"/>
                      <w:bCs/>
                      <w:color w:val="auto"/>
                      <w:szCs w:val="21"/>
                    </w:rPr>
                    <w:t>《太湖流域管理条例》</w:t>
                  </w:r>
                </w:p>
              </w:tc>
              <w:tc>
                <w:tcPr>
                  <w:tcW w:w="2281" w:type="pct"/>
                  <w:gridSpan w:val="2"/>
                  <w:noWrap w:val="0"/>
                  <w:tcMar>
                    <w:top w:w="0" w:type="dxa"/>
                    <w:left w:w="0" w:type="dxa"/>
                    <w:bottom w:w="0" w:type="dxa"/>
                    <w:right w:w="0" w:type="dxa"/>
                  </w:tcMar>
                  <w:vAlign w:val="center"/>
                </w:tcPr>
                <w:p w14:paraId="3D710F25">
                  <w:pPr>
                    <w:adjustRightInd w:val="0"/>
                    <w:snapToGrid w:val="0"/>
                    <w:jc w:val="center"/>
                    <w:rPr>
                      <w:color w:val="auto"/>
                      <w:szCs w:val="21"/>
                    </w:rPr>
                  </w:pPr>
                  <w:r>
                    <w:rPr>
                      <w:color w:val="auto"/>
                      <w:szCs w:val="21"/>
                    </w:rPr>
                    <w:t>排污单位排放水污染物，不得超过经核定的水污染物排放总量，并应当按照规定设置便于检查、采样的规范化排污口，悬挂标志牌；不得私设暗管或者采取其他规避监管的方式排放水污染物。</w:t>
                  </w:r>
                </w:p>
              </w:tc>
              <w:tc>
                <w:tcPr>
                  <w:tcW w:w="1594" w:type="pct"/>
                  <w:noWrap w:val="0"/>
                  <w:tcMar>
                    <w:top w:w="0" w:type="dxa"/>
                    <w:left w:w="0" w:type="dxa"/>
                    <w:bottom w:w="0" w:type="dxa"/>
                    <w:right w:w="0" w:type="dxa"/>
                  </w:tcMar>
                  <w:vAlign w:val="center"/>
                </w:tcPr>
                <w:p w14:paraId="0AB509ED">
                  <w:pPr>
                    <w:adjustRightInd w:val="0"/>
                    <w:snapToGrid w:val="0"/>
                    <w:rPr>
                      <w:rFonts w:hint="eastAsia" w:eastAsia="宋体"/>
                      <w:color w:val="auto"/>
                      <w:szCs w:val="21"/>
                      <w:lang w:eastAsia="zh-CN"/>
                    </w:rPr>
                  </w:pPr>
                  <w:r>
                    <w:rPr>
                      <w:color w:val="auto"/>
                      <w:szCs w:val="21"/>
                    </w:rPr>
                    <w:t>本次环评要求建设单位申请水污染物排放总量，</w:t>
                  </w:r>
                  <w:r>
                    <w:rPr>
                      <w:rFonts w:hint="eastAsia"/>
                      <w:color w:val="auto"/>
                      <w:szCs w:val="21"/>
                    </w:rPr>
                    <w:t>建设单位已</w:t>
                  </w:r>
                  <w:r>
                    <w:rPr>
                      <w:color w:val="auto"/>
                      <w:szCs w:val="21"/>
                    </w:rPr>
                    <w:t>按照规定设置便于检查、采样的规范化排放口，悬挂标志牌；建设单位不得私设暗管或者采取其他规范监管的方式排放水污染物</w:t>
                  </w:r>
                  <w:r>
                    <w:rPr>
                      <w:rFonts w:hint="eastAsia"/>
                      <w:color w:val="auto"/>
                      <w:szCs w:val="21"/>
                      <w:lang w:eastAsia="zh-CN"/>
                    </w:rPr>
                    <w:t>。</w:t>
                  </w:r>
                </w:p>
              </w:tc>
              <w:tc>
                <w:tcPr>
                  <w:tcW w:w="365" w:type="pct"/>
                  <w:noWrap w:val="0"/>
                  <w:tcMar>
                    <w:top w:w="0" w:type="dxa"/>
                    <w:left w:w="0" w:type="dxa"/>
                    <w:bottom w:w="0" w:type="dxa"/>
                    <w:right w:w="0" w:type="dxa"/>
                  </w:tcMar>
                  <w:vAlign w:val="center"/>
                </w:tcPr>
                <w:p w14:paraId="2279CB78">
                  <w:pPr>
                    <w:pStyle w:val="75"/>
                    <w:adjustRightInd w:val="0"/>
                    <w:snapToGrid w:val="0"/>
                    <w:spacing w:line="240" w:lineRule="auto"/>
                    <w:rPr>
                      <w:rFonts w:eastAsia="宋体"/>
                      <w:color w:val="auto"/>
                      <w:szCs w:val="21"/>
                    </w:rPr>
                  </w:pPr>
                  <w:r>
                    <w:rPr>
                      <w:rFonts w:eastAsia="宋体"/>
                      <w:color w:val="auto"/>
                      <w:szCs w:val="21"/>
                    </w:rPr>
                    <w:t>相符</w:t>
                  </w:r>
                </w:p>
              </w:tc>
            </w:tr>
            <w:tr w14:paraId="35E319A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6E3D7B82">
                  <w:pPr>
                    <w:adjustRightInd w:val="0"/>
                    <w:snapToGrid w:val="0"/>
                    <w:jc w:val="center"/>
                    <w:rPr>
                      <w:bCs/>
                      <w:color w:val="auto"/>
                      <w:szCs w:val="21"/>
                    </w:rPr>
                  </w:pPr>
                </w:p>
              </w:tc>
              <w:tc>
                <w:tcPr>
                  <w:tcW w:w="2281" w:type="pct"/>
                  <w:gridSpan w:val="2"/>
                  <w:noWrap w:val="0"/>
                  <w:tcMar>
                    <w:top w:w="0" w:type="dxa"/>
                    <w:left w:w="0" w:type="dxa"/>
                    <w:bottom w:w="0" w:type="dxa"/>
                    <w:right w:w="0" w:type="dxa"/>
                  </w:tcMar>
                  <w:vAlign w:val="center"/>
                </w:tcPr>
                <w:p w14:paraId="44DB6A49">
                  <w:pPr>
                    <w:adjustRightInd w:val="0"/>
                    <w:snapToGrid w:val="0"/>
                    <w:jc w:val="center"/>
                    <w:rPr>
                      <w:color w:val="auto"/>
                      <w:szCs w:val="21"/>
                    </w:rPr>
                  </w:pPr>
                  <w:r>
                    <w:rPr>
                      <w:color w:val="auto"/>
                      <w:szCs w:val="21"/>
                    </w:rPr>
                    <w:t>禁止在太湖流域设置不符合国家产业政策和水环境综合治理要求的造纸、制革、酒精、淀粉、冶金、酿造、印</w:t>
                  </w:r>
                  <w:r>
                    <w:rPr>
                      <w:color w:val="auto"/>
                      <w:szCs w:val="21"/>
                    </w:rPr>
                    <w:cr/>
                  </w:r>
                  <w:r>
                    <w:rPr>
                      <w:color w:val="auto"/>
                      <w:szCs w:val="21"/>
                    </w:rPr>
                    <w:t>染、电镀等排放水污染物的生产项目，现有生产项目不能实现达标排放的，应当依法关闭。</w:t>
                  </w:r>
                </w:p>
              </w:tc>
              <w:tc>
                <w:tcPr>
                  <w:tcW w:w="1594" w:type="pct"/>
                  <w:noWrap w:val="0"/>
                  <w:tcMar>
                    <w:top w:w="0" w:type="dxa"/>
                    <w:left w:w="0" w:type="dxa"/>
                    <w:bottom w:w="0" w:type="dxa"/>
                    <w:right w:w="0" w:type="dxa"/>
                  </w:tcMar>
                  <w:vAlign w:val="center"/>
                </w:tcPr>
                <w:p w14:paraId="76944722">
                  <w:pPr>
                    <w:adjustRightInd w:val="0"/>
                    <w:snapToGrid w:val="0"/>
                    <w:rPr>
                      <w:rFonts w:hint="eastAsia" w:eastAsia="宋体"/>
                      <w:color w:val="auto"/>
                      <w:szCs w:val="21"/>
                      <w:lang w:eastAsia="zh-CN"/>
                    </w:rPr>
                  </w:pPr>
                  <w:r>
                    <w:rPr>
                      <w:color w:val="auto"/>
                      <w:szCs w:val="21"/>
                    </w:rPr>
                    <w:t>项目主要</w:t>
                  </w:r>
                  <w:r>
                    <w:rPr>
                      <w:rFonts w:hint="eastAsia"/>
                      <w:color w:val="auto"/>
                      <w:szCs w:val="21"/>
                      <w:lang w:eastAsia="zh-CN"/>
                    </w:rPr>
                    <w:t>热塑性弹性体颗</w:t>
                  </w:r>
                  <w:r>
                    <w:rPr>
                      <w:rFonts w:hint="eastAsia" w:ascii="Times New Roman" w:hAnsi="Times New Roman" w:eastAsia="宋体" w:cs="Times New Roman"/>
                      <w:color w:val="auto"/>
                      <w:lang w:eastAsia="zh-CN"/>
                    </w:rPr>
                    <w:t>粒</w:t>
                  </w:r>
                  <w:r>
                    <w:rPr>
                      <w:rFonts w:hint="eastAsia"/>
                      <w:color w:val="auto"/>
                      <w:szCs w:val="21"/>
                      <w:lang w:eastAsia="zh-CN"/>
                    </w:rPr>
                    <w:t>、汽车密封件</w:t>
                  </w:r>
                  <w:r>
                    <w:rPr>
                      <w:color w:val="auto"/>
                      <w:szCs w:val="21"/>
                    </w:rPr>
                    <w:t>生产，不属于禁止类项目，无生产废水排放</w:t>
                  </w:r>
                  <w:r>
                    <w:rPr>
                      <w:rFonts w:hint="eastAsia"/>
                      <w:color w:val="auto"/>
                      <w:szCs w:val="21"/>
                      <w:lang w:eastAsia="zh-CN"/>
                    </w:rPr>
                    <w:t>。</w:t>
                  </w:r>
                </w:p>
              </w:tc>
              <w:tc>
                <w:tcPr>
                  <w:tcW w:w="365" w:type="pct"/>
                  <w:noWrap w:val="0"/>
                  <w:tcMar>
                    <w:top w:w="0" w:type="dxa"/>
                    <w:left w:w="0" w:type="dxa"/>
                    <w:bottom w:w="0" w:type="dxa"/>
                    <w:right w:w="0" w:type="dxa"/>
                  </w:tcMar>
                  <w:vAlign w:val="center"/>
                </w:tcPr>
                <w:p w14:paraId="6CF7B045">
                  <w:pPr>
                    <w:pStyle w:val="75"/>
                    <w:adjustRightInd w:val="0"/>
                    <w:snapToGrid w:val="0"/>
                    <w:spacing w:line="240" w:lineRule="auto"/>
                    <w:rPr>
                      <w:rFonts w:eastAsia="宋体"/>
                      <w:color w:val="auto"/>
                      <w:szCs w:val="21"/>
                    </w:rPr>
                  </w:pPr>
                  <w:r>
                    <w:rPr>
                      <w:rFonts w:eastAsia="宋体"/>
                      <w:color w:val="auto"/>
                      <w:szCs w:val="21"/>
                    </w:rPr>
                    <w:t>相符</w:t>
                  </w:r>
                </w:p>
              </w:tc>
            </w:tr>
            <w:tr w14:paraId="5247683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4694CFA4">
                  <w:pPr>
                    <w:adjustRightInd w:val="0"/>
                    <w:snapToGrid w:val="0"/>
                    <w:jc w:val="center"/>
                    <w:rPr>
                      <w:bCs/>
                      <w:color w:val="auto"/>
                      <w:szCs w:val="21"/>
                    </w:rPr>
                  </w:pPr>
                </w:p>
              </w:tc>
              <w:tc>
                <w:tcPr>
                  <w:tcW w:w="2281" w:type="pct"/>
                  <w:gridSpan w:val="2"/>
                  <w:noWrap w:val="0"/>
                  <w:tcMar>
                    <w:top w:w="0" w:type="dxa"/>
                    <w:left w:w="0" w:type="dxa"/>
                    <w:bottom w:w="0" w:type="dxa"/>
                    <w:right w:w="0" w:type="dxa"/>
                  </w:tcMar>
                  <w:vAlign w:val="center"/>
                </w:tcPr>
                <w:p w14:paraId="07F2D3A6">
                  <w:pPr>
                    <w:adjustRightInd w:val="0"/>
                    <w:snapToGrid w:val="0"/>
                    <w:jc w:val="center"/>
                    <w:rPr>
                      <w:color w:val="auto"/>
                      <w:szCs w:val="21"/>
                    </w:rPr>
                  </w:pPr>
                  <w:r>
                    <w:rPr>
                      <w:color w:val="auto"/>
                      <w:szCs w:val="21"/>
                    </w:rPr>
                    <w:t>在太湖流域新设企业应当符合国家规定的清洁生产要求，现有的企业尚未达到清洁生产要求的，</w:t>
                  </w:r>
                  <w:r>
                    <w:rPr>
                      <w:color w:val="auto"/>
                      <w:szCs w:val="21"/>
                    </w:rPr>
                    <w:cr/>
                  </w:r>
                  <w:r>
                    <w:rPr>
                      <w:color w:val="auto"/>
                      <w:szCs w:val="21"/>
                    </w:rPr>
                    <w:t>应当按照清洁生产规划要求进行技术改造，两省一市人民政府应当加强监督检查。</w:t>
                  </w:r>
                </w:p>
              </w:tc>
              <w:tc>
                <w:tcPr>
                  <w:tcW w:w="1594" w:type="pct"/>
                  <w:noWrap w:val="0"/>
                  <w:tcMar>
                    <w:top w:w="0" w:type="dxa"/>
                    <w:left w:w="0" w:type="dxa"/>
                    <w:bottom w:w="0" w:type="dxa"/>
                    <w:right w:w="0" w:type="dxa"/>
                  </w:tcMar>
                  <w:vAlign w:val="center"/>
                </w:tcPr>
                <w:p w14:paraId="18471582">
                  <w:pPr>
                    <w:adjustRightInd w:val="0"/>
                    <w:snapToGrid w:val="0"/>
                    <w:rPr>
                      <w:rFonts w:hint="eastAsia" w:eastAsia="宋体"/>
                      <w:color w:val="auto"/>
                      <w:szCs w:val="21"/>
                      <w:lang w:eastAsia="zh-CN"/>
                    </w:rPr>
                  </w:pPr>
                  <w:r>
                    <w:rPr>
                      <w:color w:val="auto"/>
                      <w:szCs w:val="21"/>
                    </w:rPr>
                    <w:t>项目将使用符合国家规定的清洁生产要求的生产工艺和设备</w:t>
                  </w:r>
                  <w:r>
                    <w:rPr>
                      <w:rFonts w:hint="eastAsia"/>
                      <w:color w:val="auto"/>
                      <w:szCs w:val="21"/>
                      <w:lang w:eastAsia="zh-CN"/>
                    </w:rPr>
                    <w:t>。</w:t>
                  </w:r>
                </w:p>
              </w:tc>
              <w:tc>
                <w:tcPr>
                  <w:tcW w:w="365" w:type="pct"/>
                  <w:noWrap w:val="0"/>
                  <w:tcMar>
                    <w:top w:w="0" w:type="dxa"/>
                    <w:left w:w="0" w:type="dxa"/>
                    <w:bottom w:w="0" w:type="dxa"/>
                    <w:right w:w="0" w:type="dxa"/>
                  </w:tcMar>
                  <w:vAlign w:val="center"/>
                </w:tcPr>
                <w:p w14:paraId="1497E2DE">
                  <w:pPr>
                    <w:pStyle w:val="75"/>
                    <w:adjustRightInd w:val="0"/>
                    <w:snapToGrid w:val="0"/>
                    <w:spacing w:line="240" w:lineRule="auto"/>
                    <w:rPr>
                      <w:rFonts w:eastAsia="宋体"/>
                      <w:color w:val="auto"/>
                      <w:szCs w:val="21"/>
                    </w:rPr>
                  </w:pPr>
                  <w:r>
                    <w:rPr>
                      <w:rFonts w:eastAsia="宋体"/>
                      <w:color w:val="auto"/>
                      <w:szCs w:val="21"/>
                    </w:rPr>
                    <w:t>相符</w:t>
                  </w:r>
                </w:p>
              </w:tc>
            </w:tr>
            <w:tr w14:paraId="5A0C632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restart"/>
                  <w:noWrap w:val="0"/>
                  <w:tcMar>
                    <w:top w:w="0" w:type="dxa"/>
                    <w:left w:w="0" w:type="dxa"/>
                    <w:bottom w:w="0" w:type="dxa"/>
                    <w:right w:w="0" w:type="dxa"/>
                  </w:tcMar>
                  <w:vAlign w:val="center"/>
                </w:tcPr>
                <w:p w14:paraId="67E32EAC">
                  <w:pPr>
                    <w:pStyle w:val="75"/>
                    <w:adjustRightInd w:val="0"/>
                    <w:snapToGrid w:val="0"/>
                    <w:spacing w:line="240" w:lineRule="auto"/>
                    <w:rPr>
                      <w:rFonts w:eastAsia="宋体"/>
                      <w:bCs/>
                      <w:color w:val="auto"/>
                      <w:szCs w:val="21"/>
                    </w:rPr>
                  </w:pPr>
                  <w:r>
                    <w:rPr>
                      <w:rFonts w:eastAsia="宋体"/>
                      <w:bCs/>
                      <w:color w:val="auto"/>
                      <w:szCs w:val="21"/>
                    </w:rPr>
                    <w:t>《江苏省太湖水污染防治条例》</w:t>
                  </w:r>
                </w:p>
              </w:tc>
              <w:tc>
                <w:tcPr>
                  <w:tcW w:w="2281" w:type="pct"/>
                  <w:gridSpan w:val="2"/>
                  <w:noWrap w:val="0"/>
                  <w:tcMar>
                    <w:top w:w="0" w:type="dxa"/>
                    <w:left w:w="0" w:type="dxa"/>
                    <w:bottom w:w="0" w:type="dxa"/>
                    <w:right w:w="0" w:type="dxa"/>
                  </w:tcMar>
                  <w:vAlign w:val="center"/>
                </w:tcPr>
                <w:p w14:paraId="7B3C4155">
                  <w:pPr>
                    <w:adjustRightInd w:val="0"/>
                    <w:snapToGrid w:val="0"/>
                    <w:jc w:val="center"/>
                    <w:rPr>
                      <w:color w:val="auto"/>
                      <w:szCs w:val="21"/>
                    </w:rPr>
                  </w:pPr>
                  <w:r>
                    <w:rPr>
                      <w:color w:val="auto"/>
                      <w:szCs w:val="21"/>
                    </w:rPr>
                    <w:t>在太湖流域新建、改建、扩建可能产生水污染的建设项目应当依法进行环境影响评价。</w:t>
                  </w:r>
                </w:p>
              </w:tc>
              <w:tc>
                <w:tcPr>
                  <w:tcW w:w="1594" w:type="pct"/>
                  <w:noWrap w:val="0"/>
                  <w:tcMar>
                    <w:top w:w="0" w:type="dxa"/>
                    <w:left w:w="0" w:type="dxa"/>
                    <w:bottom w:w="0" w:type="dxa"/>
                    <w:right w:w="0" w:type="dxa"/>
                  </w:tcMar>
                  <w:vAlign w:val="center"/>
                </w:tcPr>
                <w:p w14:paraId="5005C38A">
                  <w:pPr>
                    <w:adjustRightInd w:val="0"/>
                    <w:snapToGrid w:val="0"/>
                    <w:rPr>
                      <w:rFonts w:hint="eastAsia" w:eastAsia="宋体"/>
                      <w:color w:val="auto"/>
                      <w:szCs w:val="21"/>
                      <w:lang w:eastAsia="zh-CN"/>
                    </w:rPr>
                  </w:pPr>
                  <w:r>
                    <w:rPr>
                      <w:color w:val="auto"/>
                      <w:szCs w:val="21"/>
                    </w:rPr>
                    <w:t>本项目目前正在进行环境影响评价</w:t>
                  </w:r>
                  <w:r>
                    <w:rPr>
                      <w:rFonts w:hint="eastAsia"/>
                      <w:color w:val="auto"/>
                      <w:szCs w:val="21"/>
                      <w:lang w:eastAsia="zh-CN"/>
                    </w:rPr>
                    <w:t>。</w:t>
                  </w:r>
                </w:p>
              </w:tc>
              <w:tc>
                <w:tcPr>
                  <w:tcW w:w="365" w:type="pct"/>
                  <w:noWrap w:val="0"/>
                  <w:tcMar>
                    <w:top w:w="0" w:type="dxa"/>
                    <w:left w:w="0" w:type="dxa"/>
                    <w:bottom w:w="0" w:type="dxa"/>
                    <w:right w:w="0" w:type="dxa"/>
                  </w:tcMar>
                  <w:vAlign w:val="center"/>
                </w:tcPr>
                <w:p w14:paraId="1F3D14C5">
                  <w:pPr>
                    <w:pStyle w:val="75"/>
                    <w:adjustRightInd w:val="0"/>
                    <w:snapToGrid w:val="0"/>
                    <w:spacing w:line="240" w:lineRule="auto"/>
                    <w:rPr>
                      <w:rFonts w:eastAsia="宋体"/>
                      <w:color w:val="auto"/>
                      <w:szCs w:val="21"/>
                    </w:rPr>
                  </w:pPr>
                  <w:r>
                    <w:rPr>
                      <w:rFonts w:eastAsia="宋体"/>
                      <w:color w:val="auto"/>
                      <w:szCs w:val="21"/>
                    </w:rPr>
                    <w:t>相符</w:t>
                  </w:r>
                </w:p>
              </w:tc>
            </w:tr>
            <w:tr w14:paraId="3AA7724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2B7BA33D">
                  <w:pPr>
                    <w:adjustRightInd w:val="0"/>
                    <w:snapToGrid w:val="0"/>
                    <w:jc w:val="center"/>
                    <w:rPr>
                      <w:color w:val="auto"/>
                      <w:szCs w:val="21"/>
                    </w:rPr>
                  </w:pPr>
                </w:p>
              </w:tc>
              <w:tc>
                <w:tcPr>
                  <w:tcW w:w="2281" w:type="pct"/>
                  <w:gridSpan w:val="2"/>
                  <w:noWrap w:val="0"/>
                  <w:tcMar>
                    <w:top w:w="0" w:type="dxa"/>
                    <w:left w:w="0" w:type="dxa"/>
                    <w:bottom w:w="0" w:type="dxa"/>
                    <w:right w:w="0" w:type="dxa"/>
                  </w:tcMar>
                  <w:vAlign w:val="center"/>
                </w:tcPr>
                <w:p w14:paraId="3849BA1B">
                  <w:pPr>
                    <w:adjustRightInd w:val="0"/>
                    <w:snapToGrid w:val="0"/>
                    <w:jc w:val="center"/>
                    <w:rPr>
                      <w:color w:val="auto"/>
                      <w:szCs w:val="21"/>
                    </w:rPr>
                  </w:pPr>
                  <w:r>
                    <w:rPr>
                      <w:color w:val="auto"/>
                      <w:szCs w:val="21"/>
                    </w:rPr>
                    <w:t>建设项目中防治水污染的设施，应当与主体工程同时设计、同时</w:t>
                  </w:r>
                  <w:r>
                    <w:rPr>
                      <w:color w:val="auto"/>
                      <w:szCs w:val="21"/>
                    </w:rPr>
                    <w:cr/>
                  </w:r>
                  <w:r>
                    <w:rPr>
                      <w:color w:val="auto"/>
                      <w:szCs w:val="21"/>
                    </w:rPr>
                    <w:t>施工、同时投产使用。</w:t>
                  </w:r>
                </w:p>
              </w:tc>
              <w:tc>
                <w:tcPr>
                  <w:tcW w:w="1594" w:type="pct"/>
                  <w:noWrap w:val="0"/>
                  <w:tcMar>
                    <w:top w:w="0" w:type="dxa"/>
                    <w:left w:w="0" w:type="dxa"/>
                    <w:bottom w:w="0" w:type="dxa"/>
                    <w:right w:w="0" w:type="dxa"/>
                  </w:tcMar>
                  <w:vAlign w:val="center"/>
                </w:tcPr>
                <w:p w14:paraId="3FED3497">
                  <w:pPr>
                    <w:adjustRightInd w:val="0"/>
                    <w:snapToGrid w:val="0"/>
                    <w:rPr>
                      <w:rFonts w:hint="eastAsia" w:eastAsia="宋体"/>
                      <w:color w:val="auto"/>
                      <w:szCs w:val="21"/>
                      <w:lang w:eastAsia="zh-CN"/>
                    </w:rPr>
                  </w:pPr>
                  <w:r>
                    <w:rPr>
                      <w:color w:val="auto"/>
                      <w:szCs w:val="21"/>
                    </w:rPr>
                    <w:t>本次环评要求建设单位严格执行“三同时制度”</w:t>
                  </w:r>
                  <w:r>
                    <w:rPr>
                      <w:rFonts w:hint="eastAsia"/>
                      <w:color w:val="auto"/>
                      <w:szCs w:val="21"/>
                      <w:lang w:eastAsia="zh-CN"/>
                    </w:rPr>
                    <w:t>。</w:t>
                  </w:r>
                </w:p>
              </w:tc>
              <w:tc>
                <w:tcPr>
                  <w:tcW w:w="365" w:type="pct"/>
                  <w:noWrap w:val="0"/>
                  <w:tcMar>
                    <w:top w:w="0" w:type="dxa"/>
                    <w:left w:w="0" w:type="dxa"/>
                    <w:bottom w:w="0" w:type="dxa"/>
                    <w:right w:w="0" w:type="dxa"/>
                  </w:tcMar>
                  <w:vAlign w:val="center"/>
                </w:tcPr>
                <w:p w14:paraId="7BFDEE3D">
                  <w:pPr>
                    <w:pStyle w:val="75"/>
                    <w:adjustRightInd w:val="0"/>
                    <w:snapToGrid w:val="0"/>
                    <w:spacing w:line="240" w:lineRule="auto"/>
                    <w:rPr>
                      <w:rFonts w:eastAsia="宋体"/>
                      <w:color w:val="auto"/>
                      <w:szCs w:val="21"/>
                    </w:rPr>
                  </w:pPr>
                  <w:r>
                    <w:rPr>
                      <w:rFonts w:eastAsia="宋体"/>
                      <w:color w:val="auto"/>
                      <w:szCs w:val="21"/>
                    </w:rPr>
                    <w:t>相符</w:t>
                  </w:r>
                </w:p>
              </w:tc>
            </w:tr>
            <w:tr w14:paraId="2FB22CA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47FC7211">
                  <w:pPr>
                    <w:adjustRightInd w:val="0"/>
                    <w:snapToGrid w:val="0"/>
                    <w:jc w:val="center"/>
                    <w:rPr>
                      <w:color w:val="auto"/>
                      <w:szCs w:val="21"/>
                    </w:rPr>
                  </w:pPr>
                </w:p>
              </w:tc>
              <w:tc>
                <w:tcPr>
                  <w:tcW w:w="2281" w:type="pct"/>
                  <w:gridSpan w:val="2"/>
                  <w:noWrap w:val="0"/>
                  <w:tcMar>
                    <w:top w:w="0" w:type="dxa"/>
                    <w:left w:w="0" w:type="dxa"/>
                    <w:bottom w:w="0" w:type="dxa"/>
                    <w:right w:w="0" w:type="dxa"/>
                  </w:tcMar>
                  <w:vAlign w:val="center"/>
                </w:tcPr>
                <w:p w14:paraId="4A67486E">
                  <w:pPr>
                    <w:adjustRightInd w:val="0"/>
                    <w:snapToGrid w:val="0"/>
                    <w:jc w:val="center"/>
                    <w:rPr>
                      <w:color w:val="auto"/>
                      <w:szCs w:val="21"/>
                    </w:rPr>
                  </w:pPr>
                  <w:r>
                    <w:rPr>
                      <w:color w:val="auto"/>
                      <w:szCs w:val="21"/>
                    </w:rPr>
                    <w:t>直接或者间接向水体排放污染物的企业事业单位和其他生产经营者应当按照国家和省有关规定设置排污口。禁止私设排污口。</w:t>
                  </w:r>
                </w:p>
              </w:tc>
              <w:tc>
                <w:tcPr>
                  <w:tcW w:w="1594" w:type="pct"/>
                  <w:noWrap w:val="0"/>
                  <w:tcMar>
                    <w:top w:w="0" w:type="dxa"/>
                    <w:left w:w="0" w:type="dxa"/>
                    <w:bottom w:w="0" w:type="dxa"/>
                    <w:right w:w="0" w:type="dxa"/>
                  </w:tcMar>
                  <w:vAlign w:val="center"/>
                </w:tcPr>
                <w:p w14:paraId="3235079C">
                  <w:pPr>
                    <w:adjustRightInd w:val="0"/>
                    <w:snapToGrid w:val="0"/>
                    <w:rPr>
                      <w:rFonts w:hint="eastAsia" w:eastAsia="宋体"/>
                      <w:color w:val="auto"/>
                      <w:szCs w:val="21"/>
                      <w:lang w:eastAsia="zh-CN"/>
                    </w:rPr>
                  </w:pPr>
                  <w:r>
                    <w:rPr>
                      <w:rFonts w:hint="eastAsia"/>
                      <w:color w:val="auto"/>
                      <w:szCs w:val="21"/>
                    </w:rPr>
                    <w:t>本</w:t>
                  </w:r>
                  <w:r>
                    <w:rPr>
                      <w:color w:val="auto"/>
                      <w:szCs w:val="21"/>
                    </w:rPr>
                    <w:t>项目生活污水排放依托</w:t>
                  </w:r>
                  <w:r>
                    <w:rPr>
                      <w:rFonts w:hint="eastAsia"/>
                      <w:color w:val="auto"/>
                      <w:szCs w:val="21"/>
                    </w:rPr>
                    <w:t>厂区</w:t>
                  </w:r>
                  <w:r>
                    <w:rPr>
                      <w:color w:val="auto"/>
                      <w:szCs w:val="21"/>
                    </w:rPr>
                    <w:t>排污口，</w:t>
                  </w:r>
                  <w:r>
                    <w:rPr>
                      <w:rFonts w:hint="eastAsia"/>
                      <w:color w:val="auto"/>
                      <w:szCs w:val="21"/>
                    </w:rPr>
                    <w:t>不另设</w:t>
                  </w:r>
                  <w:r>
                    <w:rPr>
                      <w:color w:val="auto"/>
                      <w:szCs w:val="21"/>
                    </w:rPr>
                    <w:t>排污口</w:t>
                  </w:r>
                  <w:r>
                    <w:rPr>
                      <w:rFonts w:hint="eastAsia"/>
                      <w:color w:val="auto"/>
                      <w:szCs w:val="21"/>
                      <w:lang w:eastAsia="zh-CN"/>
                    </w:rPr>
                    <w:t>。</w:t>
                  </w:r>
                </w:p>
              </w:tc>
              <w:tc>
                <w:tcPr>
                  <w:tcW w:w="365" w:type="pct"/>
                  <w:noWrap w:val="0"/>
                  <w:tcMar>
                    <w:top w:w="0" w:type="dxa"/>
                    <w:left w:w="0" w:type="dxa"/>
                    <w:bottom w:w="0" w:type="dxa"/>
                    <w:right w:w="0" w:type="dxa"/>
                  </w:tcMar>
                  <w:vAlign w:val="center"/>
                </w:tcPr>
                <w:p w14:paraId="057EFBCB">
                  <w:pPr>
                    <w:pStyle w:val="75"/>
                    <w:adjustRightInd w:val="0"/>
                    <w:snapToGrid w:val="0"/>
                    <w:spacing w:line="240" w:lineRule="auto"/>
                    <w:rPr>
                      <w:rFonts w:eastAsia="宋体"/>
                      <w:color w:val="auto"/>
                      <w:szCs w:val="21"/>
                    </w:rPr>
                  </w:pPr>
                  <w:r>
                    <w:rPr>
                      <w:rFonts w:eastAsia="宋体"/>
                      <w:color w:val="auto"/>
                      <w:szCs w:val="21"/>
                    </w:rPr>
                    <w:t>相符</w:t>
                  </w:r>
                </w:p>
              </w:tc>
            </w:tr>
            <w:tr w14:paraId="237E584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5E43EBD8">
                  <w:pPr>
                    <w:adjustRightInd w:val="0"/>
                    <w:snapToGrid w:val="0"/>
                    <w:jc w:val="center"/>
                    <w:rPr>
                      <w:color w:val="auto"/>
                      <w:szCs w:val="21"/>
                    </w:rPr>
                  </w:pPr>
                </w:p>
              </w:tc>
              <w:tc>
                <w:tcPr>
                  <w:tcW w:w="2281" w:type="pct"/>
                  <w:gridSpan w:val="2"/>
                  <w:noWrap w:val="0"/>
                  <w:tcMar>
                    <w:top w:w="0" w:type="dxa"/>
                    <w:left w:w="0" w:type="dxa"/>
                    <w:bottom w:w="0" w:type="dxa"/>
                    <w:right w:w="0" w:type="dxa"/>
                  </w:tcMar>
                  <w:vAlign w:val="center"/>
                </w:tcPr>
                <w:p w14:paraId="46BCCA18">
                  <w:pPr>
                    <w:adjustRightInd w:val="0"/>
                    <w:snapToGrid w:val="0"/>
                    <w:jc w:val="center"/>
                    <w:rPr>
                      <w:color w:val="auto"/>
                      <w:szCs w:val="21"/>
                    </w:rPr>
                  </w:pPr>
                  <w:r>
                    <w:rPr>
                      <w:color w:val="auto"/>
                      <w:szCs w:val="21"/>
                    </w:rPr>
                    <w:t>各类污水处理设施产生的污泥应当进行安全处置，不得随意堆放和弃置，不得排入水体；属于危险废物的，应当委托有资质的单位处置。污泥的收集、贮存应当符合国家相关规定和标准。</w:t>
                  </w:r>
                </w:p>
              </w:tc>
              <w:tc>
                <w:tcPr>
                  <w:tcW w:w="1594" w:type="pct"/>
                  <w:noWrap w:val="0"/>
                  <w:tcMar>
                    <w:top w:w="0" w:type="dxa"/>
                    <w:left w:w="0" w:type="dxa"/>
                    <w:bottom w:w="0" w:type="dxa"/>
                    <w:right w:w="0" w:type="dxa"/>
                  </w:tcMar>
                  <w:vAlign w:val="center"/>
                </w:tcPr>
                <w:p w14:paraId="61A33748">
                  <w:pPr>
                    <w:adjustRightInd w:val="0"/>
                    <w:snapToGrid w:val="0"/>
                    <w:jc w:val="center"/>
                    <w:rPr>
                      <w:rFonts w:hint="default" w:eastAsia="宋体"/>
                      <w:color w:val="auto"/>
                      <w:szCs w:val="21"/>
                      <w:lang w:val="en-US" w:eastAsia="zh-CN"/>
                    </w:rPr>
                  </w:pPr>
                  <w:r>
                    <w:rPr>
                      <w:rFonts w:hint="eastAsia" w:eastAsia="宋体"/>
                      <w:color w:val="auto"/>
                      <w:szCs w:val="21"/>
                      <w:lang w:val="en-US" w:eastAsia="zh-CN"/>
                    </w:rPr>
                    <w:t>本项目无污泥产生及排放。</w:t>
                  </w:r>
                </w:p>
              </w:tc>
              <w:tc>
                <w:tcPr>
                  <w:tcW w:w="365" w:type="pct"/>
                  <w:noWrap w:val="0"/>
                  <w:tcMar>
                    <w:top w:w="0" w:type="dxa"/>
                    <w:left w:w="0" w:type="dxa"/>
                    <w:bottom w:w="0" w:type="dxa"/>
                    <w:right w:w="0" w:type="dxa"/>
                  </w:tcMar>
                  <w:vAlign w:val="center"/>
                </w:tcPr>
                <w:p w14:paraId="690F8B5C">
                  <w:pPr>
                    <w:pStyle w:val="75"/>
                    <w:adjustRightInd w:val="0"/>
                    <w:snapToGrid w:val="0"/>
                    <w:spacing w:line="240" w:lineRule="auto"/>
                    <w:rPr>
                      <w:rFonts w:eastAsia="宋体"/>
                      <w:color w:val="auto"/>
                      <w:szCs w:val="21"/>
                    </w:rPr>
                  </w:pPr>
                  <w:r>
                    <w:rPr>
                      <w:rFonts w:eastAsia="宋体"/>
                      <w:color w:val="auto"/>
                      <w:szCs w:val="21"/>
                    </w:rPr>
                    <w:t>相符</w:t>
                  </w:r>
                </w:p>
              </w:tc>
            </w:tr>
            <w:tr w14:paraId="78DD78E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vMerge w:val="continue"/>
                  <w:noWrap w:val="0"/>
                  <w:tcMar>
                    <w:top w:w="0" w:type="dxa"/>
                    <w:left w:w="0" w:type="dxa"/>
                    <w:bottom w:w="0" w:type="dxa"/>
                    <w:right w:w="0" w:type="dxa"/>
                  </w:tcMar>
                  <w:vAlign w:val="center"/>
                </w:tcPr>
                <w:p w14:paraId="368A9265">
                  <w:pPr>
                    <w:adjustRightInd w:val="0"/>
                    <w:snapToGrid w:val="0"/>
                    <w:jc w:val="center"/>
                    <w:rPr>
                      <w:color w:val="auto"/>
                      <w:szCs w:val="21"/>
                    </w:rPr>
                  </w:pPr>
                </w:p>
              </w:tc>
              <w:tc>
                <w:tcPr>
                  <w:tcW w:w="2281" w:type="pct"/>
                  <w:gridSpan w:val="2"/>
                  <w:noWrap w:val="0"/>
                  <w:tcMar>
                    <w:top w:w="0" w:type="dxa"/>
                    <w:left w:w="0" w:type="dxa"/>
                    <w:bottom w:w="0" w:type="dxa"/>
                    <w:right w:w="0" w:type="dxa"/>
                  </w:tcMar>
                  <w:vAlign w:val="center"/>
                </w:tcPr>
                <w:p w14:paraId="019E1705">
                  <w:pPr>
                    <w:adjustRightInd w:val="0"/>
                    <w:snapToGrid w:val="0"/>
                    <w:jc w:val="center"/>
                    <w:rPr>
                      <w:color w:val="auto"/>
                      <w:szCs w:val="21"/>
                    </w:rPr>
                  </w:pPr>
                  <w:r>
                    <w:rPr>
                      <w:color w:val="auto"/>
                      <w:szCs w:val="21"/>
                    </w:rPr>
                    <w:t>太湖流域一、二、三级保护区禁止下列行为：（一）新建、改建、扩建化学制浆造纸、制革、酿造、染料、印染、电镀以及其他排放含磷、氮等污染物的企业和项目，城镇污水集中处理等环境基础设施项目和第四十六条规定的情形除外；（二）销售、使用含磷洗涤用品；（三）向水体排放或者倾倒油类、酸液、碱液、剧毒废渣废液、含放射性废渣废液、含病原体污水、工业废渣以及其他废弃物。</w:t>
                  </w:r>
                </w:p>
              </w:tc>
              <w:tc>
                <w:tcPr>
                  <w:tcW w:w="1594" w:type="pct"/>
                  <w:noWrap w:val="0"/>
                  <w:tcMar>
                    <w:top w:w="0" w:type="dxa"/>
                    <w:left w:w="0" w:type="dxa"/>
                    <w:bottom w:w="0" w:type="dxa"/>
                    <w:right w:w="0" w:type="dxa"/>
                  </w:tcMar>
                  <w:vAlign w:val="center"/>
                </w:tcPr>
                <w:p w14:paraId="70445CDD">
                  <w:pPr>
                    <w:adjustRightInd w:val="0"/>
                    <w:snapToGrid w:val="0"/>
                    <w:jc w:val="left"/>
                    <w:rPr>
                      <w:rFonts w:hint="eastAsia" w:eastAsia="宋体"/>
                      <w:color w:val="auto"/>
                      <w:szCs w:val="21"/>
                      <w:lang w:eastAsia="zh-CN"/>
                    </w:rPr>
                  </w:pPr>
                  <w:r>
                    <w:rPr>
                      <w:color w:val="auto"/>
                      <w:szCs w:val="21"/>
                    </w:rPr>
                    <w:t>（一）本项目不属于禁止类项目；（二）本项目</w:t>
                  </w:r>
                  <w:r>
                    <w:rPr>
                      <w:rFonts w:hint="eastAsia"/>
                      <w:color w:val="auto"/>
                      <w:szCs w:val="21"/>
                      <w:lang w:val="en-US" w:eastAsia="zh-CN"/>
                    </w:rPr>
                    <w:t>不</w:t>
                  </w:r>
                  <w:r>
                    <w:rPr>
                      <w:color w:val="auto"/>
                      <w:szCs w:val="21"/>
                    </w:rPr>
                    <w:t>使用含磷洗涤用品；（三）项目不排放生产废水，不向水体排放或倾倒废水、废渣及其他废弃物</w:t>
                  </w:r>
                  <w:r>
                    <w:rPr>
                      <w:rFonts w:hint="eastAsia"/>
                      <w:color w:val="auto"/>
                      <w:szCs w:val="21"/>
                      <w:lang w:eastAsia="zh-CN"/>
                    </w:rPr>
                    <w:t>。</w:t>
                  </w:r>
                </w:p>
              </w:tc>
              <w:tc>
                <w:tcPr>
                  <w:tcW w:w="365" w:type="pct"/>
                  <w:noWrap w:val="0"/>
                  <w:tcMar>
                    <w:top w:w="0" w:type="dxa"/>
                    <w:left w:w="0" w:type="dxa"/>
                    <w:bottom w:w="0" w:type="dxa"/>
                    <w:right w:w="0" w:type="dxa"/>
                  </w:tcMar>
                  <w:vAlign w:val="center"/>
                </w:tcPr>
                <w:p w14:paraId="0D866E3D">
                  <w:pPr>
                    <w:pStyle w:val="75"/>
                    <w:adjustRightInd w:val="0"/>
                    <w:snapToGrid w:val="0"/>
                    <w:spacing w:line="240" w:lineRule="auto"/>
                    <w:rPr>
                      <w:rFonts w:eastAsia="宋体"/>
                      <w:color w:val="auto"/>
                      <w:szCs w:val="21"/>
                    </w:rPr>
                  </w:pPr>
                  <w:r>
                    <w:rPr>
                      <w:rFonts w:eastAsia="宋体"/>
                      <w:color w:val="auto"/>
                      <w:szCs w:val="21"/>
                    </w:rPr>
                    <w:t>相符</w:t>
                  </w:r>
                </w:p>
              </w:tc>
            </w:tr>
            <w:tr w14:paraId="19402C8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59" w:type="pct"/>
                  <w:noWrap w:val="0"/>
                  <w:tcMar>
                    <w:top w:w="0" w:type="dxa"/>
                    <w:left w:w="0" w:type="dxa"/>
                    <w:bottom w:w="0" w:type="dxa"/>
                    <w:right w:w="0" w:type="dxa"/>
                  </w:tcMar>
                  <w:vAlign w:val="center"/>
                </w:tcPr>
                <w:p w14:paraId="08D58B34">
                  <w:pPr>
                    <w:pStyle w:val="9"/>
                    <w:jc w:val="center"/>
                    <w:rPr>
                      <w:color w:val="auto"/>
                      <w:szCs w:val="21"/>
                    </w:rPr>
                  </w:pPr>
                  <w:r>
                    <w:rPr>
                      <w:rFonts w:hint="eastAsia"/>
                      <w:color w:val="auto"/>
                      <w:szCs w:val="21"/>
                    </w:rPr>
                    <w:t>《关于做好生态环境和应急管理部门联动工作的意见》（苏环[2020]101号）</w:t>
                  </w:r>
                </w:p>
              </w:tc>
              <w:tc>
                <w:tcPr>
                  <w:tcW w:w="2281" w:type="pct"/>
                  <w:gridSpan w:val="2"/>
                  <w:noWrap w:val="0"/>
                  <w:tcMar>
                    <w:top w:w="0" w:type="dxa"/>
                    <w:left w:w="0" w:type="dxa"/>
                    <w:bottom w:w="0" w:type="dxa"/>
                    <w:right w:w="0" w:type="dxa"/>
                  </w:tcMar>
                  <w:vAlign w:val="center"/>
                </w:tcPr>
                <w:p w14:paraId="3ADABB80">
                  <w:pPr>
                    <w:adjustRightInd w:val="0"/>
                    <w:snapToGrid w:val="0"/>
                    <w:jc w:val="center"/>
                    <w:rPr>
                      <w:color w:val="auto"/>
                      <w:szCs w:val="21"/>
                    </w:rPr>
                  </w:pPr>
                  <w:r>
                    <w:rPr>
                      <w:rFonts w:hint="eastAsia"/>
                      <w:color w:val="auto"/>
                      <w:szCs w:val="21"/>
                    </w:rPr>
                    <w:t>企业要对脱硫脱硝、煤改气、挥发性有机物回收、污水处理、粉尘治理、RTO焚烧炉等六类环境治理设施开展安全风险辨识管控，要健全内部污染防治设施稳定运行和管理责任制度，严格依据标准规范建设环境治理设施。确保环境治理设施安全、稳定、有效运行。</w:t>
                  </w:r>
                </w:p>
              </w:tc>
              <w:tc>
                <w:tcPr>
                  <w:tcW w:w="1594" w:type="pct"/>
                  <w:noWrap w:val="0"/>
                  <w:tcMar>
                    <w:top w:w="0" w:type="dxa"/>
                    <w:left w:w="0" w:type="dxa"/>
                    <w:bottom w:w="0" w:type="dxa"/>
                    <w:right w:w="0" w:type="dxa"/>
                  </w:tcMar>
                  <w:vAlign w:val="center"/>
                </w:tcPr>
                <w:p w14:paraId="0CBF5441">
                  <w:pPr>
                    <w:adjustRightInd w:val="0"/>
                    <w:snapToGrid w:val="0"/>
                    <w:jc w:val="center"/>
                    <w:rPr>
                      <w:color w:val="auto"/>
                      <w:szCs w:val="21"/>
                    </w:rPr>
                  </w:pPr>
                  <w:r>
                    <w:rPr>
                      <w:color w:val="auto"/>
                      <w:szCs w:val="21"/>
                    </w:rPr>
                    <w:t>本项目实施后，按要求</w:t>
                  </w:r>
                  <w:r>
                    <w:rPr>
                      <w:rFonts w:hint="eastAsia"/>
                      <w:color w:val="auto"/>
                      <w:szCs w:val="21"/>
                    </w:rPr>
                    <w:t>编制环保设施安全风险辨识评估报告。</w:t>
                  </w:r>
                </w:p>
              </w:tc>
              <w:tc>
                <w:tcPr>
                  <w:tcW w:w="365" w:type="pct"/>
                  <w:noWrap w:val="0"/>
                  <w:tcMar>
                    <w:top w:w="0" w:type="dxa"/>
                    <w:left w:w="0" w:type="dxa"/>
                    <w:bottom w:w="0" w:type="dxa"/>
                    <w:right w:w="0" w:type="dxa"/>
                  </w:tcMar>
                  <w:vAlign w:val="center"/>
                </w:tcPr>
                <w:p w14:paraId="6098088B">
                  <w:pPr>
                    <w:pStyle w:val="75"/>
                    <w:adjustRightInd w:val="0"/>
                    <w:snapToGrid w:val="0"/>
                    <w:spacing w:line="240" w:lineRule="auto"/>
                    <w:rPr>
                      <w:rFonts w:eastAsia="宋体"/>
                      <w:color w:val="auto"/>
                      <w:szCs w:val="21"/>
                    </w:rPr>
                  </w:pPr>
                  <w:r>
                    <w:rPr>
                      <w:rFonts w:hint="eastAsia" w:eastAsia="宋体"/>
                      <w:color w:val="auto"/>
                      <w:szCs w:val="21"/>
                    </w:rPr>
                    <w:t>相符</w:t>
                  </w:r>
                </w:p>
              </w:tc>
            </w:tr>
          </w:tbl>
          <w:p w14:paraId="038F59B7">
            <w:pPr>
              <w:pStyle w:val="7"/>
              <w:keepNext w:val="0"/>
              <w:keepLines w:val="0"/>
              <w:pageBreakBefore w:val="0"/>
              <w:widowControl w:val="0"/>
              <w:kinsoku/>
              <w:wordWrap/>
              <w:overflowPunct/>
              <w:topLinePunct w:val="0"/>
              <w:autoSpaceDE/>
              <w:autoSpaceDN/>
              <w:bidi w:val="0"/>
              <w:adjustRightInd w:val="0"/>
              <w:snapToGrid w:val="0"/>
              <w:spacing w:line="360" w:lineRule="auto"/>
              <w:ind w:firstLine="422"/>
              <w:textAlignment w:val="auto"/>
              <w:rPr>
                <w:b/>
                <w:bCs/>
                <w:color w:val="auto"/>
                <w:szCs w:val="21"/>
              </w:rPr>
            </w:pPr>
            <w:r>
              <w:rPr>
                <w:rFonts w:hint="eastAsia"/>
                <w:b/>
                <w:bCs/>
                <w:color w:val="auto"/>
                <w:szCs w:val="21"/>
              </w:rPr>
              <w:t>五、</w:t>
            </w:r>
            <w:r>
              <w:rPr>
                <w:b/>
                <w:bCs/>
                <w:color w:val="auto"/>
                <w:szCs w:val="21"/>
              </w:rPr>
              <w:t>与《省生态环境厅关于进一步做好建设项目环境审批工作的通知》（苏环办[2019]36号）相符性</w:t>
            </w:r>
          </w:p>
          <w:p w14:paraId="22B189E8">
            <w:pPr>
              <w:pStyle w:val="7"/>
              <w:adjustRightInd w:val="0"/>
              <w:snapToGrid w:val="0"/>
              <w:spacing w:line="360" w:lineRule="auto"/>
              <w:rPr>
                <w:color w:val="auto"/>
                <w:szCs w:val="21"/>
              </w:rPr>
            </w:pPr>
            <w:r>
              <w:rPr>
                <w:color w:val="auto"/>
                <w:szCs w:val="21"/>
              </w:rPr>
              <w:t>本项目与“苏环办[2019]36号”相符性分析具体见下表。</w:t>
            </w:r>
          </w:p>
          <w:p w14:paraId="6B3D9288">
            <w:pPr>
              <w:pStyle w:val="7"/>
              <w:adjustRightInd w:val="0"/>
              <w:snapToGrid w:val="0"/>
              <w:ind w:firstLine="0" w:firstLineChars="0"/>
              <w:jc w:val="center"/>
              <w:rPr>
                <w:b/>
                <w:bCs/>
                <w:color w:val="auto"/>
                <w:szCs w:val="21"/>
              </w:rPr>
            </w:pPr>
            <w:r>
              <w:rPr>
                <w:b/>
                <w:color w:val="auto"/>
                <w:szCs w:val="21"/>
              </w:rPr>
              <w:t>表1-</w:t>
            </w:r>
            <w:r>
              <w:rPr>
                <w:rFonts w:hint="eastAsia"/>
                <w:b/>
                <w:color w:val="auto"/>
                <w:szCs w:val="21"/>
                <w:lang w:val="en-US" w:eastAsia="zh-CN"/>
              </w:rPr>
              <w:t>9</w:t>
            </w:r>
            <w:r>
              <w:rPr>
                <w:b/>
                <w:color w:val="auto"/>
                <w:szCs w:val="21"/>
              </w:rPr>
              <w:t xml:space="preserve"> 与“苏环办[2019]36号”</w:t>
            </w:r>
            <w:r>
              <w:rPr>
                <w:b/>
                <w:bCs/>
                <w:color w:val="auto"/>
                <w:szCs w:val="21"/>
              </w:rPr>
              <w:t>相符性分析</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323"/>
              <w:gridCol w:w="3477"/>
              <w:gridCol w:w="2624"/>
              <w:gridCol w:w="574"/>
            </w:tblGrid>
            <w:tr w14:paraId="70BAD2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blHeader/>
                <w:jc w:val="center"/>
              </w:trPr>
              <w:tc>
                <w:tcPr>
                  <w:tcW w:w="827" w:type="pct"/>
                  <w:noWrap w:val="0"/>
                  <w:vAlign w:val="center"/>
                </w:tcPr>
                <w:p w14:paraId="3238F578">
                  <w:pPr>
                    <w:widowControl/>
                    <w:jc w:val="center"/>
                    <w:rPr>
                      <w:b/>
                      <w:color w:val="auto"/>
                      <w:kern w:val="0"/>
                      <w:szCs w:val="21"/>
                    </w:rPr>
                  </w:pPr>
                  <w:r>
                    <w:rPr>
                      <w:b/>
                      <w:color w:val="auto"/>
                      <w:kern w:val="0"/>
                      <w:szCs w:val="21"/>
                    </w:rPr>
                    <w:t>类别</w:t>
                  </w:r>
                </w:p>
              </w:tc>
              <w:tc>
                <w:tcPr>
                  <w:tcW w:w="2173" w:type="pct"/>
                  <w:noWrap w:val="0"/>
                  <w:vAlign w:val="center"/>
                </w:tcPr>
                <w:p w14:paraId="77EBE0DA">
                  <w:pPr>
                    <w:widowControl/>
                    <w:jc w:val="center"/>
                    <w:rPr>
                      <w:b/>
                      <w:color w:val="auto"/>
                      <w:kern w:val="0"/>
                      <w:szCs w:val="21"/>
                    </w:rPr>
                  </w:pPr>
                  <w:r>
                    <w:rPr>
                      <w:b/>
                      <w:color w:val="auto"/>
                      <w:kern w:val="0"/>
                      <w:szCs w:val="21"/>
                    </w:rPr>
                    <w:t>文件要求（建设项目环评审批要点）</w:t>
                  </w:r>
                </w:p>
              </w:tc>
              <w:tc>
                <w:tcPr>
                  <w:tcW w:w="1640" w:type="pct"/>
                  <w:noWrap w:val="0"/>
                  <w:vAlign w:val="center"/>
                </w:tcPr>
                <w:p w14:paraId="7D50D8CC">
                  <w:pPr>
                    <w:widowControl/>
                    <w:jc w:val="center"/>
                    <w:rPr>
                      <w:b/>
                      <w:color w:val="auto"/>
                      <w:kern w:val="0"/>
                      <w:szCs w:val="21"/>
                    </w:rPr>
                  </w:pPr>
                  <w:r>
                    <w:rPr>
                      <w:b/>
                      <w:color w:val="auto"/>
                      <w:kern w:val="0"/>
                      <w:szCs w:val="21"/>
                    </w:rPr>
                    <w:t>符合性分析</w:t>
                  </w:r>
                </w:p>
              </w:tc>
              <w:tc>
                <w:tcPr>
                  <w:tcW w:w="358" w:type="pct"/>
                  <w:noWrap w:val="0"/>
                  <w:vAlign w:val="center"/>
                </w:tcPr>
                <w:p w14:paraId="38F79244">
                  <w:pPr>
                    <w:widowControl/>
                    <w:jc w:val="center"/>
                    <w:rPr>
                      <w:b/>
                      <w:color w:val="auto"/>
                      <w:kern w:val="0"/>
                      <w:szCs w:val="21"/>
                    </w:rPr>
                  </w:pPr>
                  <w:r>
                    <w:rPr>
                      <w:b/>
                      <w:color w:val="auto"/>
                      <w:kern w:val="0"/>
                      <w:szCs w:val="21"/>
                    </w:rPr>
                    <w:t>符合情况</w:t>
                  </w:r>
                </w:p>
              </w:tc>
            </w:tr>
            <w:tr w14:paraId="41D3D3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27" w:type="pct"/>
                  <w:noWrap w:val="0"/>
                  <w:vAlign w:val="center"/>
                </w:tcPr>
                <w:p w14:paraId="2F43B06D">
                  <w:pPr>
                    <w:widowControl/>
                    <w:jc w:val="center"/>
                    <w:rPr>
                      <w:color w:val="auto"/>
                      <w:kern w:val="0"/>
                      <w:szCs w:val="21"/>
                    </w:rPr>
                  </w:pPr>
                  <w:r>
                    <w:rPr>
                      <w:color w:val="auto"/>
                      <w:kern w:val="0"/>
                      <w:szCs w:val="21"/>
                    </w:rPr>
                    <w:t>《建设项目环境保护管理条例》</w:t>
                  </w:r>
                </w:p>
              </w:tc>
              <w:tc>
                <w:tcPr>
                  <w:tcW w:w="2173" w:type="pct"/>
                  <w:noWrap w:val="0"/>
                  <w:vAlign w:val="center"/>
                </w:tcPr>
                <w:p w14:paraId="24695CA8">
                  <w:pPr>
                    <w:widowControl/>
                    <w:jc w:val="left"/>
                    <w:rPr>
                      <w:color w:val="auto"/>
                      <w:kern w:val="0"/>
                      <w:szCs w:val="21"/>
                    </w:rPr>
                  </w:pPr>
                  <w:r>
                    <w:rPr>
                      <w:color w:val="auto"/>
                      <w:kern w:val="0"/>
                      <w:szCs w:val="21"/>
                    </w:rPr>
                    <w:t>有下列情形之一的，不予批准：（1）建设项目类型及其选址、布局、规模等不符合环境保护法律法规和相关法定规划；（2）所在区域环境质量未达到国家或者地方环境质量标准，且建设项目拟采取的措施不能满足区域环境质量改善目标管理要求；（3）建设项目采取的污染防治措施无法确保污染物排放达到国家和地方排放标准，或者未采取必要措施预防和控制生态破坏；（4）改建、扩建和技术改造项目，未针对项目原有环境污染和生态破坏提出有效防止措施；（5）建设项目的环境影响报告书、环境影响报告表的基础资料数据明显不实，内容存在重大缺陷、遗漏，或者环境影响评价结论不明确、不合理。</w:t>
                  </w:r>
                </w:p>
              </w:tc>
              <w:tc>
                <w:tcPr>
                  <w:tcW w:w="1640" w:type="pct"/>
                  <w:noWrap w:val="0"/>
                  <w:vAlign w:val="center"/>
                </w:tcPr>
                <w:p w14:paraId="4824B159">
                  <w:pPr>
                    <w:widowControl/>
                    <w:rPr>
                      <w:color w:val="auto"/>
                      <w:kern w:val="0"/>
                      <w:szCs w:val="21"/>
                    </w:rPr>
                  </w:pPr>
                  <w:r>
                    <w:rPr>
                      <w:color w:val="auto"/>
                      <w:kern w:val="0"/>
                      <w:szCs w:val="21"/>
                    </w:rPr>
                    <w:t>（1）本项目位于</w:t>
                  </w:r>
                  <w:r>
                    <w:rPr>
                      <w:rFonts w:hint="eastAsia"/>
                      <w:color w:val="auto"/>
                      <w:szCs w:val="21"/>
                      <w:lang w:eastAsia="zh-CN"/>
                    </w:rPr>
                    <w:t>常州市金坛区经济开发区东湖路28号</w:t>
                  </w:r>
                  <w:r>
                    <w:rPr>
                      <w:color w:val="auto"/>
                      <w:kern w:val="0"/>
                      <w:szCs w:val="21"/>
                    </w:rPr>
                    <w:t>，</w:t>
                  </w:r>
                  <w:r>
                    <w:rPr>
                      <w:rFonts w:hint="eastAsia"/>
                      <w:color w:val="auto"/>
                      <w:kern w:val="0"/>
                      <w:szCs w:val="21"/>
                    </w:rPr>
                    <w:t>利用</w:t>
                  </w:r>
                  <w:r>
                    <w:rPr>
                      <w:rFonts w:hint="eastAsia"/>
                      <w:color w:val="auto"/>
                      <w:kern w:val="0"/>
                      <w:szCs w:val="21"/>
                      <w:lang w:val="en-US" w:eastAsia="zh-CN"/>
                    </w:rPr>
                    <w:t>租赁</w:t>
                  </w:r>
                  <w:r>
                    <w:rPr>
                      <w:rFonts w:hint="eastAsia"/>
                      <w:color w:val="auto"/>
                      <w:kern w:val="0"/>
                      <w:szCs w:val="21"/>
                    </w:rPr>
                    <w:t>厂房空置部分</w:t>
                  </w:r>
                  <w:r>
                    <w:rPr>
                      <w:color w:val="auto"/>
                      <w:kern w:val="0"/>
                      <w:szCs w:val="21"/>
                    </w:rPr>
                    <w:t>，从事</w:t>
                  </w:r>
                  <w:r>
                    <w:rPr>
                      <w:rFonts w:hint="eastAsia"/>
                      <w:color w:val="auto"/>
                      <w:kern w:val="0"/>
                      <w:szCs w:val="21"/>
                      <w:lang w:eastAsia="zh-CN"/>
                    </w:rPr>
                    <w:t>热塑性弹性体颗</w:t>
                  </w:r>
                  <w:r>
                    <w:rPr>
                      <w:rFonts w:hint="eastAsia" w:ascii="Times New Roman" w:hAnsi="Times New Roman" w:eastAsia="宋体" w:cs="Times New Roman"/>
                      <w:color w:val="auto"/>
                      <w:lang w:eastAsia="zh-CN"/>
                    </w:rPr>
                    <w:t>粒</w:t>
                  </w:r>
                  <w:r>
                    <w:rPr>
                      <w:rFonts w:hint="eastAsia"/>
                      <w:color w:val="auto"/>
                      <w:kern w:val="0"/>
                      <w:szCs w:val="21"/>
                      <w:lang w:eastAsia="zh-CN"/>
                    </w:rPr>
                    <w:t>、汽车密封件</w:t>
                  </w:r>
                  <w:r>
                    <w:rPr>
                      <w:color w:val="auto"/>
                      <w:kern w:val="0"/>
                      <w:szCs w:val="21"/>
                    </w:rPr>
                    <w:t>的生产。根据</w:t>
                  </w:r>
                  <w:r>
                    <w:rPr>
                      <w:rFonts w:hint="eastAsia"/>
                      <w:color w:val="auto"/>
                      <w:lang w:eastAsia="zh-CN"/>
                    </w:rPr>
                    <w:t>常州市金坛区金沙老城控制性详细规划（修改）</w:t>
                  </w:r>
                  <w:r>
                    <w:rPr>
                      <w:color w:val="auto"/>
                      <w:kern w:val="0"/>
                      <w:szCs w:val="21"/>
                    </w:rPr>
                    <w:t>，项目所在地块为工业用地，与规划相符；（2）</w:t>
                  </w:r>
                  <w:r>
                    <w:rPr>
                      <w:color w:val="auto"/>
                      <w:spacing w:val="6"/>
                      <w:szCs w:val="21"/>
                    </w:rPr>
                    <w:t>本项目所在区域属于环境空气不达标区，根据大气环境质量改善方案，大气环境质量状况可以得到进一步改善</w:t>
                  </w:r>
                  <w:r>
                    <w:rPr>
                      <w:color w:val="auto"/>
                      <w:kern w:val="0"/>
                      <w:szCs w:val="21"/>
                    </w:rPr>
                    <w:t>；根据现状监测结果可知，项目所在地的</w:t>
                  </w:r>
                  <w:r>
                    <w:rPr>
                      <w:rFonts w:hint="eastAsia"/>
                      <w:color w:val="auto"/>
                      <w:kern w:val="0"/>
                      <w:szCs w:val="21"/>
                    </w:rPr>
                    <w:t>大气、</w:t>
                  </w:r>
                  <w:r>
                    <w:rPr>
                      <w:color w:val="auto"/>
                      <w:kern w:val="0"/>
                      <w:szCs w:val="21"/>
                    </w:rPr>
                    <w:t>地表水检测结果均满足相应质量标准</w:t>
                  </w:r>
                  <w:r>
                    <w:rPr>
                      <w:rFonts w:hint="eastAsia"/>
                      <w:color w:val="auto"/>
                      <w:kern w:val="0"/>
                      <w:szCs w:val="21"/>
                    </w:rPr>
                    <w:t>；</w:t>
                  </w:r>
                  <w:r>
                    <w:rPr>
                      <w:color w:val="auto"/>
                      <w:kern w:val="0"/>
                      <w:szCs w:val="21"/>
                    </w:rPr>
                    <w:t>本项目拟采取的措施能够满足区域环境质量改善目标管理要求；（3）项目污染物经处理后可稳定达到国家和地方排放标准；（4）本项目为</w:t>
                  </w:r>
                  <w:r>
                    <w:rPr>
                      <w:rFonts w:hint="eastAsia"/>
                      <w:color w:val="auto"/>
                      <w:kern w:val="0"/>
                      <w:szCs w:val="21"/>
                      <w:lang w:val="en-US" w:eastAsia="zh-CN"/>
                    </w:rPr>
                    <w:t>搬迁</w:t>
                  </w:r>
                  <w:r>
                    <w:rPr>
                      <w:color w:val="auto"/>
                      <w:kern w:val="0"/>
                      <w:szCs w:val="21"/>
                    </w:rPr>
                    <w:t>项目，</w:t>
                  </w:r>
                  <w:r>
                    <w:rPr>
                      <w:rFonts w:hint="eastAsia"/>
                      <w:color w:val="auto"/>
                      <w:kern w:val="0"/>
                      <w:szCs w:val="21"/>
                      <w:lang w:val="en-US" w:eastAsia="zh-CN"/>
                    </w:rPr>
                    <w:t>原有</w:t>
                  </w:r>
                  <w:r>
                    <w:rPr>
                      <w:color w:val="auto"/>
                      <w:kern w:val="0"/>
                      <w:szCs w:val="21"/>
                    </w:rPr>
                    <w:t>项目已取得审批意见；（5）本项目基础资料由</w:t>
                  </w:r>
                  <w:r>
                    <w:rPr>
                      <w:rFonts w:hint="eastAsia"/>
                      <w:color w:val="auto"/>
                      <w:szCs w:val="21"/>
                    </w:rPr>
                    <w:t>建设单位</w:t>
                  </w:r>
                  <w:r>
                    <w:rPr>
                      <w:color w:val="auto"/>
                      <w:kern w:val="0"/>
                      <w:szCs w:val="21"/>
                    </w:rPr>
                    <w:t>进行认真核实，并对提供资料的真实性进行承诺，基础数据真实有效，评价结论合理可信。</w:t>
                  </w:r>
                </w:p>
              </w:tc>
              <w:tc>
                <w:tcPr>
                  <w:tcW w:w="358" w:type="pct"/>
                  <w:noWrap w:val="0"/>
                  <w:vAlign w:val="center"/>
                </w:tcPr>
                <w:p w14:paraId="550BD199">
                  <w:pPr>
                    <w:widowControl/>
                    <w:jc w:val="center"/>
                    <w:rPr>
                      <w:color w:val="auto"/>
                      <w:kern w:val="0"/>
                      <w:szCs w:val="21"/>
                    </w:rPr>
                  </w:pPr>
                  <w:r>
                    <w:rPr>
                      <w:color w:val="auto"/>
                      <w:kern w:val="0"/>
                      <w:szCs w:val="21"/>
                    </w:rPr>
                    <w:t>相符</w:t>
                  </w:r>
                </w:p>
              </w:tc>
            </w:tr>
            <w:tr w14:paraId="0658E0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27" w:type="pct"/>
                  <w:noWrap w:val="0"/>
                  <w:vAlign w:val="center"/>
                </w:tcPr>
                <w:p w14:paraId="1E366F1B">
                  <w:pPr>
                    <w:widowControl/>
                    <w:jc w:val="center"/>
                    <w:rPr>
                      <w:color w:val="auto"/>
                      <w:kern w:val="0"/>
                      <w:szCs w:val="21"/>
                    </w:rPr>
                  </w:pPr>
                  <w:r>
                    <w:rPr>
                      <w:color w:val="auto"/>
                      <w:kern w:val="0"/>
                      <w:szCs w:val="21"/>
                    </w:rPr>
                    <w:t>《农用地土壤环境管理办法（试行）》（环境保护部 农业部令第46号）</w:t>
                  </w:r>
                </w:p>
              </w:tc>
              <w:tc>
                <w:tcPr>
                  <w:tcW w:w="2173" w:type="pct"/>
                  <w:noWrap w:val="0"/>
                  <w:vAlign w:val="center"/>
                </w:tcPr>
                <w:p w14:paraId="6A77B6CB">
                  <w:pPr>
                    <w:widowControl/>
                    <w:rPr>
                      <w:color w:val="auto"/>
                      <w:kern w:val="0"/>
                      <w:szCs w:val="21"/>
                    </w:rPr>
                  </w:pPr>
                  <w:r>
                    <w:rPr>
                      <w:color w:val="auto"/>
                      <w:kern w:val="0"/>
                      <w:szCs w:val="21"/>
                    </w:rPr>
                    <w:t>严格控制在优先保护类耕地集中区域新建有色金属冶炼、石油加工、化工、焦化、电镀、制革等行业企业，有关环境保护主管部门依法不予审批可能造成耕地土壤污染的建设项目环境影响报告书或者报告表。</w:t>
                  </w:r>
                </w:p>
              </w:tc>
              <w:tc>
                <w:tcPr>
                  <w:tcW w:w="1640" w:type="pct"/>
                  <w:noWrap w:val="0"/>
                  <w:vAlign w:val="center"/>
                </w:tcPr>
                <w:p w14:paraId="211CFFBA">
                  <w:pPr>
                    <w:widowControl/>
                    <w:jc w:val="left"/>
                    <w:rPr>
                      <w:color w:val="auto"/>
                      <w:kern w:val="0"/>
                      <w:szCs w:val="21"/>
                    </w:rPr>
                  </w:pPr>
                  <w:r>
                    <w:rPr>
                      <w:color w:val="auto"/>
                      <w:spacing w:val="-2"/>
                      <w:kern w:val="0"/>
                      <w:szCs w:val="21"/>
                    </w:rPr>
                    <w:t>本项目</w:t>
                  </w:r>
                  <w:r>
                    <w:rPr>
                      <w:color w:val="auto"/>
                      <w:kern w:val="0"/>
                      <w:szCs w:val="21"/>
                    </w:rPr>
                    <w:t>从事</w:t>
                  </w:r>
                  <w:r>
                    <w:rPr>
                      <w:rFonts w:hint="eastAsia"/>
                      <w:color w:val="auto"/>
                      <w:kern w:val="0"/>
                      <w:szCs w:val="21"/>
                      <w:lang w:eastAsia="zh-CN"/>
                    </w:rPr>
                    <w:t>热塑性弹性体颗</w:t>
                  </w:r>
                  <w:r>
                    <w:rPr>
                      <w:rFonts w:hint="eastAsia" w:ascii="Times New Roman" w:hAnsi="Times New Roman" w:eastAsia="宋体" w:cs="Times New Roman"/>
                      <w:color w:val="auto"/>
                      <w:lang w:eastAsia="zh-CN"/>
                    </w:rPr>
                    <w:t>粒</w:t>
                  </w:r>
                  <w:r>
                    <w:rPr>
                      <w:rFonts w:hint="eastAsia"/>
                      <w:color w:val="auto"/>
                      <w:kern w:val="0"/>
                      <w:szCs w:val="21"/>
                      <w:lang w:eastAsia="zh-CN"/>
                    </w:rPr>
                    <w:t>、汽车密封件</w:t>
                  </w:r>
                  <w:r>
                    <w:rPr>
                      <w:color w:val="auto"/>
                      <w:kern w:val="0"/>
                      <w:szCs w:val="21"/>
                    </w:rPr>
                    <w:t>的生产，项目用地性质为工业用地。</w:t>
                  </w:r>
                </w:p>
              </w:tc>
              <w:tc>
                <w:tcPr>
                  <w:tcW w:w="358" w:type="pct"/>
                  <w:noWrap w:val="0"/>
                  <w:vAlign w:val="center"/>
                </w:tcPr>
                <w:p w14:paraId="5F2941FC">
                  <w:pPr>
                    <w:widowControl/>
                    <w:jc w:val="center"/>
                    <w:rPr>
                      <w:color w:val="auto"/>
                      <w:kern w:val="0"/>
                      <w:szCs w:val="21"/>
                    </w:rPr>
                  </w:pPr>
                  <w:r>
                    <w:rPr>
                      <w:color w:val="auto"/>
                      <w:kern w:val="0"/>
                      <w:szCs w:val="21"/>
                    </w:rPr>
                    <w:t>相符</w:t>
                  </w:r>
                </w:p>
              </w:tc>
            </w:tr>
            <w:tr w14:paraId="10A352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27" w:type="pct"/>
                  <w:noWrap w:val="0"/>
                  <w:vAlign w:val="center"/>
                </w:tcPr>
                <w:p w14:paraId="1B2573FE">
                  <w:pPr>
                    <w:widowControl/>
                    <w:jc w:val="center"/>
                    <w:rPr>
                      <w:color w:val="auto"/>
                      <w:kern w:val="0"/>
                      <w:szCs w:val="21"/>
                    </w:rPr>
                  </w:pPr>
                  <w:r>
                    <w:rPr>
                      <w:color w:val="auto"/>
                      <w:kern w:val="0"/>
                      <w:szCs w:val="21"/>
                    </w:rPr>
                    <w:t>《关于印发&lt;建设项目主要污染物排放总量指标审核及管理暂行办法&gt;的通</w:t>
                  </w:r>
                  <w:r>
                    <w:rPr>
                      <w:color w:val="auto"/>
                      <w:kern w:val="0"/>
                      <w:szCs w:val="21"/>
                    </w:rPr>
                    <w:cr/>
                  </w:r>
                  <w:r>
                    <w:rPr>
                      <w:color w:val="auto"/>
                      <w:kern w:val="0"/>
                      <w:szCs w:val="21"/>
                    </w:rPr>
                    <w:t>》（环发[2014]197号）</w:t>
                  </w:r>
                </w:p>
              </w:tc>
              <w:tc>
                <w:tcPr>
                  <w:tcW w:w="2173" w:type="pct"/>
                  <w:noWrap w:val="0"/>
                  <w:vAlign w:val="center"/>
                </w:tcPr>
                <w:p w14:paraId="7D1D0562">
                  <w:pPr>
                    <w:widowControl/>
                    <w:rPr>
                      <w:color w:val="auto"/>
                      <w:kern w:val="0"/>
                      <w:szCs w:val="21"/>
                    </w:rPr>
                  </w:pPr>
                  <w:r>
                    <w:rPr>
                      <w:color w:val="auto"/>
                      <w:kern w:val="0"/>
                      <w:szCs w:val="21"/>
                    </w:rPr>
                    <w:t>严格落实污染物排放总量控制制度，把主要污染物排放总量指标作为建设项目环境影响评价审批的前置条件。排放主要污染物的建设项目，在环境影响评价文件审批前，须取得主要污染物排放总量指标。</w:t>
                  </w:r>
                </w:p>
              </w:tc>
              <w:tc>
                <w:tcPr>
                  <w:tcW w:w="1640" w:type="pct"/>
                  <w:noWrap w:val="0"/>
                  <w:vAlign w:val="center"/>
                </w:tcPr>
                <w:p w14:paraId="71341B3A">
                  <w:pPr>
                    <w:widowControl/>
                    <w:jc w:val="left"/>
                    <w:rPr>
                      <w:color w:val="auto"/>
                      <w:kern w:val="0"/>
                      <w:szCs w:val="21"/>
                    </w:rPr>
                  </w:pPr>
                  <w:r>
                    <w:rPr>
                      <w:rFonts w:hint="eastAsia"/>
                      <w:color w:val="auto"/>
                      <w:kern w:val="0"/>
                      <w:szCs w:val="21"/>
                    </w:rPr>
                    <w:t>本项目</w:t>
                  </w:r>
                  <w:r>
                    <w:rPr>
                      <w:color w:val="auto"/>
                      <w:kern w:val="0"/>
                      <w:szCs w:val="21"/>
                    </w:rPr>
                    <w:t>在环境影响评价文件审批前，取得主要污染物排放总量指标。</w:t>
                  </w:r>
                </w:p>
              </w:tc>
              <w:tc>
                <w:tcPr>
                  <w:tcW w:w="358" w:type="pct"/>
                  <w:noWrap w:val="0"/>
                  <w:vAlign w:val="center"/>
                </w:tcPr>
                <w:p w14:paraId="7AF365DA">
                  <w:pPr>
                    <w:widowControl/>
                    <w:jc w:val="center"/>
                    <w:rPr>
                      <w:color w:val="auto"/>
                      <w:kern w:val="0"/>
                      <w:szCs w:val="21"/>
                    </w:rPr>
                  </w:pPr>
                  <w:r>
                    <w:rPr>
                      <w:color w:val="auto"/>
                      <w:kern w:val="0"/>
                      <w:szCs w:val="21"/>
                    </w:rPr>
                    <w:t>相符</w:t>
                  </w:r>
                </w:p>
              </w:tc>
            </w:tr>
            <w:tr w14:paraId="29A312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27" w:type="pct"/>
                  <w:noWrap w:val="0"/>
                  <w:vAlign w:val="center"/>
                </w:tcPr>
                <w:p w14:paraId="5AACE577">
                  <w:pPr>
                    <w:widowControl/>
                    <w:jc w:val="center"/>
                    <w:rPr>
                      <w:color w:val="auto"/>
                      <w:kern w:val="0"/>
                      <w:szCs w:val="21"/>
                    </w:rPr>
                  </w:pPr>
                  <w:r>
                    <w:rPr>
                      <w:color w:val="auto"/>
                      <w:kern w:val="0"/>
                      <w:szCs w:val="21"/>
                    </w:rPr>
                    <w:t>《关于以改善环境质量为核心加强环境影响评价管理的通知》（环环评[2016]150号）</w:t>
                  </w:r>
                </w:p>
              </w:tc>
              <w:tc>
                <w:tcPr>
                  <w:tcW w:w="2173" w:type="pct"/>
                  <w:noWrap w:val="0"/>
                  <w:vAlign w:val="center"/>
                </w:tcPr>
                <w:p w14:paraId="2AE04BA0">
                  <w:pPr>
                    <w:widowControl/>
                    <w:rPr>
                      <w:color w:val="auto"/>
                      <w:kern w:val="0"/>
                      <w:szCs w:val="21"/>
                    </w:rPr>
                  </w:pPr>
                  <w:r>
                    <w:rPr>
                      <w:color w:val="auto"/>
                      <w:kern w:val="0"/>
                      <w:szCs w:val="21"/>
                    </w:rPr>
                    <w:t>（1）规划环评要作为规划所包含项目环评的重要依据，对于不符合规划环评结论及审查意见的项目环评，依法不予审批。（2）对于现有同类型项目环境污染或生态破坏严重、环境违法违规现象多发，致使环境容量接近或超过承载能力的地区，在现有问题整改到位前，依法暂停审批该地区同类行业的项目环评文件。（3）对环境质量现状超标的地区，项目拟采取的措施不能满足区域环境质量改善目标管理要求的，依法不予审批其环评文件。对未达到环境质量目标考核要求的地区，除民生项目与节能减排项目外，依法暂停审批该地区新增排放相应重点污染物的项目环评文件。除受自然条件限制、确实无法避让的铁路、公路、航道、防洪、管道、干渠、通讯、输变电等重要基础设施项目外，在生态保护红线范围内，严控各类开发建设活动，依法不予审批新建工业项目和矿产开发项目的环评文件。</w:t>
                  </w:r>
                </w:p>
              </w:tc>
              <w:tc>
                <w:tcPr>
                  <w:tcW w:w="1640" w:type="pct"/>
                  <w:noWrap w:val="0"/>
                  <w:vAlign w:val="center"/>
                </w:tcPr>
                <w:p w14:paraId="7190F2FC">
                  <w:pPr>
                    <w:widowControl/>
                    <w:rPr>
                      <w:color w:val="auto"/>
                      <w:spacing w:val="6"/>
                      <w:szCs w:val="21"/>
                    </w:rPr>
                  </w:pPr>
                  <w:r>
                    <w:rPr>
                      <w:color w:val="auto"/>
                      <w:spacing w:val="6"/>
                      <w:szCs w:val="21"/>
                    </w:rPr>
                    <w:t>（1）</w:t>
                  </w:r>
                  <w:r>
                    <w:rPr>
                      <w:color w:val="auto"/>
                      <w:szCs w:val="21"/>
                    </w:rPr>
                    <w:t>本项目位于</w:t>
                  </w:r>
                  <w:r>
                    <w:rPr>
                      <w:rFonts w:hint="eastAsia"/>
                      <w:color w:val="auto"/>
                      <w:szCs w:val="21"/>
                      <w:lang w:eastAsia="zh-CN"/>
                    </w:rPr>
                    <w:t>常州市金坛区经济开发区东湖路28号</w:t>
                  </w:r>
                  <w:r>
                    <w:rPr>
                      <w:color w:val="auto"/>
                      <w:szCs w:val="21"/>
                    </w:rPr>
                    <w:t>，</w:t>
                  </w:r>
                  <w:r>
                    <w:rPr>
                      <w:rFonts w:hint="eastAsia"/>
                      <w:color w:val="auto"/>
                      <w:kern w:val="0"/>
                      <w:szCs w:val="21"/>
                      <w:lang w:val="en-US" w:eastAsia="zh-CN"/>
                    </w:rPr>
                    <w:t>所在区域无规划环评</w:t>
                  </w:r>
                  <w:r>
                    <w:rPr>
                      <w:color w:val="auto"/>
                      <w:spacing w:val="6"/>
                      <w:szCs w:val="21"/>
                    </w:rPr>
                    <w:t>。（2）</w:t>
                  </w:r>
                  <w:r>
                    <w:rPr>
                      <w:rFonts w:hint="eastAsia"/>
                      <w:color w:val="auto"/>
                      <w:spacing w:val="6"/>
                      <w:szCs w:val="21"/>
                      <w:lang w:val="en-US" w:eastAsia="zh-CN"/>
                    </w:rPr>
                    <w:t>同类型项目无环境污染或生态破坏严重情况、无环境违法违规现象等问题。</w:t>
                  </w:r>
                  <w:r>
                    <w:rPr>
                      <w:rFonts w:hint="eastAsia"/>
                      <w:color w:val="auto"/>
                      <w:spacing w:val="6"/>
                      <w:szCs w:val="21"/>
                      <w:lang w:eastAsia="zh-CN"/>
                    </w:rPr>
                    <w:t>（</w:t>
                  </w:r>
                  <w:r>
                    <w:rPr>
                      <w:rFonts w:hint="eastAsia"/>
                      <w:color w:val="auto"/>
                      <w:spacing w:val="6"/>
                      <w:szCs w:val="21"/>
                      <w:lang w:val="en-US" w:eastAsia="zh-CN"/>
                    </w:rPr>
                    <w:t>3</w:t>
                  </w:r>
                  <w:r>
                    <w:rPr>
                      <w:rFonts w:hint="eastAsia"/>
                      <w:color w:val="auto"/>
                      <w:spacing w:val="6"/>
                      <w:szCs w:val="21"/>
                      <w:lang w:eastAsia="zh-CN"/>
                    </w:rPr>
                    <w:t>）</w:t>
                  </w:r>
                  <w:r>
                    <w:rPr>
                      <w:color w:val="auto"/>
                      <w:spacing w:val="6"/>
                      <w:szCs w:val="21"/>
                    </w:rPr>
                    <w:t>本项目所在区域属于环境空气不达标区，根据大气环境质量改善方案，大气环境质量状况可以得到进一步改善。本项目产生的污染物经采取相应污染物防治措施后均能达标排放，对周边环境影响较小。</w:t>
                  </w:r>
                </w:p>
              </w:tc>
              <w:tc>
                <w:tcPr>
                  <w:tcW w:w="358" w:type="pct"/>
                  <w:noWrap w:val="0"/>
                  <w:vAlign w:val="center"/>
                </w:tcPr>
                <w:p w14:paraId="03046A11">
                  <w:pPr>
                    <w:widowControl/>
                    <w:jc w:val="center"/>
                    <w:rPr>
                      <w:color w:val="auto"/>
                      <w:kern w:val="0"/>
                      <w:szCs w:val="21"/>
                    </w:rPr>
                  </w:pPr>
                  <w:r>
                    <w:rPr>
                      <w:color w:val="auto"/>
                      <w:kern w:val="0"/>
                      <w:szCs w:val="21"/>
                    </w:rPr>
                    <w:t>相符</w:t>
                  </w:r>
                </w:p>
              </w:tc>
            </w:tr>
            <w:tr w14:paraId="02AC7B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27" w:type="pct"/>
                  <w:noWrap w:val="0"/>
                  <w:vAlign w:val="center"/>
                </w:tcPr>
                <w:p w14:paraId="5F4EC033">
                  <w:pPr>
                    <w:widowControl/>
                    <w:jc w:val="center"/>
                    <w:rPr>
                      <w:color w:val="auto"/>
                      <w:kern w:val="0"/>
                      <w:szCs w:val="21"/>
                    </w:rPr>
                  </w:pPr>
                  <w:r>
                    <w:rPr>
                      <w:color w:val="auto"/>
                      <w:kern w:val="0"/>
                      <w:szCs w:val="21"/>
                    </w:rPr>
                    <w:t>《关于全面加强生态环境保护坚决打好污染防治攻坚战的实施意见》（苏发[2018]24号）</w:t>
                  </w:r>
                </w:p>
              </w:tc>
              <w:tc>
                <w:tcPr>
                  <w:tcW w:w="2173" w:type="pct"/>
                  <w:noWrap w:val="0"/>
                  <w:vAlign w:val="center"/>
                </w:tcPr>
                <w:p w14:paraId="74A04F18">
                  <w:pPr>
                    <w:widowControl/>
                    <w:rPr>
                      <w:color w:val="auto"/>
                      <w:kern w:val="0"/>
                      <w:szCs w:val="21"/>
                    </w:rPr>
                  </w:pPr>
                  <w:r>
                    <w:rPr>
                      <w:color w:val="auto"/>
                      <w:kern w:val="0"/>
                      <w:szCs w:val="21"/>
                    </w:rPr>
                    <w:t>严禁在长江干流及主要支流岸线1公里范围内新建布局化工园区和化工企业。严格化工项目环评审批，提高准入门槛，新建化工项目原则上投资额不得低于10亿元，不得新建、改建、扩建三类中间体项目。</w:t>
                  </w:r>
                </w:p>
              </w:tc>
              <w:tc>
                <w:tcPr>
                  <w:tcW w:w="1640" w:type="pct"/>
                  <w:noWrap w:val="0"/>
                  <w:vAlign w:val="center"/>
                </w:tcPr>
                <w:p w14:paraId="5F3A606D">
                  <w:pPr>
                    <w:widowControl/>
                    <w:rPr>
                      <w:color w:val="auto"/>
                      <w:kern w:val="0"/>
                      <w:szCs w:val="21"/>
                    </w:rPr>
                  </w:pPr>
                  <w:r>
                    <w:rPr>
                      <w:color w:val="auto"/>
                      <w:kern w:val="0"/>
                      <w:szCs w:val="21"/>
                    </w:rPr>
                    <w:t>本项目位于</w:t>
                  </w:r>
                  <w:r>
                    <w:rPr>
                      <w:rFonts w:hint="eastAsia"/>
                      <w:color w:val="auto"/>
                      <w:szCs w:val="21"/>
                      <w:lang w:eastAsia="zh-CN"/>
                    </w:rPr>
                    <w:t>常州市金坛区经济开发区东湖路28号</w:t>
                  </w:r>
                  <w:r>
                    <w:rPr>
                      <w:color w:val="auto"/>
                      <w:kern w:val="0"/>
                      <w:szCs w:val="21"/>
                    </w:rPr>
                    <w:t>，不属于化工企业，不从事化工项目，不在长江干流及主要支流岸线1公里范围内。</w:t>
                  </w:r>
                </w:p>
              </w:tc>
              <w:tc>
                <w:tcPr>
                  <w:tcW w:w="358" w:type="pct"/>
                  <w:noWrap w:val="0"/>
                  <w:vAlign w:val="center"/>
                </w:tcPr>
                <w:p w14:paraId="59717910">
                  <w:pPr>
                    <w:widowControl/>
                    <w:jc w:val="center"/>
                    <w:rPr>
                      <w:color w:val="auto"/>
                      <w:kern w:val="0"/>
                      <w:szCs w:val="21"/>
                    </w:rPr>
                  </w:pPr>
                  <w:r>
                    <w:rPr>
                      <w:color w:val="auto"/>
                      <w:kern w:val="0"/>
                      <w:szCs w:val="21"/>
                    </w:rPr>
                    <w:t>相符</w:t>
                  </w:r>
                </w:p>
              </w:tc>
            </w:tr>
            <w:tr w14:paraId="0C2ABC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27" w:type="pct"/>
                  <w:noWrap w:val="0"/>
                  <w:vAlign w:val="center"/>
                </w:tcPr>
                <w:p w14:paraId="501E5466">
                  <w:pPr>
                    <w:widowControl/>
                    <w:jc w:val="center"/>
                    <w:rPr>
                      <w:color w:val="auto"/>
                      <w:kern w:val="0"/>
                      <w:szCs w:val="21"/>
                    </w:rPr>
                  </w:pPr>
                  <w:r>
                    <w:rPr>
                      <w:color w:val="auto"/>
                      <w:kern w:val="0"/>
                      <w:szCs w:val="21"/>
                    </w:rPr>
                    <w:t>《省政府关于印发江苏省国家级生态保护红线规划的通知》（苏政发[2018]74号）</w:t>
                  </w:r>
                </w:p>
              </w:tc>
              <w:tc>
                <w:tcPr>
                  <w:tcW w:w="2173" w:type="pct"/>
                  <w:noWrap w:val="0"/>
                  <w:vAlign w:val="center"/>
                </w:tcPr>
                <w:p w14:paraId="7D295773">
                  <w:pPr>
                    <w:widowControl/>
                    <w:jc w:val="left"/>
                    <w:rPr>
                      <w:color w:val="auto"/>
                      <w:kern w:val="0"/>
                      <w:szCs w:val="21"/>
                    </w:rPr>
                  </w:pPr>
                  <w:r>
                    <w:rPr>
                      <w:color w:val="auto"/>
                      <w:kern w:val="0"/>
                      <w:szCs w:val="21"/>
                    </w:rPr>
                    <w:t>生态保护红线原则上按禁止开发区域的要求进行管理，严禁不符合主体功能定位的各类开发活动，严禁任意改变用途。</w:t>
                  </w:r>
                </w:p>
              </w:tc>
              <w:tc>
                <w:tcPr>
                  <w:tcW w:w="1640" w:type="pct"/>
                  <w:noWrap w:val="0"/>
                  <w:vAlign w:val="center"/>
                </w:tcPr>
                <w:p w14:paraId="653B6066">
                  <w:pPr>
                    <w:widowControl/>
                    <w:jc w:val="center"/>
                    <w:rPr>
                      <w:color w:val="auto"/>
                      <w:kern w:val="0"/>
                      <w:szCs w:val="21"/>
                    </w:rPr>
                  </w:pPr>
                  <w:r>
                    <w:rPr>
                      <w:color w:val="auto"/>
                      <w:kern w:val="0"/>
                      <w:szCs w:val="21"/>
                    </w:rPr>
                    <w:t>本项目不在生态保护红线内。</w:t>
                  </w:r>
                </w:p>
              </w:tc>
              <w:tc>
                <w:tcPr>
                  <w:tcW w:w="358" w:type="pct"/>
                  <w:noWrap w:val="0"/>
                  <w:vAlign w:val="center"/>
                </w:tcPr>
                <w:p w14:paraId="2E251522">
                  <w:pPr>
                    <w:widowControl/>
                    <w:jc w:val="center"/>
                    <w:rPr>
                      <w:color w:val="auto"/>
                      <w:kern w:val="0"/>
                      <w:szCs w:val="21"/>
                    </w:rPr>
                  </w:pPr>
                  <w:r>
                    <w:rPr>
                      <w:color w:val="auto"/>
                      <w:kern w:val="0"/>
                      <w:szCs w:val="21"/>
                    </w:rPr>
                    <w:t>相符</w:t>
                  </w:r>
                </w:p>
              </w:tc>
            </w:tr>
            <w:tr w14:paraId="06BF8B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27" w:type="pct"/>
                  <w:noWrap w:val="0"/>
                  <w:vAlign w:val="center"/>
                </w:tcPr>
                <w:p w14:paraId="7743C817">
                  <w:pPr>
                    <w:widowControl/>
                    <w:jc w:val="center"/>
                    <w:rPr>
                      <w:color w:val="auto"/>
                      <w:kern w:val="0"/>
                      <w:szCs w:val="21"/>
                    </w:rPr>
                  </w:pPr>
                  <w:r>
                    <w:rPr>
                      <w:color w:val="auto"/>
                      <w:kern w:val="0"/>
                      <w:szCs w:val="21"/>
                    </w:rPr>
                    <w:t>《关于发布长江经济带发展负面清单指南（试行）的通知》（推动长江经济带发展领导小组办公室文件第89号）</w:t>
                  </w:r>
                </w:p>
              </w:tc>
              <w:tc>
                <w:tcPr>
                  <w:tcW w:w="2173" w:type="pct"/>
                  <w:noWrap w:val="0"/>
                  <w:vAlign w:val="center"/>
                </w:tcPr>
                <w:p w14:paraId="28C0E2BF">
                  <w:pPr>
                    <w:widowControl/>
                    <w:rPr>
                      <w:color w:val="auto"/>
                      <w:kern w:val="0"/>
                      <w:szCs w:val="21"/>
                    </w:rPr>
                  </w:pPr>
                  <w:r>
                    <w:rPr>
                      <w:color w:val="auto"/>
                      <w:kern w:val="0"/>
                      <w:szCs w:val="21"/>
                    </w:rPr>
                    <w:t>（1）禁止建设不符合全国和省级港口布局规划以及港口总体规划的码头项目，禁止建设不符合《长江干线过江通道布局规划》的过长江通道项目。（2）禁止在自然保护区核心区、缓冲区的岸线和河段范围内投资建设旅游和生产经营项目。禁止在风景名胜区核心景区的岸线和河段范围内投资建设与风景名胜资源保护无关的项目。（3）禁止在饮用水水源一级保护区的岸线和河段范围内新建、改建、扩建与供水设施和保护水源无关的项目，以及网箱养殖、旅游等可能污染饮用水水体的投资建设项目。禁止在饮用水水源二级保护区的岸线和河段范围内新建、改建、扩建排放污染物的投资建设项目。（4）禁止在水产种质资源保护区的岸线和河段范围内新建排污口，以及围湖造田、围海造地或围填海等投资建设项目。禁止在国家湿地公园的岸线和河段范围内挖沙、采矿，以及任何不符合主体功能定位的投资建设项目。（5）禁止在《长江岸线保护和开发利用总体规划》划定的岸线保护区内投资建设除保障防洪安全、河势稳定、供水安全以及保护生态环境、已建重要枢纽工程以外的项目，禁止在岸线保留区内投资建设除保障防洪安全、河势稳定、供水安全、航道稳定以及保护生态环境以外的项目。禁止在《全国重要江河湖泊水功能区划》划定的河段保护区、保留区内投资建设不利于水资源及自然生态保护的项目。（6）禁止在生态保护红线和永久基本农田范围内投资建设除国家重大战略资源勘查项目、生态保护修复和环境治理项目、重大基础设施项目、军事国防项目以及农牧民基本生产生活等必要的民生项目以外的项目。（7）禁止在长江干支流1公里范围内新建、扩建化工园区和化工项目。禁止在合规园区外新建、扩建钢铁、石化、化工、焦化、建材、有色等高污染项目。（8）禁止新建、扩建不符合国家石化、现代煤化工等产业布局规划的项目。（9）禁止新建、扩建法律法规和相关政策明令禁止的落后产能项目。（10）禁止新建、扩建不符合国家产能置换要求的严重过剩产能行业的项目。</w:t>
                  </w:r>
                </w:p>
              </w:tc>
              <w:tc>
                <w:tcPr>
                  <w:tcW w:w="1640" w:type="pct"/>
                  <w:noWrap w:val="0"/>
                  <w:vAlign w:val="center"/>
                </w:tcPr>
                <w:p w14:paraId="77BD40F9">
                  <w:pPr>
                    <w:widowControl/>
                    <w:rPr>
                      <w:color w:val="auto"/>
                      <w:kern w:val="0"/>
                      <w:szCs w:val="21"/>
                    </w:rPr>
                  </w:pPr>
                  <w:r>
                    <w:rPr>
                      <w:color w:val="auto"/>
                      <w:spacing w:val="-2"/>
                      <w:kern w:val="0"/>
                      <w:szCs w:val="21"/>
                    </w:rPr>
                    <w:t>本项</w:t>
                  </w:r>
                  <w:r>
                    <w:rPr>
                      <w:color w:val="auto"/>
                      <w:kern w:val="0"/>
                      <w:szCs w:val="21"/>
                    </w:rPr>
                    <w:t>目从事</w:t>
                  </w:r>
                  <w:r>
                    <w:rPr>
                      <w:rFonts w:hint="eastAsia"/>
                      <w:color w:val="auto"/>
                      <w:kern w:val="0"/>
                      <w:szCs w:val="21"/>
                      <w:lang w:eastAsia="zh-CN"/>
                    </w:rPr>
                    <w:t>热塑性弹性体颗</w:t>
                  </w:r>
                  <w:r>
                    <w:rPr>
                      <w:rFonts w:hint="eastAsia" w:ascii="Times New Roman" w:hAnsi="Times New Roman" w:eastAsia="宋体" w:cs="Times New Roman"/>
                      <w:color w:val="auto"/>
                      <w:lang w:eastAsia="zh-CN"/>
                    </w:rPr>
                    <w:t>粒</w:t>
                  </w:r>
                  <w:r>
                    <w:rPr>
                      <w:rFonts w:hint="eastAsia"/>
                      <w:color w:val="auto"/>
                      <w:kern w:val="0"/>
                      <w:szCs w:val="21"/>
                      <w:lang w:eastAsia="zh-CN"/>
                    </w:rPr>
                    <w:t>、汽车密封件</w:t>
                  </w:r>
                  <w:r>
                    <w:rPr>
                      <w:color w:val="auto"/>
                      <w:kern w:val="0"/>
                      <w:szCs w:val="21"/>
                    </w:rPr>
                    <w:t>的生产，位于</w:t>
                  </w:r>
                  <w:r>
                    <w:rPr>
                      <w:rFonts w:hint="eastAsia"/>
                      <w:color w:val="auto"/>
                      <w:szCs w:val="21"/>
                      <w:lang w:eastAsia="zh-CN"/>
                    </w:rPr>
                    <w:t>常州市金坛区经济开发区东湖路28号</w:t>
                  </w:r>
                  <w:r>
                    <w:rPr>
                      <w:color w:val="auto"/>
                      <w:kern w:val="0"/>
                      <w:szCs w:val="21"/>
                    </w:rPr>
                    <w:t>，不在饮用水源保护区、国家湿地公园、生态红线和永久基本农田范围内，其产业不属于禁止或限制类产业，也不属于落后产能项目、严重过剩产能行业的项目。</w:t>
                  </w:r>
                </w:p>
              </w:tc>
              <w:tc>
                <w:tcPr>
                  <w:tcW w:w="358" w:type="pct"/>
                  <w:noWrap w:val="0"/>
                  <w:vAlign w:val="center"/>
                </w:tcPr>
                <w:p w14:paraId="704D4EF0">
                  <w:pPr>
                    <w:widowControl/>
                    <w:jc w:val="center"/>
                    <w:rPr>
                      <w:color w:val="auto"/>
                      <w:kern w:val="0"/>
                      <w:szCs w:val="21"/>
                    </w:rPr>
                  </w:pPr>
                  <w:r>
                    <w:rPr>
                      <w:color w:val="auto"/>
                      <w:kern w:val="0"/>
                      <w:szCs w:val="21"/>
                    </w:rPr>
                    <w:t>相符</w:t>
                  </w:r>
                </w:p>
              </w:tc>
            </w:tr>
            <w:tr w14:paraId="511C47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27" w:type="pct"/>
                  <w:noWrap w:val="0"/>
                  <w:vAlign w:val="center"/>
                </w:tcPr>
                <w:p w14:paraId="37CC38C3">
                  <w:pPr>
                    <w:pStyle w:val="9"/>
                    <w:jc w:val="center"/>
                    <w:rPr>
                      <w:rFonts w:hint="eastAsia"/>
                      <w:color w:val="auto"/>
                      <w:kern w:val="2"/>
                      <w:sz w:val="21"/>
                      <w:szCs w:val="21"/>
                      <w:lang w:val="en-US" w:eastAsia="zh-CN" w:bidi="ar-SA"/>
                    </w:rPr>
                  </w:pPr>
                  <w:r>
                    <w:rPr>
                      <w:rFonts w:hint="eastAsia"/>
                      <w:color w:val="auto"/>
                      <w:szCs w:val="21"/>
                    </w:rPr>
                    <w:t>《关于加强重点行业涉新污染物建设项目环境影响评价工作的意见》环环评〔2025〕28号</w:t>
                  </w:r>
                </w:p>
              </w:tc>
              <w:tc>
                <w:tcPr>
                  <w:tcW w:w="2173" w:type="pct"/>
                  <w:noWrap w:val="0"/>
                  <w:vAlign w:val="center"/>
                </w:tcPr>
                <w:p w14:paraId="101996A4">
                  <w:pPr>
                    <w:adjustRightInd w:val="0"/>
                    <w:snapToGrid w:val="0"/>
                    <w:jc w:val="center"/>
                    <w:rPr>
                      <w:rFonts w:hint="eastAsia" w:eastAsia="宋体"/>
                      <w:color w:val="auto"/>
                      <w:kern w:val="2"/>
                      <w:sz w:val="21"/>
                      <w:szCs w:val="21"/>
                      <w:lang w:val="en-US" w:eastAsia="zh-CN" w:bidi="ar-SA"/>
                    </w:rPr>
                  </w:pPr>
                  <w:r>
                    <w:rPr>
                      <w:rFonts w:hint="eastAsia"/>
                      <w:color w:val="auto"/>
                      <w:szCs w:val="21"/>
                    </w:rPr>
                    <w:t>二、禁止审批不符合新污染物管控要求的建设项目</w:t>
                  </w:r>
                  <w:r>
                    <w:rPr>
                      <w:rFonts w:hint="eastAsia"/>
                      <w:color w:val="auto"/>
                      <w:szCs w:val="21"/>
                      <w:lang w:eastAsia="zh-CN"/>
                    </w:rPr>
                    <w:t>。</w:t>
                  </w:r>
                  <w:r>
                    <w:rPr>
                      <w:rFonts w:hint="eastAsia"/>
                      <w:color w:val="auto"/>
                      <w:szCs w:val="21"/>
                    </w:rPr>
                    <w:t>各级环评审批部门在受理和审批建设项目环评文件时，应落实重点管控新污染物清单、产业结构调整指导目录、《斯德哥尔摩公约》、生态环境分区管控方案和项目所在园区规划环评等有关管控要求。对照</w:t>
                  </w:r>
                  <w:r>
                    <w:rPr>
                      <w:rFonts w:hint="eastAsia"/>
                      <w:color w:val="auto"/>
                      <w:szCs w:val="21"/>
                    </w:rPr>
                    <w:fldChar w:fldCharType="begin"/>
                  </w:r>
                  <w:r>
                    <w:rPr>
                      <w:rFonts w:hint="eastAsia"/>
                      <w:color w:val="auto"/>
                      <w:szCs w:val="21"/>
                    </w:rPr>
                    <w:instrText xml:space="preserve"> HYPERLINK "https://www.gov.cn/zhengce/zhengceku/202504/P020250415726910785034.pdf" \o "不予审批环评的项目类别.pdf" </w:instrText>
                  </w:r>
                  <w:r>
                    <w:rPr>
                      <w:rFonts w:hint="eastAsia"/>
                      <w:color w:val="auto"/>
                      <w:szCs w:val="21"/>
                    </w:rPr>
                    <w:fldChar w:fldCharType="separate"/>
                  </w:r>
                  <w:r>
                    <w:rPr>
                      <w:rFonts w:hint="eastAsia"/>
                      <w:color w:val="auto"/>
                      <w:szCs w:val="21"/>
                    </w:rPr>
                    <w:t>不予审批环评的项目类别</w:t>
                  </w:r>
                  <w:r>
                    <w:rPr>
                      <w:rFonts w:hint="eastAsia"/>
                      <w:color w:val="auto"/>
                      <w:szCs w:val="21"/>
                    </w:rPr>
                    <w:fldChar w:fldCharType="end"/>
                  </w:r>
                  <w:r>
                    <w:rPr>
                      <w:rFonts w:hint="eastAsia"/>
                      <w:color w:val="auto"/>
                      <w:szCs w:val="21"/>
                    </w:rPr>
                    <w:t>（见附表），严格审核建设项目原辅材料和产品，对于以禁止生产、加工使用的新污染物作为原辅料或产品的建设项目，依法不予审批</w:t>
                  </w:r>
                  <w:r>
                    <w:rPr>
                      <w:rFonts w:hint="eastAsia"/>
                      <w:color w:val="auto"/>
                      <w:szCs w:val="21"/>
                      <w:lang w:eastAsia="zh-CN"/>
                    </w:rPr>
                    <w:t>。</w:t>
                  </w:r>
                </w:p>
              </w:tc>
              <w:tc>
                <w:tcPr>
                  <w:tcW w:w="1640" w:type="pct"/>
                  <w:noWrap w:val="0"/>
                  <w:vAlign w:val="center"/>
                </w:tcPr>
                <w:p w14:paraId="0F697404">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本项目原辅料不在《</w:t>
                  </w:r>
                  <w:r>
                    <w:rPr>
                      <w:rFonts w:hint="eastAsia"/>
                      <w:color w:val="auto"/>
                      <w:szCs w:val="21"/>
                    </w:rPr>
                    <w:t>重点管控新污染物清单（2023年版）</w:t>
                  </w:r>
                  <w:r>
                    <w:rPr>
                      <w:rFonts w:hint="eastAsia"/>
                      <w:color w:val="auto"/>
                      <w:szCs w:val="21"/>
                      <w:lang w:val="en-US" w:eastAsia="zh-CN"/>
                    </w:rPr>
                    <w:t>》《</w:t>
                  </w:r>
                  <w:r>
                    <w:rPr>
                      <w:rFonts w:hint="eastAsia"/>
                      <w:color w:val="auto"/>
                      <w:szCs w:val="21"/>
                    </w:rPr>
                    <w:fldChar w:fldCharType="begin"/>
                  </w:r>
                  <w:r>
                    <w:rPr>
                      <w:rFonts w:hint="eastAsia"/>
                      <w:color w:val="auto"/>
                      <w:szCs w:val="21"/>
                    </w:rPr>
                    <w:instrText xml:space="preserve"> HYPERLINK "https://www.gov.cn/zhengce/zhengceku/202504/P020250415726910785034.pdf" \o "不予审批环评的项目类别.pdf" </w:instrText>
                  </w:r>
                  <w:r>
                    <w:rPr>
                      <w:rFonts w:hint="eastAsia"/>
                      <w:color w:val="auto"/>
                      <w:szCs w:val="21"/>
                    </w:rPr>
                    <w:fldChar w:fldCharType="separate"/>
                  </w:r>
                  <w:r>
                    <w:rPr>
                      <w:rFonts w:hint="eastAsia"/>
                      <w:color w:val="auto"/>
                      <w:szCs w:val="21"/>
                    </w:rPr>
                    <w:t>不予审批环评的项目类别</w:t>
                  </w:r>
                  <w:r>
                    <w:rPr>
                      <w:rFonts w:hint="eastAsia"/>
                      <w:color w:val="auto"/>
                      <w:szCs w:val="21"/>
                    </w:rPr>
                    <w:fldChar w:fldCharType="end"/>
                  </w:r>
                  <w:r>
                    <w:rPr>
                      <w:rFonts w:hint="eastAsia"/>
                      <w:color w:val="auto"/>
                      <w:szCs w:val="21"/>
                      <w:lang w:val="en-US" w:eastAsia="zh-CN"/>
                    </w:rPr>
                    <w:t>》内；本项目原辅料不属于持久性有机污染物，符合</w:t>
                  </w:r>
                  <w:r>
                    <w:rPr>
                      <w:rFonts w:hint="eastAsia"/>
                      <w:color w:val="auto"/>
                      <w:szCs w:val="21"/>
                    </w:rPr>
                    <w:t>《斯德哥尔摩公约》</w:t>
                  </w:r>
                  <w:r>
                    <w:rPr>
                      <w:rFonts w:hint="eastAsia"/>
                      <w:color w:val="auto"/>
                      <w:szCs w:val="21"/>
                      <w:lang w:val="en-US" w:eastAsia="zh-CN"/>
                    </w:rPr>
                    <w:t>；本项目</w:t>
                  </w:r>
                  <w:r>
                    <w:rPr>
                      <w:rFonts w:ascii="Times New Roman" w:hAnsi="Times New Roman" w:eastAsia="宋体" w:cs="Times New Roman"/>
                      <w:color w:val="auto"/>
                      <w:kern w:val="2"/>
                      <w:sz w:val="21"/>
                      <w:szCs w:val="21"/>
                    </w:rPr>
                    <w:t>产品及采用的生产工艺、设备等均不属于国家发改委《产业结构调整指导目录（20</w:t>
                  </w:r>
                  <w:r>
                    <w:rPr>
                      <w:rFonts w:hint="eastAsia" w:ascii="Times New Roman" w:hAnsi="Times New Roman" w:eastAsia="宋体" w:cs="Times New Roman"/>
                      <w:color w:val="auto"/>
                      <w:kern w:val="2"/>
                      <w:sz w:val="21"/>
                      <w:szCs w:val="21"/>
                    </w:rPr>
                    <w:t>24</w:t>
                  </w:r>
                  <w:r>
                    <w:rPr>
                      <w:rFonts w:ascii="Times New Roman" w:hAnsi="Times New Roman" w:eastAsia="宋体" w:cs="Times New Roman"/>
                      <w:color w:val="auto"/>
                      <w:kern w:val="2"/>
                      <w:sz w:val="21"/>
                      <w:szCs w:val="21"/>
                    </w:rPr>
                    <w:t>年本）》中限制类和淘汰类项目</w:t>
                  </w:r>
                  <w:r>
                    <w:rPr>
                      <w:rFonts w:hint="eastAsia" w:ascii="Times New Roman" w:hAnsi="Times New Roman" w:eastAsia="宋体" w:cs="Times New Roman"/>
                      <w:color w:val="auto"/>
                      <w:kern w:val="2"/>
                      <w:sz w:val="21"/>
                      <w:szCs w:val="21"/>
                      <w:lang w:eastAsia="zh-CN"/>
                    </w:rPr>
                    <w:t>。</w:t>
                  </w:r>
                </w:p>
              </w:tc>
              <w:tc>
                <w:tcPr>
                  <w:tcW w:w="358" w:type="pct"/>
                  <w:noWrap w:val="0"/>
                  <w:vAlign w:val="center"/>
                </w:tcPr>
                <w:p w14:paraId="7A70B974">
                  <w:pPr>
                    <w:pStyle w:val="75"/>
                    <w:adjustRightInd w:val="0"/>
                    <w:snapToGrid w:val="0"/>
                    <w:spacing w:line="240" w:lineRule="auto"/>
                    <w:rPr>
                      <w:rFonts w:hint="eastAsia" w:eastAsia="宋体"/>
                      <w:color w:val="auto"/>
                      <w:kern w:val="2"/>
                      <w:sz w:val="21"/>
                      <w:szCs w:val="21"/>
                      <w:lang w:val="en-US" w:eastAsia="zh-CN" w:bidi="ar-SA"/>
                    </w:rPr>
                  </w:pPr>
                  <w:r>
                    <w:rPr>
                      <w:rFonts w:hint="eastAsia" w:eastAsia="宋体"/>
                      <w:color w:val="auto"/>
                      <w:szCs w:val="21"/>
                    </w:rPr>
                    <w:t>相符</w:t>
                  </w:r>
                </w:p>
              </w:tc>
            </w:tr>
          </w:tbl>
          <w:p w14:paraId="158E3387">
            <w:pPr>
              <w:pStyle w:val="7"/>
              <w:adjustRightInd w:val="0"/>
              <w:snapToGrid w:val="0"/>
              <w:ind w:firstLine="0" w:firstLineChars="0"/>
              <w:jc w:val="center"/>
              <w:rPr>
                <w:b/>
                <w:color w:val="auto"/>
                <w:szCs w:val="21"/>
              </w:rPr>
            </w:pPr>
          </w:p>
          <w:p w14:paraId="1A83B0FE">
            <w:pPr>
              <w:pStyle w:val="7"/>
              <w:adjustRightInd w:val="0"/>
              <w:snapToGrid w:val="0"/>
              <w:ind w:firstLine="0" w:firstLineChars="0"/>
              <w:jc w:val="center"/>
              <w:rPr>
                <w:b/>
                <w:color w:val="auto"/>
                <w:szCs w:val="21"/>
              </w:rPr>
            </w:pPr>
          </w:p>
          <w:p w14:paraId="7BA27DD5">
            <w:pPr>
              <w:pStyle w:val="7"/>
              <w:adjustRightInd w:val="0"/>
              <w:snapToGrid w:val="0"/>
              <w:ind w:firstLine="0" w:firstLineChars="0"/>
              <w:jc w:val="center"/>
              <w:rPr>
                <w:b/>
                <w:color w:val="auto"/>
                <w:szCs w:val="21"/>
              </w:rPr>
            </w:pPr>
          </w:p>
          <w:p w14:paraId="69F3A019">
            <w:pPr>
              <w:pStyle w:val="7"/>
              <w:adjustRightInd w:val="0"/>
              <w:snapToGrid w:val="0"/>
              <w:ind w:firstLine="0" w:firstLineChars="0"/>
              <w:jc w:val="center"/>
              <w:rPr>
                <w:b/>
                <w:color w:val="auto"/>
                <w:szCs w:val="21"/>
              </w:rPr>
            </w:pPr>
          </w:p>
          <w:p w14:paraId="0DDC77A8">
            <w:pPr>
              <w:pStyle w:val="7"/>
              <w:adjustRightInd w:val="0"/>
              <w:snapToGrid w:val="0"/>
              <w:ind w:firstLine="0" w:firstLineChars="0"/>
              <w:jc w:val="center"/>
              <w:rPr>
                <w:b/>
                <w:color w:val="auto"/>
                <w:szCs w:val="21"/>
              </w:rPr>
            </w:pPr>
          </w:p>
          <w:p w14:paraId="4269A709">
            <w:pPr>
              <w:pStyle w:val="7"/>
              <w:adjustRightInd w:val="0"/>
              <w:snapToGrid w:val="0"/>
              <w:ind w:firstLine="0" w:firstLineChars="0"/>
              <w:jc w:val="center"/>
              <w:rPr>
                <w:b/>
                <w:color w:val="auto"/>
                <w:szCs w:val="21"/>
              </w:rPr>
            </w:pPr>
          </w:p>
          <w:p w14:paraId="0F52C654">
            <w:pPr>
              <w:pStyle w:val="7"/>
              <w:adjustRightInd w:val="0"/>
              <w:snapToGrid w:val="0"/>
              <w:ind w:firstLine="0" w:firstLineChars="0"/>
              <w:jc w:val="center"/>
              <w:rPr>
                <w:b/>
                <w:color w:val="auto"/>
                <w:szCs w:val="21"/>
              </w:rPr>
            </w:pPr>
          </w:p>
          <w:p w14:paraId="27E8E769">
            <w:pPr>
              <w:pStyle w:val="7"/>
              <w:adjustRightInd w:val="0"/>
              <w:snapToGrid w:val="0"/>
              <w:ind w:firstLine="0" w:firstLineChars="0"/>
              <w:jc w:val="center"/>
              <w:rPr>
                <w:b/>
                <w:color w:val="auto"/>
                <w:szCs w:val="21"/>
              </w:rPr>
            </w:pPr>
          </w:p>
          <w:p w14:paraId="29DCD4A9">
            <w:pPr>
              <w:pStyle w:val="7"/>
              <w:adjustRightInd w:val="0"/>
              <w:snapToGrid w:val="0"/>
              <w:ind w:firstLine="0" w:firstLineChars="0"/>
              <w:jc w:val="center"/>
              <w:rPr>
                <w:b/>
                <w:color w:val="auto"/>
                <w:szCs w:val="21"/>
              </w:rPr>
            </w:pPr>
          </w:p>
          <w:p w14:paraId="00B71605">
            <w:pPr>
              <w:pStyle w:val="7"/>
              <w:adjustRightInd w:val="0"/>
              <w:snapToGrid w:val="0"/>
              <w:ind w:firstLine="0" w:firstLineChars="0"/>
              <w:jc w:val="center"/>
              <w:rPr>
                <w:b/>
                <w:color w:val="auto"/>
                <w:szCs w:val="21"/>
              </w:rPr>
            </w:pPr>
          </w:p>
          <w:p w14:paraId="1BDFC14F">
            <w:pPr>
              <w:pStyle w:val="7"/>
              <w:adjustRightInd w:val="0"/>
              <w:snapToGrid w:val="0"/>
              <w:ind w:firstLine="0" w:firstLineChars="0"/>
              <w:jc w:val="center"/>
              <w:rPr>
                <w:b/>
                <w:color w:val="auto"/>
                <w:szCs w:val="21"/>
              </w:rPr>
            </w:pPr>
          </w:p>
          <w:p w14:paraId="73D04DCA">
            <w:pPr>
              <w:pStyle w:val="7"/>
              <w:adjustRightInd w:val="0"/>
              <w:snapToGrid w:val="0"/>
              <w:ind w:firstLine="0" w:firstLineChars="0"/>
              <w:jc w:val="center"/>
              <w:rPr>
                <w:b/>
                <w:color w:val="auto"/>
                <w:szCs w:val="21"/>
              </w:rPr>
            </w:pPr>
          </w:p>
          <w:p w14:paraId="5EA52E7C">
            <w:pPr>
              <w:pStyle w:val="7"/>
              <w:adjustRightInd w:val="0"/>
              <w:snapToGrid w:val="0"/>
              <w:ind w:firstLine="0" w:firstLineChars="0"/>
              <w:jc w:val="center"/>
              <w:rPr>
                <w:b/>
                <w:color w:val="auto"/>
                <w:szCs w:val="21"/>
              </w:rPr>
            </w:pPr>
          </w:p>
          <w:p w14:paraId="651EAC86">
            <w:pPr>
              <w:pStyle w:val="7"/>
              <w:adjustRightInd w:val="0"/>
              <w:snapToGrid w:val="0"/>
              <w:ind w:firstLine="0" w:firstLineChars="0"/>
              <w:jc w:val="center"/>
              <w:rPr>
                <w:b/>
                <w:color w:val="auto"/>
                <w:szCs w:val="21"/>
              </w:rPr>
            </w:pPr>
          </w:p>
          <w:p w14:paraId="09EFDBD2">
            <w:pPr>
              <w:pStyle w:val="7"/>
              <w:adjustRightInd w:val="0"/>
              <w:snapToGrid w:val="0"/>
              <w:ind w:firstLine="0" w:firstLineChars="0"/>
              <w:jc w:val="center"/>
              <w:rPr>
                <w:b/>
                <w:color w:val="auto"/>
                <w:szCs w:val="21"/>
              </w:rPr>
            </w:pPr>
          </w:p>
          <w:p w14:paraId="42CE6501">
            <w:pPr>
              <w:pStyle w:val="7"/>
              <w:adjustRightInd w:val="0"/>
              <w:snapToGrid w:val="0"/>
              <w:ind w:firstLine="0" w:firstLineChars="0"/>
              <w:jc w:val="center"/>
              <w:rPr>
                <w:b/>
                <w:color w:val="auto"/>
                <w:szCs w:val="21"/>
              </w:rPr>
            </w:pPr>
          </w:p>
          <w:p w14:paraId="69B63D97">
            <w:pPr>
              <w:pStyle w:val="7"/>
              <w:adjustRightInd w:val="0"/>
              <w:snapToGrid w:val="0"/>
              <w:ind w:firstLine="0" w:firstLineChars="0"/>
              <w:jc w:val="center"/>
              <w:rPr>
                <w:b/>
                <w:color w:val="auto"/>
                <w:szCs w:val="21"/>
              </w:rPr>
            </w:pPr>
          </w:p>
          <w:p w14:paraId="21C75A8E">
            <w:pPr>
              <w:pStyle w:val="7"/>
              <w:ind w:firstLine="0" w:firstLineChars="0"/>
              <w:rPr>
                <w:color w:val="auto"/>
                <w:kern w:val="0"/>
                <w:szCs w:val="21"/>
              </w:rPr>
            </w:pPr>
          </w:p>
        </w:tc>
      </w:tr>
    </w:tbl>
    <w:p w14:paraId="4CAD38E9">
      <w:pPr>
        <w:spacing w:line="360" w:lineRule="auto"/>
        <w:outlineLvl w:val="0"/>
        <w:rPr>
          <w:color w:val="auto"/>
          <w:sz w:val="30"/>
        </w:rPr>
        <w:sectPr>
          <w:footerReference r:id="rId4" w:type="default"/>
          <w:pgSz w:w="11906" w:h="16838"/>
          <w:pgMar w:top="1701" w:right="1531" w:bottom="1701" w:left="1531" w:header="851" w:footer="1077" w:gutter="0"/>
          <w:pgBorders>
            <w:top w:val="none" w:sz="0" w:space="0"/>
            <w:left w:val="none" w:sz="0" w:space="0"/>
            <w:bottom w:val="none" w:sz="0" w:space="0"/>
            <w:right w:val="none" w:sz="0" w:space="0"/>
          </w:pgBorders>
          <w:pgNumType w:start="1"/>
          <w:cols w:space="720" w:num="1"/>
          <w:docGrid w:linePitch="312" w:charSpace="0"/>
        </w:sectPr>
      </w:pPr>
    </w:p>
    <w:p w14:paraId="33E42811">
      <w:pPr>
        <w:pStyle w:val="25"/>
        <w:adjustRightInd w:val="0"/>
        <w:snapToGrid w:val="0"/>
        <w:spacing w:before="0" w:beforeAutospacing="0" w:after="0" w:afterAutospacing="0"/>
        <w:outlineLvl w:val="0"/>
        <w:rPr>
          <w:rFonts w:ascii="Times New Roman" w:hAnsi="Times New Roman"/>
          <w:b/>
          <w:bCs/>
          <w:snapToGrid w:val="0"/>
          <w:color w:val="auto"/>
          <w:sz w:val="28"/>
          <w:szCs w:val="28"/>
        </w:rPr>
      </w:pPr>
      <w:bookmarkStart w:id="3" w:name="_Toc518"/>
      <w:r>
        <w:rPr>
          <w:rFonts w:ascii="Times New Roman" w:hAnsi="Times New Roman"/>
          <w:b/>
          <w:bCs/>
          <w:snapToGrid w:val="0"/>
          <w:color w:val="auto"/>
          <w:sz w:val="28"/>
          <w:szCs w:val="28"/>
        </w:rPr>
        <w:t>二、建设项目工程分析</w:t>
      </w:r>
      <w:bookmarkEnd w:id="3"/>
    </w:p>
    <w:tbl>
      <w:tblPr>
        <w:tblStyle w:val="28"/>
        <w:tblW w:w="906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550"/>
        <w:gridCol w:w="8510"/>
      </w:tblGrid>
      <w:tr w14:paraId="2874AC9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90" w:hRule="atLeast"/>
          <w:jc w:val="center"/>
        </w:trPr>
        <w:tc>
          <w:tcPr>
            <w:tcW w:w="550" w:type="dxa"/>
            <w:noWrap w:val="0"/>
            <w:tcMar>
              <w:top w:w="0" w:type="dxa"/>
              <w:left w:w="0" w:type="dxa"/>
              <w:bottom w:w="0" w:type="dxa"/>
              <w:right w:w="0" w:type="dxa"/>
            </w:tcMar>
            <w:vAlign w:val="center"/>
          </w:tcPr>
          <w:p w14:paraId="0E8A1294">
            <w:pPr>
              <w:pStyle w:val="25"/>
              <w:adjustRightInd w:val="0"/>
              <w:snapToGrid w:val="0"/>
              <w:spacing w:before="0" w:beforeAutospacing="0" w:after="0" w:afterAutospacing="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建设内容</w:t>
            </w:r>
          </w:p>
        </w:tc>
        <w:tc>
          <w:tcPr>
            <w:tcW w:w="8510" w:type="dxa"/>
            <w:noWrap w:val="0"/>
            <w:vAlign w:val="top"/>
          </w:tcPr>
          <w:p w14:paraId="4668671C">
            <w:pPr>
              <w:spacing w:before="120" w:beforeLines="50" w:line="360" w:lineRule="auto"/>
              <w:ind w:firstLine="422" w:firstLineChars="200"/>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一、项目由来</w:t>
            </w:r>
          </w:p>
          <w:p w14:paraId="37B59E9A">
            <w:pPr>
              <w:spacing w:line="360" w:lineRule="auto"/>
              <w:ind w:firstLine="420" w:firstLineChars="200"/>
              <w:rPr>
                <w:rFonts w:hint="default" w:ascii="Times New Roman" w:hAnsi="Times New Roman" w:eastAsia="宋体" w:cs="Times New Roman"/>
                <w:color w:val="auto"/>
                <w:szCs w:val="21"/>
              </w:rPr>
            </w:pPr>
            <w:r>
              <w:rPr>
                <w:rFonts w:hint="eastAsia" w:ascii="Times New Roman" w:hAnsi="Times New Roman" w:eastAsia="宋体" w:cs="Times New Roman"/>
                <w:color w:val="auto"/>
                <w:szCs w:val="21"/>
                <w:lang w:eastAsia="zh-CN"/>
              </w:rPr>
              <w:t>常州和瑞新材料科技有限公司</w:t>
            </w:r>
            <w:r>
              <w:rPr>
                <w:rFonts w:hint="default" w:ascii="Times New Roman" w:hAnsi="Times New Roman" w:eastAsia="宋体" w:cs="Times New Roman"/>
                <w:color w:val="auto"/>
                <w:szCs w:val="21"/>
              </w:rPr>
              <w:t>成立于</w:t>
            </w:r>
            <w:r>
              <w:rPr>
                <w:rFonts w:hint="eastAsia" w:ascii="Times New Roman" w:hAnsi="Times New Roman" w:eastAsia="宋体" w:cs="Times New Roman"/>
                <w:color w:val="auto"/>
                <w:szCs w:val="21"/>
                <w:lang w:eastAsia="zh-CN"/>
              </w:rPr>
              <w:t>2021年12月4日</w:t>
            </w:r>
            <w:r>
              <w:rPr>
                <w:rFonts w:hint="default" w:ascii="Times New Roman" w:hAnsi="Times New Roman" w:eastAsia="宋体" w:cs="Times New Roman"/>
                <w:color w:val="auto"/>
                <w:szCs w:val="21"/>
              </w:rPr>
              <w:t>，注册地址：一般项目：新材料技术研发；橡胶制品制造；塑料制品制造；塑料制品销售；玻璃纤维增强塑料制品销售；化工产品销售（不含许可类化工产品）（除依法须经批准的项目外，凭营业执照依法自主开展经营活动）。</w:t>
            </w:r>
          </w:p>
          <w:p w14:paraId="2EA97AB2">
            <w:pPr>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 w:val="21"/>
                <w:szCs w:val="21"/>
                <w:lang w:val="en-US" w:eastAsia="zh-CN"/>
              </w:rPr>
              <w:t>建设单位于2021年投</w:t>
            </w:r>
            <w:r>
              <w:rPr>
                <w:rFonts w:hint="eastAsia" w:ascii="Times New Roman" w:hAnsi="Times New Roman" w:eastAsia="宋体" w:cs="Times New Roman"/>
                <w:color w:val="auto"/>
                <w:sz w:val="21"/>
                <w:szCs w:val="21"/>
                <w:lang w:val="en-US" w:eastAsia="zh-CN"/>
              </w:rPr>
              <w:t>500</w:t>
            </w:r>
            <w:r>
              <w:rPr>
                <w:rFonts w:hint="default" w:ascii="Times New Roman" w:hAnsi="Times New Roman" w:eastAsia="宋体" w:cs="Times New Roman"/>
                <w:color w:val="auto"/>
                <w:sz w:val="21"/>
                <w:szCs w:val="21"/>
                <w:lang w:val="en-US" w:eastAsia="zh-CN"/>
              </w:rPr>
              <w:t>万元，租赁</w:t>
            </w:r>
            <w:r>
              <w:rPr>
                <w:rFonts w:hint="eastAsia" w:ascii="Times New Roman" w:hAnsi="Times New Roman" w:eastAsia="宋体" w:cs="Times New Roman"/>
                <w:color w:val="auto"/>
                <w:sz w:val="21"/>
                <w:szCs w:val="21"/>
                <w:lang w:val="en-US" w:eastAsia="zh-CN"/>
              </w:rPr>
              <w:t>金博通众创园8幢闲置厂房</w:t>
            </w:r>
            <w:r>
              <w:rPr>
                <w:rFonts w:hint="default" w:ascii="Times New Roman" w:hAnsi="Times New Roman" w:eastAsia="宋体" w:cs="Times New Roman"/>
                <w:color w:val="auto"/>
                <w:sz w:val="21"/>
                <w:szCs w:val="21"/>
              </w:rPr>
              <w:t>建设</w:t>
            </w:r>
            <w:r>
              <w:rPr>
                <w:rFonts w:hint="default" w:ascii="Times New Roman" w:hAnsi="Times New Roman" w:eastAsia="宋体" w:cs="Times New Roman"/>
                <w:color w:val="auto"/>
                <w:sz w:val="21"/>
                <w:szCs w:val="21"/>
                <w:lang w:eastAsia="zh-CN"/>
              </w:rPr>
              <w:t>“</w:t>
            </w:r>
            <w:r>
              <w:rPr>
                <w:rFonts w:eastAsia="宋体"/>
                <w:b w:val="0"/>
                <w:bCs/>
                <w:color w:val="auto"/>
              </w:rPr>
              <w:t>新建热塑性弹性体及制品项目</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Cs w:val="21"/>
              </w:rPr>
              <w:t>202</w:t>
            </w:r>
            <w:r>
              <w:rPr>
                <w:rFonts w:hint="eastAsia" w:ascii="Times New Roman" w:hAnsi="Times New Roman" w:eastAsia="宋体" w:cs="Times New Roman"/>
                <w:color w:val="auto"/>
                <w:szCs w:val="21"/>
                <w:lang w:val="en-US" w:eastAsia="zh-CN"/>
              </w:rPr>
              <w:t>1</w:t>
            </w:r>
            <w:r>
              <w:rPr>
                <w:rFonts w:hint="default" w:ascii="Times New Roman" w:hAnsi="Times New Roman" w:eastAsia="宋体" w:cs="Times New Roman"/>
                <w:color w:val="auto"/>
                <w:szCs w:val="21"/>
              </w:rPr>
              <w:t>年</w:t>
            </w:r>
            <w:r>
              <w:rPr>
                <w:rFonts w:hint="eastAsia" w:ascii="Times New Roman" w:hAnsi="Times New Roman" w:eastAsia="宋体" w:cs="Times New Roman"/>
                <w:color w:val="auto"/>
                <w:szCs w:val="21"/>
                <w:lang w:val="en-US" w:eastAsia="zh-CN"/>
              </w:rPr>
              <w:t>7</w:t>
            </w:r>
            <w:r>
              <w:rPr>
                <w:rFonts w:hint="default" w:ascii="Times New Roman" w:hAnsi="Times New Roman" w:eastAsia="宋体" w:cs="Times New Roman"/>
                <w:color w:val="auto"/>
                <w:szCs w:val="21"/>
              </w:rPr>
              <w:t>月</w:t>
            </w:r>
            <w:r>
              <w:rPr>
                <w:rFonts w:hint="default" w:ascii="Times New Roman" w:hAnsi="Times New Roman" w:eastAsia="宋体" w:cs="Times New Roman"/>
                <w:color w:val="auto"/>
                <w:szCs w:val="21"/>
                <w:lang w:val="en-US" w:eastAsia="zh-CN"/>
              </w:rPr>
              <w:t>编制了《</w:t>
            </w:r>
            <w:r>
              <w:rPr>
                <w:rFonts w:hint="eastAsia" w:ascii="Times New Roman" w:hAnsi="Times New Roman" w:eastAsia="宋体" w:cs="Times New Roman"/>
                <w:color w:val="auto"/>
                <w:sz w:val="21"/>
                <w:szCs w:val="21"/>
                <w:lang w:eastAsia="zh-CN"/>
              </w:rPr>
              <w:t>常州和瑞新材料科技有限公司</w:t>
            </w:r>
            <w:r>
              <w:rPr>
                <w:rFonts w:eastAsia="宋体"/>
                <w:b w:val="0"/>
                <w:bCs/>
                <w:color w:val="auto"/>
              </w:rPr>
              <w:t>新建热塑性弹性体及制品项目</w:t>
            </w:r>
            <w:r>
              <w:rPr>
                <w:rFonts w:hint="default" w:ascii="Times New Roman" w:hAnsi="Times New Roman" w:eastAsia="宋体" w:cs="Times New Roman"/>
                <w:color w:val="auto"/>
                <w:szCs w:val="21"/>
                <w:lang w:val="en-US" w:eastAsia="zh-CN"/>
              </w:rPr>
              <w:t>环境影响报告表》</w:t>
            </w:r>
            <w:r>
              <w:rPr>
                <w:rFonts w:hint="default" w:ascii="Times New Roman" w:hAnsi="Times New Roman" w:eastAsia="宋体" w:cs="Times New Roman"/>
                <w:color w:val="auto"/>
                <w:sz w:val="21"/>
                <w:szCs w:val="21"/>
                <w:lang w:val="en-US" w:eastAsia="zh-CN"/>
              </w:rPr>
              <w:t>于202</w:t>
            </w:r>
            <w:r>
              <w:rPr>
                <w:rFonts w:hint="eastAsia"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lang w:val="en-US" w:eastAsia="zh-CN"/>
              </w:rPr>
              <w:t>年</w:t>
            </w:r>
            <w:r>
              <w:rPr>
                <w:rFonts w:hint="eastAsia" w:ascii="Times New Roman" w:hAnsi="Times New Roman" w:eastAsia="宋体" w:cs="Times New Roman"/>
                <w:color w:val="auto"/>
                <w:sz w:val="21"/>
                <w:szCs w:val="21"/>
                <w:lang w:val="en-US" w:eastAsia="zh-CN"/>
              </w:rPr>
              <w:t>9</w:t>
            </w:r>
            <w:r>
              <w:rPr>
                <w:rFonts w:hint="default" w:ascii="Times New Roman" w:hAnsi="Times New Roman" w:eastAsia="宋体" w:cs="Times New Roman"/>
                <w:color w:val="auto"/>
                <w:sz w:val="21"/>
                <w:szCs w:val="21"/>
                <w:lang w:val="en-US" w:eastAsia="zh-CN"/>
              </w:rPr>
              <w:t>月</w:t>
            </w:r>
            <w:r>
              <w:rPr>
                <w:rFonts w:hint="eastAsia" w:ascii="Times New Roman" w:hAnsi="Times New Roman" w:eastAsia="宋体" w:cs="Times New Roman"/>
                <w:color w:val="auto"/>
                <w:sz w:val="21"/>
                <w:szCs w:val="21"/>
                <w:lang w:val="en-US" w:eastAsia="zh-CN"/>
              </w:rPr>
              <w:t>26</w:t>
            </w:r>
            <w:r>
              <w:rPr>
                <w:rFonts w:hint="default" w:ascii="Times New Roman" w:hAnsi="Times New Roman" w:eastAsia="宋体" w:cs="Times New Roman"/>
                <w:color w:val="auto"/>
                <w:sz w:val="21"/>
                <w:szCs w:val="21"/>
                <w:lang w:val="en-US" w:eastAsia="zh-CN"/>
              </w:rPr>
              <w:t>日经</w:t>
            </w:r>
            <w:r>
              <w:rPr>
                <w:rFonts w:hint="default" w:ascii="Times New Roman" w:hAnsi="Times New Roman" w:eastAsia="宋体" w:cs="Times New Roman"/>
                <w:color w:val="auto"/>
                <w:sz w:val="21"/>
                <w:szCs w:val="21"/>
              </w:rPr>
              <w:t>常州市生态环境局审批通过（</w:t>
            </w:r>
            <w:r>
              <w:rPr>
                <w:rFonts w:hint="default" w:ascii="Times New Roman" w:hAnsi="Times New Roman" w:eastAsia="宋体" w:cs="Times New Roman"/>
                <w:color w:val="auto"/>
                <w:sz w:val="21"/>
                <w:szCs w:val="21"/>
                <w:lang w:val="en-US" w:eastAsia="zh-CN"/>
              </w:rPr>
              <w:t>批文号：常金环审</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2021</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146号</w:t>
            </w:r>
            <w:r>
              <w:rPr>
                <w:rFonts w:hint="default" w:ascii="Times New Roman" w:hAnsi="Times New Roman" w:eastAsia="宋体" w:cs="Times New Roman"/>
                <w:color w:val="auto"/>
                <w:sz w:val="21"/>
                <w:szCs w:val="21"/>
              </w:rPr>
              <w:t>）</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项目建成后全厂年生产</w:t>
            </w:r>
            <w:r>
              <w:rPr>
                <w:rFonts w:hint="default" w:ascii="Times New Roman" w:hAnsi="Times New Roman" w:eastAsia="宋体" w:cs="Times New Roman"/>
                <w:color w:val="auto"/>
                <w:sz w:val="21"/>
                <w:szCs w:val="21"/>
                <w:lang w:val="en-US" w:eastAsia="zh-CN" w:bidi="ar-SA"/>
              </w:rPr>
              <w:t>热塑性弹性体颗粒</w:t>
            </w:r>
            <w:r>
              <w:rPr>
                <w:rFonts w:hint="eastAsia" w:ascii="Times New Roman" w:hAnsi="Times New Roman" w:eastAsia="宋体" w:cs="Times New Roman"/>
                <w:color w:val="auto"/>
                <w:sz w:val="21"/>
                <w:szCs w:val="21"/>
                <w:lang w:val="en-US" w:eastAsia="zh-CN" w:bidi="ar-SA"/>
              </w:rPr>
              <w:t>2000t、汽车密封件30t</w:t>
            </w:r>
            <w:r>
              <w:rPr>
                <w:rFonts w:hint="default" w:ascii="Times New Roman" w:hAnsi="Times New Roman" w:eastAsia="宋体" w:cs="Times New Roman"/>
                <w:bCs/>
                <w:color w:val="auto"/>
                <w:szCs w:val="21"/>
              </w:rPr>
              <w:t>。</w:t>
            </w:r>
            <w:r>
              <w:rPr>
                <w:rFonts w:hint="default" w:ascii="Times New Roman" w:hAnsi="Times New Roman" w:eastAsia="宋体" w:cs="Times New Roman"/>
                <w:color w:val="auto"/>
                <w:sz w:val="21"/>
                <w:szCs w:val="21"/>
                <w:lang w:val="en-US" w:eastAsia="zh-CN"/>
              </w:rPr>
              <w:t>该项目于202</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eastAsia="zh-CN"/>
              </w:rPr>
              <w:t>年</w:t>
            </w: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lang w:eastAsia="zh-CN"/>
              </w:rPr>
              <w:t>月</w:t>
            </w:r>
            <w:r>
              <w:rPr>
                <w:rFonts w:hint="eastAsia"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lang w:val="en-US" w:eastAsia="zh-CN"/>
              </w:rPr>
              <w:t>日完成自主验收，年生产</w:t>
            </w:r>
            <w:r>
              <w:rPr>
                <w:rFonts w:hint="default" w:ascii="Times New Roman" w:hAnsi="Times New Roman" w:eastAsia="宋体" w:cs="Times New Roman"/>
                <w:color w:val="auto"/>
                <w:sz w:val="21"/>
                <w:szCs w:val="21"/>
                <w:lang w:val="en-US" w:eastAsia="zh-CN" w:bidi="ar-SA"/>
              </w:rPr>
              <w:t>热塑性弹性体颗粒</w:t>
            </w:r>
            <w:r>
              <w:rPr>
                <w:rFonts w:hint="eastAsia" w:ascii="Times New Roman" w:hAnsi="Times New Roman" w:eastAsia="宋体" w:cs="Times New Roman"/>
                <w:color w:val="auto"/>
                <w:sz w:val="21"/>
                <w:szCs w:val="21"/>
                <w:lang w:val="en-US" w:eastAsia="zh-CN" w:bidi="ar-SA"/>
              </w:rPr>
              <w:t>2000t、汽车密封件30t</w:t>
            </w:r>
            <w:r>
              <w:rPr>
                <w:rFonts w:hint="default" w:ascii="Times New Roman" w:hAnsi="Times New Roman" w:eastAsia="宋体" w:cs="Times New Roman"/>
                <w:bCs/>
                <w:color w:val="auto"/>
                <w:szCs w:val="21"/>
              </w:rPr>
              <w:t>。</w:t>
            </w:r>
          </w:p>
          <w:p w14:paraId="54E7AA7D">
            <w:pPr>
              <w:spacing w:line="360" w:lineRule="auto"/>
              <w:ind w:firstLine="420" w:firstLineChars="200"/>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建设单位拟投资</w:t>
            </w:r>
            <w:r>
              <w:rPr>
                <w:rFonts w:hint="eastAsia" w:ascii="Times New Roman" w:hAnsi="Times New Roman" w:eastAsia="宋体" w:cs="Times New Roman"/>
                <w:color w:val="auto"/>
                <w:szCs w:val="21"/>
                <w:lang w:val="en-US" w:eastAsia="zh-CN"/>
              </w:rPr>
              <w:t>500</w:t>
            </w:r>
            <w:r>
              <w:rPr>
                <w:rFonts w:hint="default" w:ascii="Times New Roman" w:hAnsi="Times New Roman" w:eastAsia="宋体" w:cs="Times New Roman"/>
                <w:color w:val="auto"/>
                <w:szCs w:val="21"/>
                <w:lang w:val="en-US" w:eastAsia="zh-CN"/>
              </w:rPr>
              <w:t>万元</w:t>
            </w:r>
            <w:r>
              <w:rPr>
                <w:rFonts w:hint="eastAsia" w:ascii="Times New Roman" w:hAnsi="Times New Roman" w:eastAsia="宋体" w:cs="Times New Roman"/>
                <w:color w:val="auto"/>
                <w:szCs w:val="21"/>
                <w:lang w:val="en-US" w:eastAsia="zh-CN"/>
              </w:rPr>
              <w:t>，搬迁至</w:t>
            </w:r>
            <w:r>
              <w:rPr>
                <w:rFonts w:hint="eastAsia"/>
                <w:color w:val="auto"/>
                <w:szCs w:val="21"/>
                <w:lang w:eastAsia="zh-CN"/>
              </w:rPr>
              <w:t>常州市金坛区经济开发区东湖路28号，</w:t>
            </w:r>
            <w:r>
              <w:rPr>
                <w:rFonts w:hint="eastAsia"/>
                <w:color w:val="auto"/>
                <w:szCs w:val="21"/>
                <w:lang w:val="en-US" w:eastAsia="zh-CN"/>
              </w:rPr>
              <w:t>租赁常州市金坛区欣阳服饰有限公司现有空置厂房1660m</w:t>
            </w:r>
            <w:r>
              <w:rPr>
                <w:rFonts w:hint="eastAsia"/>
                <w:color w:val="auto"/>
                <w:szCs w:val="21"/>
                <w:vertAlign w:val="superscript"/>
                <w:lang w:val="en-US" w:eastAsia="zh-CN"/>
              </w:rPr>
              <w:t>2</w:t>
            </w:r>
            <w:r>
              <w:rPr>
                <w:rFonts w:hint="default" w:ascii="Times New Roman" w:hAnsi="Times New Roman" w:eastAsia="宋体" w:cs="Times New Roman"/>
                <w:color w:val="auto"/>
                <w:szCs w:val="21"/>
                <w:lang w:val="en-US" w:eastAsia="zh-CN"/>
              </w:rPr>
              <w:t>进行建设</w:t>
            </w:r>
            <w:r>
              <w:rPr>
                <w:rFonts w:hint="default" w:ascii="Times New Roman" w:hAnsi="Times New Roman" w:eastAsia="宋体" w:cs="Times New Roman"/>
                <w:color w:val="auto"/>
                <w:szCs w:val="21"/>
                <w:lang w:eastAsia="zh-CN"/>
              </w:rPr>
              <w:t>“</w:t>
            </w:r>
            <w:r>
              <w:rPr>
                <w:rFonts w:hint="eastAsia" w:ascii="Times New Roman" w:hAnsi="Times New Roman" w:eastAsia="宋体" w:cs="Times New Roman"/>
                <w:color w:val="auto"/>
                <w:szCs w:val="21"/>
                <w:lang w:eastAsia="zh-CN"/>
              </w:rPr>
              <w:t>新建热塑性弹性体及汽车密封件项目</w:t>
            </w:r>
            <w:r>
              <w:rPr>
                <w:rFonts w:hint="default" w:ascii="Times New Roman" w:hAnsi="Times New Roman" w:eastAsia="宋体" w:cs="Times New Roman"/>
                <w:color w:val="auto"/>
                <w:szCs w:val="21"/>
                <w:lang w:eastAsia="zh-CN"/>
              </w:rPr>
              <w:t>”</w:t>
            </w:r>
            <w:r>
              <w:rPr>
                <w:rFonts w:hint="default" w:ascii="Times New Roman" w:hAnsi="Times New Roman" w:eastAsia="宋体" w:cs="Times New Roman"/>
                <w:color w:val="auto"/>
                <w:szCs w:val="21"/>
              </w:rPr>
              <w:t>（以下简称</w:t>
            </w:r>
            <w:r>
              <w:rPr>
                <w:rFonts w:hint="default" w:ascii="Times New Roman" w:hAnsi="Times New Roman" w:eastAsia="宋体" w:cs="Times New Roman"/>
                <w:color w:val="auto"/>
                <w:szCs w:val="21"/>
                <w:lang w:eastAsia="zh-CN"/>
              </w:rPr>
              <w:t>“</w:t>
            </w:r>
            <w:r>
              <w:rPr>
                <w:rFonts w:hint="default" w:ascii="Times New Roman" w:hAnsi="Times New Roman" w:eastAsia="宋体" w:cs="Times New Roman"/>
                <w:color w:val="auto"/>
                <w:szCs w:val="21"/>
              </w:rPr>
              <w:t>本项目</w:t>
            </w:r>
            <w:r>
              <w:rPr>
                <w:rFonts w:hint="default" w:ascii="Times New Roman" w:hAnsi="Times New Roman" w:eastAsia="宋体" w:cs="Times New Roman"/>
                <w:color w:val="auto"/>
                <w:szCs w:val="21"/>
                <w:lang w:eastAsia="zh-CN"/>
              </w:rPr>
              <w:t>”</w:t>
            </w:r>
            <w:r>
              <w:rPr>
                <w:rFonts w:hint="default" w:ascii="Times New Roman" w:hAnsi="Times New Roman" w:eastAsia="宋体" w:cs="Times New Roman"/>
                <w:color w:val="auto"/>
                <w:szCs w:val="21"/>
              </w:rPr>
              <w:t>）</w:t>
            </w:r>
            <w:r>
              <w:rPr>
                <w:rFonts w:hint="default" w:ascii="Times New Roman" w:hAnsi="Times New Roman" w:eastAsia="宋体" w:cs="Times New Roman"/>
                <w:color w:val="auto"/>
                <w:szCs w:val="21"/>
                <w:lang w:eastAsia="zh-CN"/>
              </w:rPr>
              <w:t>，</w:t>
            </w:r>
            <w:r>
              <w:rPr>
                <w:rFonts w:hint="default" w:ascii="Times New Roman" w:hAnsi="Times New Roman" w:eastAsia="宋体" w:cs="Times New Roman"/>
                <w:bCs/>
                <w:color w:val="auto"/>
                <w:szCs w:val="21"/>
              </w:rPr>
              <w:t>本项目建成后预计年生产</w:t>
            </w:r>
            <w:r>
              <w:rPr>
                <w:rFonts w:hint="default" w:ascii="Times New Roman" w:hAnsi="Times New Roman" w:eastAsia="宋体" w:cs="Times New Roman"/>
                <w:color w:val="auto"/>
                <w:sz w:val="21"/>
                <w:szCs w:val="21"/>
                <w:lang w:val="en-US" w:eastAsia="zh-CN" w:bidi="ar-SA"/>
              </w:rPr>
              <w:t>热塑性弹性体颗粒</w:t>
            </w:r>
            <w:r>
              <w:rPr>
                <w:rFonts w:hint="eastAsia" w:ascii="Times New Roman" w:hAnsi="Times New Roman" w:eastAsia="宋体" w:cs="Times New Roman"/>
                <w:color w:val="auto"/>
                <w:sz w:val="21"/>
                <w:szCs w:val="21"/>
                <w:lang w:val="en-US" w:eastAsia="zh-CN" w:bidi="ar-SA"/>
              </w:rPr>
              <w:t>2000t、汽车密封件30t</w:t>
            </w:r>
            <w:r>
              <w:rPr>
                <w:rFonts w:hint="default" w:ascii="Times New Roman" w:hAnsi="Times New Roman" w:eastAsia="宋体" w:cs="Times New Roman"/>
                <w:color w:val="auto"/>
                <w:szCs w:val="21"/>
                <w:highlight w:val="none"/>
                <w:lang w:val="en-US" w:eastAsia="zh-CN"/>
              </w:rPr>
              <w:t>。</w:t>
            </w:r>
          </w:p>
          <w:p w14:paraId="4D31BE12">
            <w:pPr>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本项目已于</w:t>
            </w:r>
            <w:r>
              <w:rPr>
                <w:rFonts w:hint="eastAsia" w:ascii="Times New Roman" w:hAnsi="Times New Roman" w:eastAsia="宋体" w:cs="Times New Roman"/>
                <w:color w:val="auto"/>
                <w:szCs w:val="21"/>
                <w:lang w:eastAsia="zh-CN"/>
              </w:rPr>
              <w:t>2025年12月17日</w:t>
            </w:r>
            <w:r>
              <w:rPr>
                <w:rFonts w:hint="default" w:ascii="Times New Roman" w:hAnsi="Times New Roman" w:eastAsia="宋体" w:cs="Times New Roman"/>
                <w:color w:val="auto"/>
                <w:szCs w:val="21"/>
              </w:rPr>
              <w:t>取得江苏金坛经济开发区经济发展局关于《</w:t>
            </w:r>
            <w:r>
              <w:rPr>
                <w:rFonts w:hint="eastAsia" w:ascii="Times New Roman" w:hAnsi="Times New Roman" w:eastAsia="宋体" w:cs="Times New Roman"/>
                <w:color w:val="auto"/>
                <w:szCs w:val="21"/>
                <w:lang w:eastAsia="zh-CN"/>
              </w:rPr>
              <w:t>新建热塑性弹性体及汽车密封件项目</w:t>
            </w:r>
            <w:r>
              <w:rPr>
                <w:rFonts w:hint="default" w:ascii="Times New Roman" w:hAnsi="Times New Roman" w:eastAsia="宋体" w:cs="Times New Roman"/>
                <w:color w:val="auto"/>
                <w:szCs w:val="21"/>
              </w:rPr>
              <w:t>》备案（</w:t>
            </w:r>
            <w:r>
              <w:rPr>
                <w:rFonts w:hint="eastAsia" w:ascii="Times New Roman" w:hAnsi="Times New Roman" w:eastAsia="宋体" w:cs="Times New Roman"/>
                <w:color w:val="auto"/>
                <w:szCs w:val="21"/>
                <w:lang w:eastAsia="zh-CN"/>
              </w:rPr>
              <w:t>坛开经发备字[2025]347号</w:t>
            </w:r>
            <w:r>
              <w:rPr>
                <w:rFonts w:hint="default" w:ascii="Times New Roman" w:hAnsi="Times New Roman" w:eastAsia="宋体" w:cs="Times New Roman"/>
                <w:color w:val="auto"/>
                <w:szCs w:val="21"/>
              </w:rPr>
              <w:t>），项目代码为</w:t>
            </w:r>
            <w:r>
              <w:rPr>
                <w:rFonts w:hint="eastAsia" w:ascii="Times New Roman" w:hAnsi="Times New Roman" w:eastAsia="宋体" w:cs="Times New Roman"/>
                <w:color w:val="auto"/>
                <w:szCs w:val="21"/>
                <w:lang w:eastAsia="zh-CN"/>
              </w:rPr>
              <w:t>2512-320458-89-01-873292</w:t>
            </w:r>
            <w:r>
              <w:rPr>
                <w:rFonts w:hint="default" w:ascii="Times New Roman" w:hAnsi="Times New Roman" w:eastAsia="宋体" w:cs="Times New Roman"/>
                <w:color w:val="auto"/>
                <w:szCs w:val="21"/>
              </w:rPr>
              <w:t>。</w:t>
            </w:r>
          </w:p>
          <w:p w14:paraId="2615AC5B">
            <w:pPr>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遵照《中华人民共和国环境保护法》《中华人民共和国环境影响评价法》以及《建设项目环境影响评价分类管理名录》（2021）的有关规定，本项目属于《建设项目环境影响评价分类管理名录》（2021）</w:t>
            </w:r>
            <w:r>
              <w:rPr>
                <w:rFonts w:hint="default" w:ascii="Times New Roman" w:hAnsi="Times New Roman" w:eastAsia="宋体" w:cs="Times New Roman"/>
                <w:color w:val="auto"/>
                <w:kern w:val="0"/>
                <w:szCs w:val="21"/>
                <w:lang w:bidi="ar"/>
              </w:rPr>
              <w:t>“二十六、橡胶和塑料制品业29—53塑料制品业292”中“</w:t>
            </w:r>
            <w:r>
              <w:rPr>
                <w:rFonts w:hint="default" w:ascii="Times New Roman" w:hAnsi="Times New Roman" w:eastAsia="宋体" w:cs="Times New Roman"/>
                <w:color w:val="auto"/>
                <w:kern w:val="0"/>
                <w:szCs w:val="21"/>
                <w:lang w:eastAsia="zh-CN" w:bidi="ar"/>
              </w:rPr>
              <w:t>其他</w:t>
            </w:r>
            <w:r>
              <w:rPr>
                <w:rFonts w:hint="default" w:ascii="Times New Roman" w:hAnsi="Times New Roman" w:eastAsia="宋体" w:cs="Times New Roman"/>
                <w:color w:val="auto"/>
                <w:kern w:val="0"/>
                <w:szCs w:val="21"/>
                <w:lang w:bidi="ar"/>
              </w:rPr>
              <w:t>”项目，</w:t>
            </w:r>
            <w:r>
              <w:rPr>
                <w:rFonts w:hint="default" w:ascii="Times New Roman" w:hAnsi="Times New Roman" w:eastAsia="宋体" w:cs="Times New Roman"/>
                <w:color w:val="auto"/>
                <w:szCs w:val="21"/>
              </w:rPr>
              <w:t>需要编制环境影响报告表。为此，</w:t>
            </w:r>
            <w:r>
              <w:rPr>
                <w:rFonts w:hint="eastAsia" w:ascii="Times New Roman" w:hAnsi="Times New Roman" w:eastAsia="宋体" w:cs="Times New Roman"/>
                <w:color w:val="auto"/>
                <w:szCs w:val="21"/>
                <w:lang w:eastAsia="zh-CN"/>
              </w:rPr>
              <w:t>常州和瑞新材料科技有限公司</w:t>
            </w:r>
            <w:r>
              <w:rPr>
                <w:rFonts w:hint="default" w:ascii="Times New Roman" w:hAnsi="Times New Roman" w:eastAsia="宋体" w:cs="Times New Roman"/>
                <w:color w:val="auto"/>
                <w:szCs w:val="21"/>
              </w:rPr>
              <w:t>委托南京昊晟环保科技有限公司承担本项目的环境影响报告表的编制工作。我单位接受委托后，认真研究了该项目的有关资料，在踏勘现场的社会、自然环境状况，调查、收集有关建设项目资料的基础上，根据项目所在区域的环境特征、结合工程污染特性等因素，编制了本项目环境影响报告表。</w:t>
            </w:r>
          </w:p>
          <w:p w14:paraId="45E07F60">
            <w:pPr>
              <w:spacing w:line="360" w:lineRule="auto"/>
              <w:ind w:firstLine="422" w:firstLineChars="200"/>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二、工程内容及生产规模</w:t>
            </w:r>
          </w:p>
          <w:p w14:paraId="5828FF30">
            <w:pPr>
              <w:spacing w:line="360" w:lineRule="auto"/>
              <w:ind w:firstLine="422" w:firstLineChars="200"/>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1、本项目产品方案见下表。</w:t>
            </w:r>
          </w:p>
          <w:p w14:paraId="5C510BB1">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6DC00BB3">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18FC4C9E">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74D0E79D">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07B76F46">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6EABBA11">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2E91BFE9">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13C5FB36">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表2-1 项目产品方案一览表</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79"/>
              <w:gridCol w:w="1047"/>
              <w:gridCol w:w="845"/>
              <w:gridCol w:w="1925"/>
              <w:gridCol w:w="775"/>
              <w:gridCol w:w="803"/>
              <w:gridCol w:w="813"/>
              <w:gridCol w:w="674"/>
              <w:gridCol w:w="1130"/>
            </w:tblGrid>
            <w:tr w14:paraId="04DFFE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68" w:type="pct"/>
                  <w:vMerge w:val="restart"/>
                  <w:noWrap w:val="0"/>
                  <w:tcMar>
                    <w:top w:w="0" w:type="dxa"/>
                    <w:left w:w="0" w:type="dxa"/>
                    <w:bottom w:w="0" w:type="dxa"/>
                    <w:right w:w="0" w:type="dxa"/>
                  </w:tcMar>
                  <w:vAlign w:val="center"/>
                </w:tcPr>
                <w:p w14:paraId="77C9CA0E">
                  <w:pPr>
                    <w:pStyle w:val="76"/>
                    <w:rPr>
                      <w:rFonts w:hint="default" w:ascii="Times New Roman" w:hAnsi="Times New Roman" w:eastAsia="宋体" w:cs="Times New Roman"/>
                      <w:b/>
                      <w:color w:val="auto"/>
                    </w:rPr>
                  </w:pPr>
                  <w:r>
                    <w:rPr>
                      <w:rFonts w:hint="default" w:ascii="Times New Roman" w:hAnsi="Times New Roman" w:eastAsia="宋体" w:cs="Times New Roman"/>
                      <w:b/>
                      <w:color w:val="auto"/>
                    </w:rPr>
                    <w:t>序号</w:t>
                  </w:r>
                </w:p>
              </w:tc>
              <w:tc>
                <w:tcPr>
                  <w:tcW w:w="631" w:type="pct"/>
                  <w:vMerge w:val="restart"/>
                  <w:noWrap w:val="0"/>
                  <w:tcMar>
                    <w:top w:w="0" w:type="dxa"/>
                    <w:left w:w="0" w:type="dxa"/>
                    <w:bottom w:w="0" w:type="dxa"/>
                    <w:right w:w="0" w:type="dxa"/>
                  </w:tcMar>
                  <w:vAlign w:val="center"/>
                </w:tcPr>
                <w:p w14:paraId="0E1A88C5">
                  <w:pPr>
                    <w:pStyle w:val="76"/>
                    <w:rPr>
                      <w:rFonts w:hint="default" w:ascii="Times New Roman" w:hAnsi="Times New Roman" w:eastAsia="宋体" w:cs="Times New Roman"/>
                      <w:b/>
                      <w:color w:val="auto"/>
                    </w:rPr>
                  </w:pPr>
                  <w:r>
                    <w:rPr>
                      <w:rFonts w:hint="default" w:ascii="Times New Roman" w:hAnsi="Times New Roman" w:eastAsia="宋体" w:cs="Times New Roman"/>
                      <w:b/>
                      <w:color w:val="auto"/>
                    </w:rPr>
                    <w:t>工程名称</w:t>
                  </w:r>
                </w:p>
              </w:tc>
              <w:tc>
                <w:tcPr>
                  <w:tcW w:w="509" w:type="pct"/>
                  <w:vMerge w:val="restart"/>
                  <w:noWrap w:val="0"/>
                  <w:tcMar>
                    <w:top w:w="0" w:type="dxa"/>
                    <w:left w:w="0" w:type="dxa"/>
                    <w:bottom w:w="0" w:type="dxa"/>
                    <w:right w:w="0" w:type="dxa"/>
                  </w:tcMar>
                  <w:vAlign w:val="center"/>
                </w:tcPr>
                <w:p w14:paraId="0884425B">
                  <w:pPr>
                    <w:pStyle w:val="76"/>
                    <w:rPr>
                      <w:rFonts w:hint="default" w:ascii="Times New Roman" w:hAnsi="Times New Roman" w:eastAsia="宋体" w:cs="Times New Roman"/>
                      <w:b/>
                      <w:color w:val="auto"/>
                    </w:rPr>
                  </w:pPr>
                  <w:r>
                    <w:rPr>
                      <w:rFonts w:hint="default" w:ascii="Times New Roman" w:hAnsi="Times New Roman" w:eastAsia="宋体" w:cs="Times New Roman"/>
                      <w:b/>
                      <w:color w:val="auto"/>
                    </w:rPr>
                    <w:t>产品</w:t>
                  </w:r>
                </w:p>
              </w:tc>
              <w:tc>
                <w:tcPr>
                  <w:tcW w:w="1160" w:type="pct"/>
                  <w:vMerge w:val="restart"/>
                  <w:noWrap w:val="0"/>
                  <w:tcMar>
                    <w:top w:w="0" w:type="dxa"/>
                    <w:left w:w="0" w:type="dxa"/>
                    <w:bottom w:w="0" w:type="dxa"/>
                    <w:right w:w="0" w:type="dxa"/>
                  </w:tcMar>
                  <w:vAlign w:val="center"/>
                </w:tcPr>
                <w:p w14:paraId="1D20376F">
                  <w:pPr>
                    <w:pStyle w:val="76"/>
                    <w:rPr>
                      <w:rFonts w:hint="default" w:ascii="Times New Roman" w:hAnsi="Times New Roman" w:eastAsia="宋体" w:cs="Times New Roman"/>
                      <w:b/>
                      <w:color w:val="auto"/>
                      <w:highlight w:val="none"/>
                    </w:rPr>
                  </w:pPr>
                  <w:r>
                    <w:rPr>
                      <w:rFonts w:hint="default" w:ascii="Times New Roman" w:hAnsi="Times New Roman" w:eastAsia="宋体" w:cs="Times New Roman"/>
                      <w:b/>
                      <w:bCs/>
                      <w:color w:val="auto"/>
                      <w:highlight w:val="none"/>
                    </w:rPr>
                    <w:t>规格及技术参数</w:t>
                  </w:r>
                </w:p>
              </w:tc>
              <w:tc>
                <w:tcPr>
                  <w:tcW w:w="1441" w:type="pct"/>
                  <w:gridSpan w:val="3"/>
                  <w:noWrap w:val="0"/>
                  <w:tcMar>
                    <w:top w:w="0" w:type="dxa"/>
                    <w:left w:w="0" w:type="dxa"/>
                    <w:bottom w:w="0" w:type="dxa"/>
                    <w:right w:w="0" w:type="dxa"/>
                  </w:tcMar>
                  <w:vAlign w:val="center"/>
                </w:tcPr>
                <w:p w14:paraId="7D41F898">
                  <w:pPr>
                    <w:pStyle w:val="76"/>
                    <w:rPr>
                      <w:rFonts w:hint="default" w:ascii="Times New Roman" w:hAnsi="Times New Roman" w:eastAsia="宋体" w:cs="Times New Roman"/>
                      <w:b/>
                      <w:color w:val="auto"/>
                    </w:rPr>
                  </w:pPr>
                  <w:r>
                    <w:rPr>
                      <w:rFonts w:hint="default" w:ascii="Times New Roman" w:hAnsi="Times New Roman" w:eastAsia="宋体" w:cs="Times New Roman"/>
                      <w:b/>
                      <w:color w:val="auto"/>
                    </w:rPr>
                    <w:t>设计能力（</w:t>
                  </w:r>
                  <w:r>
                    <w:rPr>
                      <w:rFonts w:hint="eastAsia" w:ascii="Times New Roman" w:hAnsi="Times New Roman" w:eastAsia="宋体" w:cs="Times New Roman"/>
                      <w:b/>
                      <w:color w:val="auto"/>
                      <w:lang w:val="en-US" w:eastAsia="zh-CN"/>
                    </w:rPr>
                    <w:t>t</w:t>
                  </w:r>
                  <w:r>
                    <w:rPr>
                      <w:rFonts w:hint="default" w:ascii="Times New Roman" w:hAnsi="Times New Roman" w:eastAsia="宋体" w:cs="Times New Roman"/>
                      <w:b/>
                      <w:color w:val="auto"/>
                    </w:rPr>
                    <w:t>/a）</w:t>
                  </w:r>
                </w:p>
              </w:tc>
              <w:tc>
                <w:tcPr>
                  <w:tcW w:w="406" w:type="pct"/>
                  <w:vMerge w:val="restart"/>
                  <w:noWrap w:val="0"/>
                  <w:tcMar>
                    <w:top w:w="0" w:type="dxa"/>
                    <w:left w:w="0" w:type="dxa"/>
                    <w:bottom w:w="0" w:type="dxa"/>
                    <w:right w:w="0" w:type="dxa"/>
                  </w:tcMar>
                  <w:vAlign w:val="center"/>
                </w:tcPr>
                <w:p w14:paraId="410F33C9">
                  <w:pPr>
                    <w:pStyle w:val="76"/>
                    <w:rPr>
                      <w:rFonts w:hint="default" w:ascii="Times New Roman" w:hAnsi="Times New Roman" w:eastAsia="宋体" w:cs="Times New Roman"/>
                      <w:b/>
                      <w:color w:val="auto"/>
                    </w:rPr>
                  </w:pPr>
                  <w:r>
                    <w:rPr>
                      <w:rFonts w:hint="default" w:ascii="Times New Roman" w:hAnsi="Times New Roman" w:eastAsia="宋体" w:cs="Times New Roman"/>
                      <w:b/>
                      <w:color w:val="auto"/>
                    </w:rPr>
                    <w:t>年运行时数</w:t>
                  </w:r>
                </w:p>
              </w:tc>
              <w:tc>
                <w:tcPr>
                  <w:tcW w:w="680" w:type="pct"/>
                  <w:vMerge w:val="restart"/>
                  <w:noWrap w:val="0"/>
                  <w:tcMar>
                    <w:top w:w="0" w:type="dxa"/>
                    <w:left w:w="0" w:type="dxa"/>
                    <w:bottom w:w="0" w:type="dxa"/>
                    <w:right w:w="0" w:type="dxa"/>
                  </w:tcMar>
                  <w:vAlign w:val="center"/>
                </w:tcPr>
                <w:p w14:paraId="617A61B8">
                  <w:pPr>
                    <w:pStyle w:val="76"/>
                    <w:rPr>
                      <w:rFonts w:hint="eastAsia" w:ascii="Times New Roman" w:hAnsi="Times New Roman" w:eastAsia="宋体" w:cs="Times New Roman"/>
                      <w:b/>
                      <w:color w:val="auto"/>
                      <w:lang w:val="en-US" w:eastAsia="zh-CN"/>
                    </w:rPr>
                  </w:pPr>
                  <w:r>
                    <w:rPr>
                      <w:rFonts w:hint="eastAsia" w:ascii="Times New Roman" w:hAnsi="Times New Roman" w:eastAsia="宋体" w:cs="Times New Roman"/>
                      <w:b/>
                      <w:color w:val="auto"/>
                      <w:lang w:val="en-US" w:eastAsia="zh-CN"/>
                    </w:rPr>
                    <w:t>备注</w:t>
                  </w:r>
                </w:p>
              </w:tc>
            </w:tr>
            <w:tr w14:paraId="764844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68" w:type="pct"/>
                  <w:vMerge w:val="continue"/>
                  <w:noWrap w:val="0"/>
                  <w:tcMar>
                    <w:top w:w="0" w:type="dxa"/>
                    <w:left w:w="0" w:type="dxa"/>
                    <w:bottom w:w="0" w:type="dxa"/>
                    <w:right w:w="0" w:type="dxa"/>
                  </w:tcMar>
                  <w:vAlign w:val="center"/>
                </w:tcPr>
                <w:p w14:paraId="12F8D9C6">
                  <w:pPr>
                    <w:pStyle w:val="76"/>
                    <w:rPr>
                      <w:rFonts w:hint="default" w:ascii="Times New Roman" w:hAnsi="Times New Roman" w:eastAsia="宋体" w:cs="Times New Roman"/>
                      <w:b/>
                      <w:color w:val="auto"/>
                    </w:rPr>
                  </w:pPr>
                </w:p>
              </w:tc>
              <w:tc>
                <w:tcPr>
                  <w:tcW w:w="631" w:type="pct"/>
                  <w:vMerge w:val="continue"/>
                  <w:noWrap w:val="0"/>
                  <w:tcMar>
                    <w:top w:w="0" w:type="dxa"/>
                    <w:left w:w="0" w:type="dxa"/>
                    <w:bottom w:w="0" w:type="dxa"/>
                    <w:right w:w="0" w:type="dxa"/>
                  </w:tcMar>
                  <w:vAlign w:val="center"/>
                </w:tcPr>
                <w:p w14:paraId="3A4A3731">
                  <w:pPr>
                    <w:pStyle w:val="76"/>
                    <w:rPr>
                      <w:rFonts w:hint="default" w:ascii="Times New Roman" w:hAnsi="Times New Roman" w:eastAsia="宋体" w:cs="Times New Roman"/>
                      <w:b/>
                      <w:color w:val="auto"/>
                    </w:rPr>
                  </w:pPr>
                </w:p>
              </w:tc>
              <w:tc>
                <w:tcPr>
                  <w:tcW w:w="509" w:type="pct"/>
                  <w:vMerge w:val="continue"/>
                  <w:noWrap w:val="0"/>
                  <w:tcMar>
                    <w:top w:w="0" w:type="dxa"/>
                    <w:left w:w="0" w:type="dxa"/>
                    <w:bottom w:w="0" w:type="dxa"/>
                    <w:right w:w="0" w:type="dxa"/>
                  </w:tcMar>
                  <w:vAlign w:val="center"/>
                </w:tcPr>
                <w:p w14:paraId="2594CAB8">
                  <w:pPr>
                    <w:pStyle w:val="76"/>
                    <w:rPr>
                      <w:rFonts w:hint="default" w:ascii="Times New Roman" w:hAnsi="Times New Roman" w:eastAsia="宋体" w:cs="Times New Roman"/>
                      <w:b/>
                      <w:color w:val="auto"/>
                    </w:rPr>
                  </w:pPr>
                </w:p>
              </w:tc>
              <w:tc>
                <w:tcPr>
                  <w:tcW w:w="1160" w:type="pct"/>
                  <w:vMerge w:val="continue"/>
                  <w:noWrap w:val="0"/>
                  <w:tcMar>
                    <w:top w:w="0" w:type="dxa"/>
                    <w:left w:w="0" w:type="dxa"/>
                    <w:bottom w:w="0" w:type="dxa"/>
                    <w:right w:w="0" w:type="dxa"/>
                  </w:tcMar>
                  <w:vAlign w:val="center"/>
                </w:tcPr>
                <w:p w14:paraId="3199EEFD">
                  <w:pPr>
                    <w:pStyle w:val="76"/>
                    <w:rPr>
                      <w:rFonts w:hint="default" w:ascii="Times New Roman" w:hAnsi="Times New Roman" w:eastAsia="宋体" w:cs="Times New Roman"/>
                      <w:b/>
                      <w:color w:val="auto"/>
                    </w:rPr>
                  </w:pPr>
                </w:p>
              </w:tc>
              <w:tc>
                <w:tcPr>
                  <w:tcW w:w="467" w:type="pct"/>
                  <w:noWrap w:val="0"/>
                  <w:tcMar>
                    <w:top w:w="0" w:type="dxa"/>
                    <w:left w:w="0" w:type="dxa"/>
                    <w:bottom w:w="0" w:type="dxa"/>
                    <w:right w:w="0" w:type="dxa"/>
                  </w:tcMar>
                  <w:vAlign w:val="center"/>
                </w:tcPr>
                <w:p w14:paraId="60FCD7ED">
                  <w:pPr>
                    <w:pStyle w:val="76"/>
                    <w:rPr>
                      <w:rFonts w:hint="default" w:ascii="Times New Roman" w:hAnsi="Times New Roman" w:eastAsia="宋体" w:cs="Times New Roman"/>
                      <w:b/>
                      <w:color w:val="auto"/>
                    </w:rPr>
                  </w:pPr>
                  <w:r>
                    <w:rPr>
                      <w:rFonts w:hint="default" w:ascii="Times New Roman" w:hAnsi="Times New Roman" w:eastAsia="宋体" w:cs="Times New Roman"/>
                      <w:b/>
                      <w:color w:val="auto"/>
                    </w:rPr>
                    <w:t>扩建前</w:t>
                  </w:r>
                </w:p>
              </w:tc>
              <w:tc>
                <w:tcPr>
                  <w:tcW w:w="484" w:type="pct"/>
                  <w:noWrap w:val="0"/>
                  <w:tcMar>
                    <w:top w:w="0" w:type="dxa"/>
                    <w:left w:w="0" w:type="dxa"/>
                    <w:bottom w:w="0" w:type="dxa"/>
                    <w:right w:w="0" w:type="dxa"/>
                  </w:tcMar>
                  <w:vAlign w:val="center"/>
                </w:tcPr>
                <w:p w14:paraId="1F935FBD">
                  <w:pPr>
                    <w:pStyle w:val="76"/>
                    <w:rPr>
                      <w:rFonts w:hint="default" w:ascii="Times New Roman" w:hAnsi="Times New Roman" w:eastAsia="宋体" w:cs="Times New Roman"/>
                      <w:b/>
                      <w:color w:val="auto"/>
                    </w:rPr>
                  </w:pPr>
                  <w:r>
                    <w:rPr>
                      <w:rFonts w:hint="default" w:ascii="Times New Roman" w:hAnsi="Times New Roman" w:eastAsia="宋体" w:cs="Times New Roman"/>
                      <w:b/>
                      <w:color w:val="auto"/>
                    </w:rPr>
                    <w:t>扩建后</w:t>
                  </w:r>
                </w:p>
              </w:tc>
              <w:tc>
                <w:tcPr>
                  <w:tcW w:w="490" w:type="pct"/>
                  <w:noWrap w:val="0"/>
                  <w:tcMar>
                    <w:top w:w="0" w:type="dxa"/>
                    <w:left w:w="0" w:type="dxa"/>
                    <w:bottom w:w="0" w:type="dxa"/>
                    <w:right w:w="0" w:type="dxa"/>
                  </w:tcMar>
                  <w:vAlign w:val="center"/>
                </w:tcPr>
                <w:p w14:paraId="7B7BB8E0">
                  <w:pPr>
                    <w:pStyle w:val="76"/>
                    <w:rPr>
                      <w:rFonts w:hint="default" w:ascii="Times New Roman" w:hAnsi="Times New Roman" w:eastAsia="宋体" w:cs="Times New Roman"/>
                      <w:b/>
                      <w:color w:val="auto"/>
                    </w:rPr>
                  </w:pPr>
                  <w:r>
                    <w:rPr>
                      <w:rFonts w:hint="default" w:ascii="Times New Roman" w:hAnsi="Times New Roman" w:eastAsia="宋体" w:cs="Times New Roman"/>
                      <w:b/>
                      <w:color w:val="auto"/>
                    </w:rPr>
                    <w:t>增量</w:t>
                  </w:r>
                </w:p>
              </w:tc>
              <w:tc>
                <w:tcPr>
                  <w:tcW w:w="406" w:type="pct"/>
                  <w:vMerge w:val="continue"/>
                  <w:noWrap w:val="0"/>
                  <w:tcMar>
                    <w:top w:w="0" w:type="dxa"/>
                    <w:left w:w="0" w:type="dxa"/>
                    <w:bottom w:w="0" w:type="dxa"/>
                    <w:right w:w="0" w:type="dxa"/>
                  </w:tcMar>
                  <w:vAlign w:val="center"/>
                </w:tcPr>
                <w:p w14:paraId="5E056026">
                  <w:pPr>
                    <w:pStyle w:val="76"/>
                    <w:rPr>
                      <w:rFonts w:hint="default" w:ascii="Times New Roman" w:hAnsi="Times New Roman" w:eastAsia="宋体" w:cs="Times New Roman"/>
                      <w:b/>
                      <w:color w:val="auto"/>
                    </w:rPr>
                  </w:pPr>
                </w:p>
              </w:tc>
              <w:tc>
                <w:tcPr>
                  <w:tcW w:w="680" w:type="pct"/>
                  <w:vMerge w:val="continue"/>
                  <w:noWrap w:val="0"/>
                  <w:tcMar>
                    <w:top w:w="0" w:type="dxa"/>
                    <w:left w:w="0" w:type="dxa"/>
                    <w:bottom w:w="0" w:type="dxa"/>
                    <w:right w:w="0" w:type="dxa"/>
                  </w:tcMar>
                  <w:vAlign w:val="center"/>
                </w:tcPr>
                <w:p w14:paraId="5603307F">
                  <w:pPr>
                    <w:pStyle w:val="76"/>
                    <w:rPr>
                      <w:rFonts w:hint="default" w:ascii="Times New Roman" w:hAnsi="Times New Roman" w:eastAsia="宋体" w:cs="Times New Roman"/>
                      <w:b/>
                      <w:color w:val="auto"/>
                    </w:rPr>
                  </w:pPr>
                </w:p>
              </w:tc>
            </w:tr>
            <w:tr w14:paraId="1BF2A8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50" w:hRule="atLeast"/>
                <w:jc w:val="center"/>
              </w:trPr>
              <w:tc>
                <w:tcPr>
                  <w:tcW w:w="168" w:type="pct"/>
                  <w:noWrap w:val="0"/>
                  <w:tcMar>
                    <w:top w:w="0" w:type="dxa"/>
                    <w:left w:w="0" w:type="dxa"/>
                    <w:bottom w:w="0" w:type="dxa"/>
                    <w:right w:w="0" w:type="dxa"/>
                  </w:tcMar>
                  <w:vAlign w:val="center"/>
                </w:tcPr>
                <w:p w14:paraId="5567EBAB">
                  <w:pPr>
                    <w:pStyle w:val="76"/>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1</w:t>
                  </w:r>
                </w:p>
              </w:tc>
              <w:tc>
                <w:tcPr>
                  <w:tcW w:w="631" w:type="pct"/>
                  <w:noWrap w:val="0"/>
                  <w:tcMar>
                    <w:top w:w="0" w:type="dxa"/>
                    <w:left w:w="0" w:type="dxa"/>
                    <w:bottom w:w="0" w:type="dxa"/>
                    <w:right w:w="0" w:type="dxa"/>
                  </w:tcMar>
                  <w:vAlign w:val="center"/>
                </w:tcPr>
                <w:p w14:paraId="3B9746F3">
                  <w:pPr>
                    <w:pStyle w:val="66"/>
                    <w:spacing w:beforeLines="0" w:afterLines="0"/>
                    <w:rPr>
                      <w:rFonts w:hint="default" w:ascii="Times New Roman" w:hAnsi="Times New Roman" w:eastAsia="宋体" w:cs="宋体"/>
                      <w:b w:val="0"/>
                      <w:bCs/>
                      <w:color w:val="auto"/>
                      <w:kern w:val="2"/>
                      <w:sz w:val="21"/>
                      <w:szCs w:val="21"/>
                      <w:lang w:val="en-US" w:eastAsia="zh-CN" w:bidi="ar-SA"/>
                    </w:rPr>
                  </w:pPr>
                  <w:r>
                    <w:rPr>
                      <w:rFonts w:ascii="Times New Roman" w:hAnsi="Times New Roman" w:eastAsia="宋体"/>
                      <w:b w:val="0"/>
                      <w:bCs/>
                      <w:color w:val="auto"/>
                      <w:sz w:val="21"/>
                      <w:szCs w:val="21"/>
                    </w:rPr>
                    <w:t>热塑性弹性体颗粒生产线</w:t>
                  </w:r>
                </w:p>
              </w:tc>
              <w:tc>
                <w:tcPr>
                  <w:tcW w:w="509" w:type="pct"/>
                  <w:noWrap w:val="0"/>
                  <w:tcMar>
                    <w:top w:w="0" w:type="dxa"/>
                    <w:left w:w="0" w:type="dxa"/>
                    <w:bottom w:w="0" w:type="dxa"/>
                    <w:right w:w="0" w:type="dxa"/>
                  </w:tcMar>
                  <w:vAlign w:val="center"/>
                </w:tcPr>
                <w:p w14:paraId="1A96EA37">
                  <w:pPr>
                    <w:pStyle w:val="66"/>
                    <w:spacing w:beforeLines="0" w:afterLines="0"/>
                    <w:rPr>
                      <w:rFonts w:hint="default" w:ascii="Times New Roman" w:hAnsi="Times New Roman" w:eastAsia="宋体" w:cs="宋体"/>
                      <w:b w:val="0"/>
                      <w:bCs/>
                      <w:color w:val="auto"/>
                      <w:kern w:val="2"/>
                      <w:sz w:val="21"/>
                      <w:szCs w:val="21"/>
                      <w:lang w:val="en-US" w:eastAsia="zh-CN" w:bidi="ar-SA"/>
                    </w:rPr>
                  </w:pPr>
                  <w:r>
                    <w:rPr>
                      <w:rFonts w:ascii="Times New Roman" w:hAnsi="Times New Roman" w:eastAsia="宋体"/>
                      <w:b w:val="0"/>
                      <w:bCs/>
                      <w:color w:val="auto"/>
                      <w:sz w:val="21"/>
                      <w:szCs w:val="21"/>
                    </w:rPr>
                    <w:t>热塑性弹性体颗粒</w:t>
                  </w:r>
                </w:p>
              </w:tc>
              <w:tc>
                <w:tcPr>
                  <w:tcW w:w="1160" w:type="pct"/>
                  <w:noWrap w:val="0"/>
                  <w:tcMar>
                    <w:top w:w="0" w:type="dxa"/>
                    <w:left w:w="0" w:type="dxa"/>
                    <w:bottom w:w="0" w:type="dxa"/>
                    <w:right w:w="0" w:type="dxa"/>
                  </w:tcMar>
                  <w:vAlign w:val="center"/>
                </w:tcPr>
                <w:p w14:paraId="1860E31C">
                  <w:pPr>
                    <w:pStyle w:val="66"/>
                    <w:spacing w:beforeLines="0" w:afterLines="0"/>
                    <w:rPr>
                      <w:rFonts w:hint="default" w:ascii="Times New Roman" w:hAnsi="Times New Roman" w:eastAsia="宋体" w:cs="宋体"/>
                      <w:b/>
                      <w:bCs/>
                      <w:color w:val="auto"/>
                      <w:kern w:val="2"/>
                      <w:sz w:val="21"/>
                      <w:szCs w:val="21"/>
                      <w:lang w:val="en-US" w:eastAsia="zh-CN" w:bidi="ar-SA"/>
                    </w:rPr>
                  </w:pPr>
                  <w:r>
                    <w:rPr>
                      <w:rFonts w:ascii="Times New Roman" w:hAnsi="Times New Roman" w:eastAsia="宋体"/>
                      <w:color w:val="auto"/>
                    </w:rPr>
                    <w:drawing>
                      <wp:inline distT="0" distB="0" distL="114300" distR="114300">
                        <wp:extent cx="984250" cy="854710"/>
                        <wp:effectExtent l="0" t="0" r="6350" b="2540"/>
                        <wp:docPr id="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5"/>
                                <pic:cNvPicPr>
                                  <a:picLocks noChangeAspect="1"/>
                                </pic:cNvPicPr>
                              </pic:nvPicPr>
                              <pic:blipFill>
                                <a:blip r:embed="rId8"/>
                                <a:stretch>
                                  <a:fillRect/>
                                </a:stretch>
                              </pic:blipFill>
                              <pic:spPr>
                                <a:xfrm>
                                  <a:off x="0" y="0"/>
                                  <a:ext cx="984250" cy="854710"/>
                                </a:xfrm>
                                <a:prstGeom prst="rect">
                                  <a:avLst/>
                                </a:prstGeom>
                                <a:noFill/>
                                <a:ln>
                                  <a:noFill/>
                                </a:ln>
                              </pic:spPr>
                            </pic:pic>
                          </a:graphicData>
                        </a:graphic>
                      </wp:inline>
                    </w:drawing>
                  </w:r>
                </w:p>
              </w:tc>
              <w:tc>
                <w:tcPr>
                  <w:tcW w:w="467" w:type="pct"/>
                  <w:noWrap w:val="0"/>
                  <w:tcMar>
                    <w:top w:w="0" w:type="dxa"/>
                    <w:left w:w="0" w:type="dxa"/>
                    <w:bottom w:w="0" w:type="dxa"/>
                    <w:right w:w="0" w:type="dxa"/>
                  </w:tcMar>
                  <w:vAlign w:val="center"/>
                </w:tcPr>
                <w:p w14:paraId="02DDD45A">
                  <w:pPr>
                    <w:pStyle w:val="66"/>
                    <w:spacing w:beforeLines="0" w:afterLines="0"/>
                    <w:rPr>
                      <w:rFonts w:hint="default" w:ascii="Times New Roman" w:hAnsi="Times New Roman" w:eastAsia="宋体" w:cs="宋体"/>
                      <w:b w:val="0"/>
                      <w:bCs/>
                      <w:color w:val="auto"/>
                      <w:kern w:val="2"/>
                      <w:sz w:val="21"/>
                      <w:szCs w:val="21"/>
                      <w:lang w:val="en-US" w:eastAsia="zh-CN" w:bidi="ar-SA"/>
                    </w:rPr>
                  </w:pPr>
                  <w:r>
                    <w:rPr>
                      <w:rFonts w:ascii="Times New Roman" w:hAnsi="Times New Roman" w:eastAsia="宋体"/>
                      <w:b w:val="0"/>
                      <w:bCs/>
                      <w:color w:val="auto"/>
                      <w:sz w:val="21"/>
                      <w:szCs w:val="21"/>
                    </w:rPr>
                    <w:t>2000</w:t>
                  </w:r>
                </w:p>
              </w:tc>
              <w:tc>
                <w:tcPr>
                  <w:tcW w:w="484" w:type="pct"/>
                  <w:noWrap w:val="0"/>
                  <w:tcMar>
                    <w:top w:w="0" w:type="dxa"/>
                    <w:left w:w="0" w:type="dxa"/>
                    <w:bottom w:w="0" w:type="dxa"/>
                    <w:right w:w="0" w:type="dxa"/>
                  </w:tcMar>
                  <w:vAlign w:val="center"/>
                </w:tcPr>
                <w:p w14:paraId="48F42D3E">
                  <w:pPr>
                    <w:pStyle w:val="66"/>
                    <w:spacing w:beforeLines="0" w:afterLines="0"/>
                    <w:rPr>
                      <w:rFonts w:hint="default" w:ascii="Times New Roman" w:hAnsi="Times New Roman" w:eastAsia="宋体" w:cs="宋体"/>
                      <w:b w:val="0"/>
                      <w:bCs/>
                      <w:color w:val="auto"/>
                      <w:kern w:val="2"/>
                      <w:sz w:val="21"/>
                      <w:szCs w:val="21"/>
                      <w:lang w:val="en-US" w:eastAsia="zh-CN" w:bidi="ar-SA"/>
                    </w:rPr>
                  </w:pPr>
                  <w:r>
                    <w:rPr>
                      <w:rFonts w:ascii="Times New Roman" w:hAnsi="Times New Roman" w:eastAsia="宋体"/>
                      <w:b w:val="0"/>
                      <w:bCs/>
                      <w:color w:val="auto"/>
                      <w:sz w:val="21"/>
                      <w:szCs w:val="21"/>
                    </w:rPr>
                    <w:t>2000</w:t>
                  </w:r>
                </w:p>
              </w:tc>
              <w:tc>
                <w:tcPr>
                  <w:tcW w:w="490" w:type="pct"/>
                  <w:noWrap w:val="0"/>
                  <w:tcMar>
                    <w:top w:w="0" w:type="dxa"/>
                    <w:left w:w="0" w:type="dxa"/>
                    <w:bottom w:w="0" w:type="dxa"/>
                    <w:right w:w="0" w:type="dxa"/>
                  </w:tcMar>
                  <w:vAlign w:val="center"/>
                </w:tcPr>
                <w:p w14:paraId="705F17DD">
                  <w:pPr>
                    <w:pStyle w:val="76"/>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+0</w:t>
                  </w:r>
                </w:p>
              </w:tc>
              <w:tc>
                <w:tcPr>
                  <w:tcW w:w="406" w:type="pct"/>
                  <w:vMerge w:val="restart"/>
                  <w:noWrap w:val="0"/>
                  <w:tcMar>
                    <w:top w:w="0" w:type="dxa"/>
                    <w:left w:w="0" w:type="dxa"/>
                    <w:bottom w:w="0" w:type="dxa"/>
                    <w:right w:w="0" w:type="dxa"/>
                  </w:tcMar>
                  <w:vAlign w:val="center"/>
                </w:tcPr>
                <w:p w14:paraId="68F8EA0A">
                  <w:pPr>
                    <w:pStyle w:val="76"/>
                    <w:rPr>
                      <w:rFonts w:hint="default" w:ascii="Times New Roman" w:hAnsi="Times New Roman" w:eastAsia="宋体" w:cs="Times New Roman"/>
                      <w:bCs/>
                      <w:color w:val="auto"/>
                      <w:lang w:val="en-US" w:eastAsia="zh-CN"/>
                    </w:rPr>
                  </w:pPr>
                  <w:r>
                    <w:rPr>
                      <w:rFonts w:hint="default" w:ascii="Times New Roman" w:hAnsi="Times New Roman" w:eastAsia="宋体" w:cs="Times New Roman"/>
                      <w:bCs/>
                      <w:color w:val="auto"/>
                      <w:lang w:val="en-US" w:eastAsia="zh-CN"/>
                    </w:rPr>
                    <w:t>2400h</w:t>
                  </w:r>
                </w:p>
              </w:tc>
              <w:tc>
                <w:tcPr>
                  <w:tcW w:w="680" w:type="pct"/>
                  <w:noWrap w:val="0"/>
                  <w:tcMar>
                    <w:top w:w="0" w:type="dxa"/>
                    <w:left w:w="0" w:type="dxa"/>
                    <w:bottom w:w="0" w:type="dxa"/>
                    <w:right w:w="0" w:type="dxa"/>
                  </w:tcMar>
                  <w:vAlign w:val="center"/>
                </w:tcPr>
                <w:p w14:paraId="05A8D153">
                  <w:pPr>
                    <w:pStyle w:val="76"/>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r>
            <w:tr w14:paraId="7632EC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68" w:type="pct"/>
                  <w:noWrap w:val="0"/>
                  <w:tcMar>
                    <w:top w:w="0" w:type="dxa"/>
                    <w:left w:w="0" w:type="dxa"/>
                    <w:bottom w:w="0" w:type="dxa"/>
                    <w:right w:w="0" w:type="dxa"/>
                  </w:tcMar>
                  <w:vAlign w:val="center"/>
                </w:tcPr>
                <w:p w14:paraId="76F1203A">
                  <w:pPr>
                    <w:pStyle w:val="76"/>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2</w:t>
                  </w:r>
                </w:p>
              </w:tc>
              <w:tc>
                <w:tcPr>
                  <w:tcW w:w="631" w:type="pct"/>
                  <w:noWrap w:val="0"/>
                  <w:tcMar>
                    <w:top w:w="0" w:type="dxa"/>
                    <w:left w:w="0" w:type="dxa"/>
                    <w:bottom w:w="0" w:type="dxa"/>
                    <w:right w:w="0" w:type="dxa"/>
                  </w:tcMar>
                  <w:vAlign w:val="center"/>
                </w:tcPr>
                <w:p w14:paraId="7B61F8DE">
                  <w:pPr>
                    <w:pStyle w:val="66"/>
                    <w:spacing w:beforeLines="0" w:afterLines="0"/>
                    <w:rPr>
                      <w:rFonts w:hint="default" w:ascii="Times New Roman" w:hAnsi="Times New Roman" w:eastAsia="宋体" w:cs="宋体"/>
                      <w:b w:val="0"/>
                      <w:bCs/>
                      <w:color w:val="auto"/>
                      <w:kern w:val="2"/>
                      <w:sz w:val="21"/>
                      <w:szCs w:val="21"/>
                      <w:lang w:val="en-US" w:eastAsia="zh-CN" w:bidi="ar-SA"/>
                    </w:rPr>
                  </w:pPr>
                  <w:r>
                    <w:rPr>
                      <w:rFonts w:ascii="Times New Roman" w:hAnsi="Times New Roman" w:eastAsia="宋体"/>
                      <w:b w:val="0"/>
                      <w:bCs/>
                      <w:color w:val="auto"/>
                      <w:sz w:val="21"/>
                      <w:szCs w:val="21"/>
                    </w:rPr>
                    <w:t>汽车密封件生产线</w:t>
                  </w:r>
                </w:p>
              </w:tc>
              <w:tc>
                <w:tcPr>
                  <w:tcW w:w="509" w:type="pct"/>
                  <w:noWrap w:val="0"/>
                  <w:tcMar>
                    <w:top w:w="0" w:type="dxa"/>
                    <w:left w:w="0" w:type="dxa"/>
                    <w:bottom w:w="0" w:type="dxa"/>
                    <w:right w:w="0" w:type="dxa"/>
                  </w:tcMar>
                  <w:vAlign w:val="center"/>
                </w:tcPr>
                <w:p w14:paraId="6B470259">
                  <w:pPr>
                    <w:pStyle w:val="66"/>
                    <w:spacing w:beforeLines="0" w:afterLines="0"/>
                    <w:rPr>
                      <w:rFonts w:hint="default" w:ascii="Times New Roman" w:hAnsi="Times New Roman" w:eastAsia="宋体" w:cs="宋体"/>
                      <w:b w:val="0"/>
                      <w:bCs/>
                      <w:color w:val="auto"/>
                      <w:kern w:val="2"/>
                      <w:sz w:val="21"/>
                      <w:szCs w:val="21"/>
                      <w:lang w:val="en-US" w:eastAsia="zh-CN" w:bidi="ar-SA"/>
                    </w:rPr>
                  </w:pPr>
                  <w:r>
                    <w:rPr>
                      <w:rFonts w:ascii="Times New Roman" w:hAnsi="Times New Roman" w:eastAsia="宋体"/>
                      <w:b w:val="0"/>
                      <w:bCs/>
                      <w:color w:val="auto"/>
                      <w:sz w:val="21"/>
                      <w:szCs w:val="21"/>
                    </w:rPr>
                    <w:t>汽车密封件</w:t>
                  </w:r>
                </w:p>
              </w:tc>
              <w:tc>
                <w:tcPr>
                  <w:tcW w:w="1160" w:type="pct"/>
                  <w:noWrap w:val="0"/>
                  <w:tcMar>
                    <w:top w:w="0" w:type="dxa"/>
                    <w:left w:w="0" w:type="dxa"/>
                    <w:bottom w:w="0" w:type="dxa"/>
                    <w:right w:w="0" w:type="dxa"/>
                  </w:tcMar>
                  <w:vAlign w:val="center"/>
                </w:tcPr>
                <w:p w14:paraId="79A7466D">
                  <w:pPr>
                    <w:pStyle w:val="66"/>
                    <w:spacing w:beforeLines="0" w:afterLines="0"/>
                    <w:rPr>
                      <w:rFonts w:hint="default" w:ascii="Times New Roman" w:hAnsi="Times New Roman" w:eastAsia="宋体" w:cs="宋体"/>
                      <w:b/>
                      <w:bCs/>
                      <w:color w:val="auto"/>
                      <w:kern w:val="2"/>
                      <w:sz w:val="21"/>
                      <w:szCs w:val="21"/>
                      <w:lang w:val="en-US" w:eastAsia="zh-CN" w:bidi="ar-SA"/>
                    </w:rPr>
                  </w:pPr>
                  <w:r>
                    <w:rPr>
                      <w:rFonts w:ascii="Times New Roman" w:hAnsi="Times New Roman" w:eastAsia="宋体"/>
                      <w:color w:val="auto"/>
                    </w:rPr>
                    <w:drawing>
                      <wp:inline distT="0" distB="0" distL="114300" distR="114300">
                        <wp:extent cx="970915" cy="607060"/>
                        <wp:effectExtent l="0" t="0" r="635" b="2540"/>
                        <wp:docPr id="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6"/>
                                <pic:cNvPicPr>
                                  <a:picLocks noChangeAspect="1"/>
                                </pic:cNvPicPr>
                              </pic:nvPicPr>
                              <pic:blipFill>
                                <a:blip r:embed="rId9"/>
                                <a:stretch>
                                  <a:fillRect/>
                                </a:stretch>
                              </pic:blipFill>
                              <pic:spPr>
                                <a:xfrm>
                                  <a:off x="0" y="0"/>
                                  <a:ext cx="970915" cy="607060"/>
                                </a:xfrm>
                                <a:prstGeom prst="rect">
                                  <a:avLst/>
                                </a:prstGeom>
                                <a:noFill/>
                                <a:ln>
                                  <a:noFill/>
                                </a:ln>
                              </pic:spPr>
                            </pic:pic>
                          </a:graphicData>
                        </a:graphic>
                      </wp:inline>
                    </w:drawing>
                  </w:r>
                </w:p>
              </w:tc>
              <w:tc>
                <w:tcPr>
                  <w:tcW w:w="467" w:type="pct"/>
                  <w:noWrap w:val="0"/>
                  <w:tcMar>
                    <w:top w:w="0" w:type="dxa"/>
                    <w:left w:w="0" w:type="dxa"/>
                    <w:bottom w:w="0" w:type="dxa"/>
                    <w:right w:w="0" w:type="dxa"/>
                  </w:tcMar>
                  <w:vAlign w:val="center"/>
                </w:tcPr>
                <w:p w14:paraId="2CDD17FA">
                  <w:pPr>
                    <w:pStyle w:val="66"/>
                    <w:spacing w:beforeLines="0" w:afterLines="0"/>
                    <w:rPr>
                      <w:rFonts w:hint="default" w:ascii="Times New Roman" w:hAnsi="Times New Roman" w:eastAsia="宋体" w:cs="宋体"/>
                      <w:b w:val="0"/>
                      <w:bCs/>
                      <w:color w:val="auto"/>
                      <w:kern w:val="2"/>
                      <w:sz w:val="21"/>
                      <w:szCs w:val="21"/>
                      <w:lang w:val="en-US" w:eastAsia="zh-CN" w:bidi="ar-SA"/>
                    </w:rPr>
                  </w:pPr>
                  <w:r>
                    <w:rPr>
                      <w:rFonts w:ascii="Times New Roman" w:hAnsi="Times New Roman" w:eastAsia="宋体"/>
                      <w:b w:val="0"/>
                      <w:bCs/>
                      <w:color w:val="auto"/>
                      <w:sz w:val="21"/>
                      <w:szCs w:val="21"/>
                    </w:rPr>
                    <w:t>30</w:t>
                  </w:r>
                </w:p>
              </w:tc>
              <w:tc>
                <w:tcPr>
                  <w:tcW w:w="484" w:type="pct"/>
                  <w:noWrap w:val="0"/>
                  <w:tcMar>
                    <w:top w:w="0" w:type="dxa"/>
                    <w:left w:w="0" w:type="dxa"/>
                    <w:bottom w:w="0" w:type="dxa"/>
                    <w:right w:w="0" w:type="dxa"/>
                  </w:tcMar>
                  <w:vAlign w:val="center"/>
                </w:tcPr>
                <w:p w14:paraId="7BF5B86B">
                  <w:pPr>
                    <w:pStyle w:val="66"/>
                    <w:spacing w:beforeLines="0" w:afterLines="0"/>
                    <w:rPr>
                      <w:rFonts w:hint="default" w:ascii="Times New Roman" w:hAnsi="Times New Roman" w:eastAsia="宋体" w:cs="宋体"/>
                      <w:b w:val="0"/>
                      <w:bCs/>
                      <w:color w:val="auto"/>
                      <w:kern w:val="2"/>
                      <w:sz w:val="21"/>
                      <w:szCs w:val="21"/>
                      <w:lang w:val="en-US" w:eastAsia="zh-CN" w:bidi="ar-SA"/>
                    </w:rPr>
                  </w:pPr>
                  <w:r>
                    <w:rPr>
                      <w:rFonts w:ascii="Times New Roman" w:hAnsi="Times New Roman" w:eastAsia="宋体"/>
                      <w:b w:val="0"/>
                      <w:bCs/>
                      <w:color w:val="auto"/>
                      <w:sz w:val="21"/>
                      <w:szCs w:val="21"/>
                    </w:rPr>
                    <w:t>30</w:t>
                  </w:r>
                </w:p>
              </w:tc>
              <w:tc>
                <w:tcPr>
                  <w:tcW w:w="490" w:type="pct"/>
                  <w:noWrap w:val="0"/>
                  <w:tcMar>
                    <w:top w:w="0" w:type="dxa"/>
                    <w:left w:w="0" w:type="dxa"/>
                    <w:bottom w:w="0" w:type="dxa"/>
                    <w:right w:w="0" w:type="dxa"/>
                  </w:tcMar>
                  <w:vAlign w:val="center"/>
                </w:tcPr>
                <w:p w14:paraId="40A6538B">
                  <w:pPr>
                    <w:pStyle w:val="76"/>
                    <w:rPr>
                      <w:rFonts w:hint="default" w:ascii="Times New Roman" w:hAnsi="Times New Roman" w:eastAsia="宋体" w:cs="Times New Roman"/>
                      <w:bCs/>
                      <w:color w:val="auto"/>
                      <w:lang w:val="en-US" w:eastAsia="zh-CN"/>
                    </w:rPr>
                  </w:pPr>
                  <w:r>
                    <w:rPr>
                      <w:rFonts w:hint="default" w:ascii="Times New Roman" w:hAnsi="Times New Roman" w:eastAsia="宋体" w:cs="Times New Roman"/>
                      <w:bCs/>
                      <w:color w:val="auto"/>
                      <w:lang w:val="en-US" w:eastAsia="zh-CN"/>
                    </w:rPr>
                    <w:t>+0</w:t>
                  </w:r>
                </w:p>
              </w:tc>
              <w:tc>
                <w:tcPr>
                  <w:tcW w:w="406" w:type="pct"/>
                  <w:vMerge w:val="continue"/>
                  <w:noWrap w:val="0"/>
                  <w:tcMar>
                    <w:top w:w="0" w:type="dxa"/>
                    <w:left w:w="0" w:type="dxa"/>
                    <w:bottom w:w="0" w:type="dxa"/>
                    <w:right w:w="0" w:type="dxa"/>
                  </w:tcMar>
                  <w:vAlign w:val="center"/>
                </w:tcPr>
                <w:p w14:paraId="58FF1FE8">
                  <w:pPr>
                    <w:pStyle w:val="76"/>
                    <w:rPr>
                      <w:rFonts w:hint="default" w:ascii="Times New Roman" w:hAnsi="Times New Roman" w:eastAsia="宋体" w:cs="Times New Roman"/>
                      <w:bCs/>
                      <w:color w:val="auto"/>
                      <w:lang w:val="en-US" w:eastAsia="zh-CN"/>
                    </w:rPr>
                  </w:pPr>
                </w:p>
              </w:tc>
              <w:tc>
                <w:tcPr>
                  <w:tcW w:w="680" w:type="pct"/>
                  <w:noWrap w:val="0"/>
                  <w:tcMar>
                    <w:top w:w="0" w:type="dxa"/>
                    <w:left w:w="0" w:type="dxa"/>
                    <w:bottom w:w="0" w:type="dxa"/>
                    <w:right w:w="0" w:type="dxa"/>
                  </w:tcMar>
                  <w:vAlign w:val="center"/>
                </w:tcPr>
                <w:p w14:paraId="2B7C4EE0">
                  <w:pPr>
                    <w:pStyle w:val="76"/>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r>
          </w:tbl>
          <w:p w14:paraId="0DEBBF53">
            <w:pPr>
              <w:spacing w:before="120" w:beforeLines="50" w:line="360" w:lineRule="auto"/>
              <w:ind w:firstLine="422" w:firstLineChars="200"/>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2、劳动定员及工作制度</w:t>
            </w:r>
          </w:p>
          <w:p w14:paraId="604B8E75">
            <w:pPr>
              <w:adjustRightInd w:val="0"/>
              <w:snapToGrid w:val="0"/>
              <w:spacing w:line="360" w:lineRule="auto"/>
              <w:ind w:firstLine="420" w:firstLineChars="200"/>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lang w:val="en-US" w:eastAsia="zh-CN"/>
              </w:rPr>
              <w:t>员工人数：</w:t>
            </w:r>
            <w:r>
              <w:rPr>
                <w:rFonts w:hint="eastAsia" w:ascii="Times New Roman" w:hAnsi="Times New Roman" w:eastAsia="宋体" w:cs="Times New Roman"/>
                <w:color w:val="auto"/>
                <w:szCs w:val="21"/>
                <w:lang w:val="en-US" w:eastAsia="zh-CN"/>
              </w:rPr>
              <w:t>本项目搬迁后</w:t>
            </w:r>
            <w:r>
              <w:rPr>
                <w:rFonts w:hint="default" w:ascii="Times New Roman" w:hAnsi="Times New Roman" w:eastAsia="宋体" w:cs="Times New Roman"/>
                <w:color w:val="auto"/>
                <w:sz w:val="21"/>
                <w:szCs w:val="21"/>
              </w:rPr>
              <w:t>劳动定员</w:t>
            </w:r>
            <w:r>
              <w:rPr>
                <w:rFonts w:hint="eastAsia" w:ascii="Times New Roman" w:hAnsi="Times New Roman" w:eastAsia="宋体" w:cs="Times New Roman"/>
                <w:color w:val="auto"/>
                <w:sz w:val="21"/>
                <w:szCs w:val="21"/>
                <w:lang w:val="en-US" w:eastAsia="zh-CN"/>
              </w:rPr>
              <w:t>6人</w:t>
            </w:r>
            <w:r>
              <w:rPr>
                <w:rFonts w:hint="default" w:ascii="Times New Roman" w:hAnsi="Times New Roman" w:eastAsia="宋体" w:cs="Times New Roman"/>
                <w:color w:val="auto"/>
                <w:szCs w:val="21"/>
                <w:highlight w:val="none"/>
              </w:rPr>
              <w:t>；</w:t>
            </w:r>
          </w:p>
          <w:p w14:paraId="07EC9596">
            <w:pPr>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生产制度：本项目年工作300天，</w:t>
            </w:r>
            <w:r>
              <w:rPr>
                <w:rFonts w:hint="eastAsia" w:ascii="Times New Roman" w:hAnsi="Times New Roman" w:eastAsia="宋体" w:cs="Times New Roman"/>
                <w:color w:val="auto"/>
                <w:szCs w:val="21"/>
                <w:lang w:val="en-US" w:eastAsia="zh-CN"/>
              </w:rPr>
              <w:t>1</w:t>
            </w:r>
            <w:r>
              <w:rPr>
                <w:rFonts w:hint="default" w:ascii="Times New Roman" w:hAnsi="Times New Roman" w:eastAsia="宋体" w:cs="Times New Roman"/>
                <w:color w:val="auto"/>
                <w:szCs w:val="21"/>
              </w:rPr>
              <w:t>班制，</w:t>
            </w:r>
            <w:r>
              <w:rPr>
                <w:rFonts w:hint="eastAsia" w:ascii="Times New Roman" w:hAnsi="Times New Roman" w:eastAsia="宋体" w:cs="Times New Roman"/>
                <w:color w:val="auto"/>
                <w:szCs w:val="21"/>
                <w:lang w:val="en-US" w:eastAsia="zh-CN"/>
              </w:rPr>
              <w:t>8</w:t>
            </w:r>
            <w:r>
              <w:rPr>
                <w:rFonts w:hint="default" w:ascii="Times New Roman" w:hAnsi="Times New Roman" w:eastAsia="宋体" w:cs="Times New Roman"/>
                <w:color w:val="auto"/>
                <w:szCs w:val="21"/>
              </w:rPr>
              <w:t>小时/班，本项目不设食堂、不设浴室、宿舍。</w:t>
            </w:r>
          </w:p>
          <w:p w14:paraId="26784C4B">
            <w:pPr>
              <w:spacing w:line="360" w:lineRule="auto"/>
              <w:ind w:firstLine="422" w:firstLineChars="200"/>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3、项目主要建设内容</w:t>
            </w:r>
          </w:p>
          <w:p w14:paraId="6CF18A12">
            <w:pPr>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本项目主要工程内容详见下表。</w:t>
            </w:r>
          </w:p>
          <w:p w14:paraId="06995C49">
            <w:pPr>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表2-2 项目主要工程建设内容</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65"/>
              <w:gridCol w:w="964"/>
              <w:gridCol w:w="2017"/>
              <w:gridCol w:w="3518"/>
              <w:gridCol w:w="1327"/>
            </w:tblGrid>
            <w:tr w14:paraId="4E5A14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noWrap w:val="0"/>
                  <w:tcMar>
                    <w:top w:w="0" w:type="dxa"/>
                    <w:left w:w="0" w:type="dxa"/>
                    <w:bottom w:w="0" w:type="dxa"/>
                    <w:right w:w="0" w:type="dxa"/>
                  </w:tcMar>
                  <w:vAlign w:val="center"/>
                </w:tcPr>
                <w:p w14:paraId="443CF639">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类别</w:t>
                  </w:r>
                </w:p>
              </w:tc>
              <w:tc>
                <w:tcPr>
                  <w:tcW w:w="581" w:type="pct"/>
                  <w:noWrap w:val="0"/>
                  <w:tcMar>
                    <w:top w:w="0" w:type="dxa"/>
                    <w:left w:w="0" w:type="dxa"/>
                    <w:bottom w:w="0" w:type="dxa"/>
                    <w:right w:w="0" w:type="dxa"/>
                  </w:tcMar>
                  <w:vAlign w:val="center"/>
                </w:tcPr>
                <w:p w14:paraId="16734E92">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项目名称</w:t>
                  </w:r>
                </w:p>
              </w:tc>
              <w:tc>
                <w:tcPr>
                  <w:tcW w:w="3337" w:type="pct"/>
                  <w:gridSpan w:val="2"/>
                  <w:noWrap w:val="0"/>
                  <w:tcMar>
                    <w:top w:w="0" w:type="dxa"/>
                    <w:left w:w="0" w:type="dxa"/>
                    <w:bottom w:w="0" w:type="dxa"/>
                    <w:right w:w="0" w:type="dxa"/>
                  </w:tcMar>
                  <w:vAlign w:val="center"/>
                </w:tcPr>
                <w:p w14:paraId="40DEB2EE">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建设规模</w:t>
                  </w:r>
                </w:p>
              </w:tc>
              <w:tc>
                <w:tcPr>
                  <w:tcW w:w="799" w:type="pct"/>
                  <w:noWrap w:val="0"/>
                  <w:tcMar>
                    <w:top w:w="0" w:type="dxa"/>
                    <w:left w:w="0" w:type="dxa"/>
                    <w:bottom w:w="0" w:type="dxa"/>
                    <w:right w:w="0" w:type="dxa"/>
                  </w:tcMar>
                  <w:vAlign w:val="center"/>
                </w:tcPr>
                <w:p w14:paraId="5076388F">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备注</w:t>
                  </w:r>
                </w:p>
              </w:tc>
            </w:tr>
            <w:tr w14:paraId="190284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noWrap w:val="0"/>
                  <w:tcMar>
                    <w:top w:w="0" w:type="dxa"/>
                    <w:left w:w="0" w:type="dxa"/>
                    <w:bottom w:w="0" w:type="dxa"/>
                    <w:right w:w="0" w:type="dxa"/>
                  </w:tcMar>
                  <w:vAlign w:val="center"/>
                </w:tcPr>
                <w:p w14:paraId="3FD58FFE">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主体工程</w:t>
                  </w:r>
                </w:p>
              </w:tc>
              <w:tc>
                <w:tcPr>
                  <w:tcW w:w="581" w:type="pct"/>
                  <w:noWrap w:val="0"/>
                  <w:tcMar>
                    <w:top w:w="0" w:type="dxa"/>
                    <w:left w:w="0" w:type="dxa"/>
                    <w:bottom w:w="0" w:type="dxa"/>
                    <w:right w:w="0" w:type="dxa"/>
                  </w:tcMar>
                  <w:vAlign w:val="center"/>
                </w:tcPr>
                <w:p w14:paraId="760041E2">
                  <w:pPr>
                    <w:keepNext w:val="0"/>
                    <w:keepLines w:val="0"/>
                    <w:pageBreakBefore w:val="0"/>
                    <w:widowControl w:val="0"/>
                    <w:kinsoku/>
                    <w:wordWrap/>
                    <w:overflowPunct/>
                    <w:topLinePunct w:val="0"/>
                    <w:autoSpaceDE w:val="0"/>
                    <w:autoSpaceDN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bCs/>
                      <w:color w:val="auto"/>
                      <w:sz w:val="21"/>
                      <w:szCs w:val="21"/>
                      <w:lang w:eastAsia="zh-CN"/>
                    </w:rPr>
                    <w:t>热塑性弹性体颗、汽车密封件</w:t>
                  </w:r>
                  <w:r>
                    <w:rPr>
                      <w:rFonts w:hint="default" w:ascii="Times New Roman" w:hAnsi="Times New Roman" w:eastAsia="宋体" w:cs="Times New Roman"/>
                      <w:bCs/>
                      <w:color w:val="auto"/>
                      <w:sz w:val="21"/>
                      <w:szCs w:val="21"/>
                    </w:rPr>
                    <w:t>生产线</w:t>
                  </w:r>
                </w:p>
              </w:tc>
              <w:tc>
                <w:tcPr>
                  <w:tcW w:w="3337" w:type="pct"/>
                  <w:gridSpan w:val="2"/>
                  <w:noWrap w:val="0"/>
                  <w:tcMar>
                    <w:top w:w="0" w:type="dxa"/>
                    <w:left w:w="0" w:type="dxa"/>
                    <w:bottom w:w="0" w:type="dxa"/>
                    <w:right w:w="0" w:type="dxa"/>
                  </w:tcMar>
                  <w:vAlign w:val="center"/>
                </w:tcPr>
                <w:p w14:paraId="502902D8">
                  <w:pPr>
                    <w:keepNext w:val="0"/>
                    <w:keepLines w:val="0"/>
                    <w:pageBreakBefore w:val="0"/>
                    <w:widowControl w:val="0"/>
                    <w:kinsoku/>
                    <w:wordWrap/>
                    <w:overflowPunct/>
                    <w:topLinePunct w:val="0"/>
                    <w:bidi w:val="0"/>
                    <w:adjustRightInd w:val="0"/>
                    <w:snapToGrid w:val="0"/>
                    <w:spacing w:line="240" w:lineRule="auto"/>
                    <w:jc w:val="center"/>
                    <w:rPr>
                      <w:rFonts w:hint="eastAsia" w:ascii="Times New Roman" w:hAnsi="Times New Roman" w:eastAsia="宋体" w:cs="Times New Roman"/>
                      <w:color w:val="auto"/>
                      <w:spacing w:val="-2"/>
                      <w:kern w:val="28"/>
                      <w:sz w:val="21"/>
                      <w:szCs w:val="21"/>
                      <w:lang w:val="en-US" w:eastAsia="zh-CN"/>
                    </w:rPr>
                  </w:pPr>
                  <w:r>
                    <w:rPr>
                      <w:rFonts w:hint="default" w:ascii="Times New Roman" w:hAnsi="Times New Roman" w:eastAsia="宋体" w:cs="Times New Roman"/>
                      <w:color w:val="auto"/>
                      <w:sz w:val="21"/>
                      <w:szCs w:val="21"/>
                      <w:lang w:val="en-US" w:eastAsia="zh-CN"/>
                    </w:rPr>
                    <w:t>用于</w:t>
                  </w:r>
                  <w:r>
                    <w:rPr>
                      <w:rFonts w:hint="eastAsia" w:ascii="Times New Roman" w:hAnsi="Times New Roman" w:eastAsia="宋体" w:cs="Times New Roman"/>
                      <w:color w:val="auto"/>
                      <w:sz w:val="21"/>
                      <w:szCs w:val="21"/>
                      <w:lang w:val="en-US" w:eastAsia="zh-CN"/>
                    </w:rPr>
                    <w:t>热塑性弹性体颗</w:t>
                  </w:r>
                  <w:r>
                    <w:rPr>
                      <w:rFonts w:hint="eastAsia" w:ascii="Times New Roman" w:hAnsi="Times New Roman" w:eastAsia="宋体" w:cs="Times New Roman"/>
                      <w:color w:val="auto"/>
                      <w:lang w:eastAsia="zh-CN"/>
                    </w:rPr>
                    <w:t>粒</w:t>
                  </w:r>
                  <w:r>
                    <w:rPr>
                      <w:rFonts w:hint="eastAsia" w:ascii="Times New Roman" w:hAnsi="Times New Roman" w:eastAsia="宋体" w:cs="Times New Roman"/>
                      <w:color w:val="auto"/>
                      <w:sz w:val="21"/>
                      <w:szCs w:val="21"/>
                      <w:lang w:val="en-US" w:eastAsia="zh-CN"/>
                    </w:rPr>
                    <w:t>、汽车密封件</w:t>
                  </w:r>
                  <w:r>
                    <w:rPr>
                      <w:rFonts w:hint="default" w:ascii="Times New Roman" w:hAnsi="Times New Roman" w:eastAsia="宋体" w:cs="Times New Roman"/>
                      <w:color w:val="auto"/>
                      <w:sz w:val="21"/>
                      <w:szCs w:val="21"/>
                      <w:lang w:val="en-US" w:eastAsia="zh-CN"/>
                    </w:rPr>
                    <w:t>的生产，</w:t>
                  </w:r>
                  <w:r>
                    <w:rPr>
                      <w:rFonts w:hint="eastAsia" w:cs="Times New Roman"/>
                      <w:color w:val="auto"/>
                      <w:sz w:val="21"/>
                      <w:szCs w:val="21"/>
                      <w:lang w:val="en-US" w:eastAsia="zh-CN"/>
                    </w:rPr>
                    <w:t>生产车间1楼</w:t>
                  </w:r>
                  <w:r>
                    <w:rPr>
                      <w:rFonts w:hint="default" w:ascii="Times New Roman" w:hAnsi="Times New Roman" w:eastAsia="宋体" w:cs="Times New Roman"/>
                      <w:color w:val="auto"/>
                      <w:sz w:val="21"/>
                      <w:szCs w:val="21"/>
                    </w:rPr>
                    <w:t>，建筑面积为</w:t>
                  </w:r>
                  <w:r>
                    <w:rPr>
                      <w:rFonts w:hint="eastAsia" w:cs="Times New Roman"/>
                      <w:color w:val="auto"/>
                      <w:sz w:val="21"/>
                      <w:szCs w:val="21"/>
                      <w:lang w:val="en-US" w:eastAsia="zh-CN"/>
                    </w:rPr>
                    <w:t>1660</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主要设置</w:t>
                  </w:r>
                  <w:r>
                    <w:rPr>
                      <w:rFonts w:hint="eastAsia" w:cs="Times New Roman"/>
                      <w:color w:val="auto"/>
                      <w:sz w:val="21"/>
                      <w:szCs w:val="21"/>
                      <w:lang w:val="en-US" w:eastAsia="zh-CN"/>
                    </w:rPr>
                    <w:t>检测室、挤出线、破碎区、烘干区、成品暂存区、原料暂存区</w:t>
                  </w:r>
                  <w:r>
                    <w:rPr>
                      <w:rFonts w:hint="default" w:ascii="Times New Roman" w:hAnsi="Times New Roman" w:eastAsia="宋体" w:cs="Times New Roman"/>
                      <w:color w:val="auto"/>
                      <w:sz w:val="21"/>
                      <w:szCs w:val="21"/>
                      <w:lang w:val="en-US" w:eastAsia="zh-CN"/>
                    </w:rPr>
                    <w:t>等</w:t>
                  </w:r>
                  <w:r>
                    <w:rPr>
                      <w:rFonts w:hint="default" w:ascii="Times New Roman" w:hAnsi="Times New Roman" w:eastAsia="宋体" w:cs="Times New Roman"/>
                      <w:color w:val="auto"/>
                      <w:sz w:val="21"/>
                      <w:szCs w:val="21"/>
                    </w:rPr>
                    <w:t>。</w:t>
                  </w:r>
                </w:p>
              </w:tc>
              <w:tc>
                <w:tcPr>
                  <w:tcW w:w="799" w:type="pct"/>
                  <w:noWrap w:val="0"/>
                  <w:tcMar>
                    <w:top w:w="0" w:type="dxa"/>
                    <w:left w:w="0" w:type="dxa"/>
                    <w:bottom w:w="0" w:type="dxa"/>
                    <w:right w:w="0" w:type="dxa"/>
                  </w:tcMar>
                  <w:vAlign w:val="center"/>
                </w:tcPr>
                <w:p w14:paraId="4535050E">
                  <w:pPr>
                    <w:keepNext w:val="0"/>
                    <w:keepLines w:val="0"/>
                    <w:pageBreakBefore w:val="0"/>
                    <w:widowControl w:val="0"/>
                    <w:kinsoku/>
                    <w:wordWrap/>
                    <w:overflowPunct/>
                    <w:topLinePunct w:val="0"/>
                    <w:bidi w:val="0"/>
                    <w:adjustRightInd w:val="0"/>
                    <w:snapToGrid w:val="0"/>
                    <w:spacing w:line="240" w:lineRule="auto"/>
                    <w:jc w:val="center"/>
                    <w:textAlignment w:val="baseline"/>
                    <w:rPr>
                      <w:rFonts w:hint="default" w:ascii="Times New Roman" w:hAnsi="Times New Roman" w:eastAsia="宋体" w:cs="Times New Roman"/>
                      <w:color w:val="auto"/>
                      <w:spacing w:val="-2"/>
                      <w:kern w:val="28"/>
                      <w:sz w:val="21"/>
                      <w:szCs w:val="21"/>
                      <w:lang w:val="en-US" w:eastAsia="zh-CN"/>
                    </w:rPr>
                  </w:pPr>
                  <w:r>
                    <w:rPr>
                      <w:rFonts w:hint="eastAsia" w:ascii="Times New Roman" w:hAnsi="Times New Roman" w:eastAsia="宋体" w:cs="Times New Roman"/>
                      <w:color w:val="auto"/>
                      <w:spacing w:val="-2"/>
                      <w:kern w:val="28"/>
                      <w:sz w:val="21"/>
                      <w:szCs w:val="21"/>
                      <w:lang w:val="en-US" w:eastAsia="zh-CN"/>
                    </w:rPr>
                    <w:t>新建</w:t>
                  </w:r>
                </w:p>
              </w:tc>
            </w:tr>
            <w:tr w14:paraId="4379E9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281" w:type="pct"/>
                  <w:noWrap w:val="0"/>
                  <w:tcMar>
                    <w:top w:w="0" w:type="dxa"/>
                    <w:left w:w="0" w:type="dxa"/>
                    <w:bottom w:w="0" w:type="dxa"/>
                    <w:right w:w="0" w:type="dxa"/>
                  </w:tcMar>
                  <w:vAlign w:val="center"/>
                </w:tcPr>
                <w:p w14:paraId="75FF45AD">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辅助工程</w:t>
                  </w:r>
                </w:p>
              </w:tc>
              <w:tc>
                <w:tcPr>
                  <w:tcW w:w="581" w:type="pct"/>
                  <w:noWrap w:val="0"/>
                  <w:tcMar>
                    <w:top w:w="0" w:type="dxa"/>
                    <w:left w:w="0" w:type="dxa"/>
                    <w:bottom w:w="0" w:type="dxa"/>
                    <w:right w:w="0" w:type="dxa"/>
                  </w:tcMar>
                  <w:vAlign w:val="center"/>
                </w:tcPr>
                <w:p w14:paraId="20556D3B">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办公室</w:t>
                  </w:r>
                </w:p>
              </w:tc>
              <w:tc>
                <w:tcPr>
                  <w:tcW w:w="3337" w:type="pct"/>
                  <w:gridSpan w:val="2"/>
                  <w:noWrap w:val="0"/>
                  <w:tcMar>
                    <w:top w:w="0" w:type="dxa"/>
                    <w:left w:w="0" w:type="dxa"/>
                    <w:bottom w:w="0" w:type="dxa"/>
                    <w:right w:w="0" w:type="dxa"/>
                  </w:tcMar>
                  <w:vAlign w:val="center"/>
                </w:tcPr>
                <w:p w14:paraId="3B83C5BD">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用于办公、行政，位于</w:t>
                  </w:r>
                  <w:r>
                    <w:rPr>
                      <w:rFonts w:hint="eastAsia" w:cs="Times New Roman"/>
                      <w:color w:val="auto"/>
                      <w:sz w:val="21"/>
                      <w:szCs w:val="21"/>
                      <w:lang w:val="en-US" w:eastAsia="zh-CN"/>
                    </w:rPr>
                    <w:t>生产车间1楼北侧</w:t>
                  </w:r>
                  <w:r>
                    <w:rPr>
                      <w:rFonts w:hint="default" w:ascii="Times New Roman" w:hAnsi="Times New Roman" w:eastAsia="宋体" w:cs="Times New Roman"/>
                      <w:color w:val="auto"/>
                      <w:sz w:val="21"/>
                      <w:szCs w:val="21"/>
                    </w:rPr>
                    <w:t>，建筑面积为</w:t>
                  </w:r>
                  <w:r>
                    <w:rPr>
                      <w:rFonts w:hint="eastAsia" w:cs="Times New Roman"/>
                      <w:color w:val="auto"/>
                      <w:sz w:val="21"/>
                      <w:szCs w:val="21"/>
                      <w:lang w:val="en-US" w:eastAsia="zh-CN"/>
                    </w:rPr>
                    <w:t>50</w:t>
                  </w:r>
                  <w:r>
                    <w:rPr>
                      <w:rFonts w:hint="eastAsia"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2</w:t>
                  </w:r>
                </w:p>
              </w:tc>
              <w:tc>
                <w:tcPr>
                  <w:tcW w:w="799" w:type="pct"/>
                  <w:noWrap w:val="0"/>
                  <w:tcMar>
                    <w:top w:w="0" w:type="dxa"/>
                    <w:left w:w="0" w:type="dxa"/>
                    <w:bottom w:w="0" w:type="dxa"/>
                    <w:right w:w="0" w:type="dxa"/>
                  </w:tcMar>
                  <w:vAlign w:val="center"/>
                </w:tcPr>
                <w:p w14:paraId="1D62D37E">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pacing w:val="-2"/>
                      <w:kern w:val="28"/>
                      <w:sz w:val="21"/>
                      <w:szCs w:val="21"/>
                      <w:lang w:val="en-US" w:eastAsia="zh-CN"/>
                    </w:rPr>
                    <w:t>新建</w:t>
                  </w:r>
                </w:p>
              </w:tc>
            </w:tr>
            <w:tr w14:paraId="022734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restart"/>
                  <w:noWrap w:val="0"/>
                  <w:tcMar>
                    <w:top w:w="0" w:type="dxa"/>
                    <w:left w:w="0" w:type="dxa"/>
                    <w:bottom w:w="0" w:type="dxa"/>
                    <w:right w:w="0" w:type="dxa"/>
                  </w:tcMar>
                  <w:vAlign w:val="center"/>
                </w:tcPr>
                <w:p w14:paraId="4873891F">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贮运工程</w:t>
                  </w:r>
                </w:p>
              </w:tc>
              <w:tc>
                <w:tcPr>
                  <w:tcW w:w="581" w:type="pct"/>
                  <w:noWrap w:val="0"/>
                  <w:tcMar>
                    <w:top w:w="0" w:type="dxa"/>
                    <w:left w:w="0" w:type="dxa"/>
                    <w:bottom w:w="0" w:type="dxa"/>
                    <w:right w:w="0" w:type="dxa"/>
                  </w:tcMar>
                  <w:vAlign w:val="center"/>
                </w:tcPr>
                <w:p w14:paraId="0F98592B">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原料仓库</w:t>
                  </w:r>
                </w:p>
              </w:tc>
              <w:tc>
                <w:tcPr>
                  <w:tcW w:w="3337" w:type="pct"/>
                  <w:gridSpan w:val="2"/>
                  <w:noWrap w:val="0"/>
                  <w:tcMar>
                    <w:top w:w="0" w:type="dxa"/>
                    <w:left w:w="0" w:type="dxa"/>
                    <w:bottom w:w="0" w:type="dxa"/>
                    <w:right w:w="0" w:type="dxa"/>
                  </w:tcMar>
                  <w:vAlign w:val="center"/>
                </w:tcPr>
                <w:p w14:paraId="14536B19">
                  <w:pPr>
                    <w:keepNext w:val="0"/>
                    <w:keepLines w:val="0"/>
                    <w:pageBreakBefore w:val="0"/>
                    <w:widowControl w:val="0"/>
                    <w:kinsoku/>
                    <w:wordWrap/>
                    <w:overflowPunct/>
                    <w:topLinePunct w:val="0"/>
                    <w:bidi w:val="0"/>
                    <w:adjustRightInd w:val="0"/>
                    <w:snapToGrid w:val="0"/>
                    <w:spacing w:line="240" w:lineRule="auto"/>
                    <w:jc w:val="center"/>
                    <w:rPr>
                      <w:rFonts w:hint="eastAsia" w:ascii="Times New Roman" w:hAnsi="Times New Roman" w:eastAsia="宋体" w:cs="Times New Roman"/>
                      <w:color w:val="auto"/>
                      <w:spacing w:val="-2"/>
                      <w:kern w:val="28"/>
                      <w:sz w:val="21"/>
                      <w:szCs w:val="21"/>
                      <w:lang w:val="en-US" w:eastAsia="zh-CN"/>
                    </w:rPr>
                  </w:pPr>
                  <w:r>
                    <w:rPr>
                      <w:rFonts w:hint="default" w:ascii="Times New Roman" w:hAnsi="Times New Roman" w:eastAsia="宋体" w:cs="Times New Roman"/>
                      <w:color w:val="auto"/>
                      <w:sz w:val="21"/>
                      <w:szCs w:val="21"/>
                    </w:rPr>
                    <w:t>建筑面积为</w:t>
                  </w:r>
                  <w:r>
                    <w:rPr>
                      <w:rFonts w:hint="eastAsia" w:cs="Times New Roman"/>
                      <w:color w:val="auto"/>
                      <w:sz w:val="21"/>
                      <w:szCs w:val="21"/>
                      <w:lang w:val="en-US" w:eastAsia="zh-CN"/>
                    </w:rPr>
                    <w:t>200</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，用于原料仓库。</w:t>
                  </w:r>
                </w:p>
              </w:tc>
              <w:tc>
                <w:tcPr>
                  <w:tcW w:w="799" w:type="pct"/>
                  <w:vMerge w:val="restart"/>
                  <w:noWrap w:val="0"/>
                  <w:tcMar>
                    <w:top w:w="0" w:type="dxa"/>
                    <w:left w:w="0" w:type="dxa"/>
                    <w:bottom w:w="0" w:type="dxa"/>
                    <w:right w:w="0" w:type="dxa"/>
                  </w:tcMar>
                  <w:vAlign w:val="center"/>
                </w:tcPr>
                <w:p w14:paraId="1E309F60">
                  <w:pPr>
                    <w:keepNext w:val="0"/>
                    <w:keepLines w:val="0"/>
                    <w:pageBreakBefore w:val="0"/>
                    <w:widowControl w:val="0"/>
                    <w:kinsoku/>
                    <w:wordWrap/>
                    <w:overflowPunct/>
                    <w:topLinePunct w:val="0"/>
                    <w:bidi w:val="0"/>
                    <w:adjustRightInd w:val="0"/>
                    <w:snapToGrid w:val="0"/>
                    <w:spacing w:line="240" w:lineRule="auto"/>
                    <w:jc w:val="center"/>
                    <w:textAlignment w:val="baseline"/>
                    <w:rPr>
                      <w:rFonts w:hint="default" w:ascii="Times New Roman" w:hAnsi="Times New Roman" w:eastAsia="宋体" w:cs="Times New Roman"/>
                      <w:color w:val="auto"/>
                      <w:spacing w:val="-2"/>
                      <w:kern w:val="28"/>
                      <w:sz w:val="21"/>
                      <w:szCs w:val="21"/>
                      <w:lang w:val="en-US" w:eastAsia="zh-CN" w:bidi="ar-SA"/>
                    </w:rPr>
                  </w:pPr>
                  <w:r>
                    <w:rPr>
                      <w:rFonts w:hint="eastAsia" w:ascii="Times New Roman" w:hAnsi="Times New Roman" w:eastAsia="宋体" w:cs="Times New Roman"/>
                      <w:color w:val="auto"/>
                      <w:spacing w:val="-2"/>
                      <w:kern w:val="28"/>
                      <w:sz w:val="21"/>
                      <w:szCs w:val="21"/>
                      <w:lang w:val="en-US" w:eastAsia="zh-CN"/>
                    </w:rPr>
                    <w:t>新建</w:t>
                  </w:r>
                </w:p>
              </w:tc>
            </w:tr>
            <w:tr w14:paraId="2C6BE4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continue"/>
                  <w:noWrap w:val="0"/>
                  <w:tcMar>
                    <w:top w:w="0" w:type="dxa"/>
                    <w:left w:w="0" w:type="dxa"/>
                    <w:bottom w:w="0" w:type="dxa"/>
                    <w:right w:w="0" w:type="dxa"/>
                  </w:tcMar>
                  <w:vAlign w:val="center"/>
                </w:tcPr>
                <w:p w14:paraId="05C425AA">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p>
              </w:tc>
              <w:tc>
                <w:tcPr>
                  <w:tcW w:w="581" w:type="pct"/>
                  <w:noWrap w:val="0"/>
                  <w:tcMar>
                    <w:top w:w="0" w:type="dxa"/>
                    <w:left w:w="0" w:type="dxa"/>
                    <w:bottom w:w="0" w:type="dxa"/>
                    <w:right w:w="0" w:type="dxa"/>
                  </w:tcMar>
                  <w:vAlign w:val="center"/>
                </w:tcPr>
                <w:p w14:paraId="6293317B">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成品仓库</w:t>
                  </w:r>
                </w:p>
              </w:tc>
              <w:tc>
                <w:tcPr>
                  <w:tcW w:w="3337" w:type="pct"/>
                  <w:gridSpan w:val="2"/>
                  <w:noWrap w:val="0"/>
                  <w:tcMar>
                    <w:top w:w="0" w:type="dxa"/>
                    <w:left w:w="0" w:type="dxa"/>
                    <w:bottom w:w="0" w:type="dxa"/>
                    <w:right w:w="0" w:type="dxa"/>
                  </w:tcMar>
                  <w:vAlign w:val="center"/>
                </w:tcPr>
                <w:p w14:paraId="61FF4CED">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pacing w:val="-2"/>
                      <w:kern w:val="28"/>
                      <w:sz w:val="21"/>
                      <w:szCs w:val="21"/>
                      <w:lang w:val="en-US" w:eastAsia="zh-CN" w:bidi="ar-SA"/>
                    </w:rPr>
                  </w:pPr>
                  <w:r>
                    <w:rPr>
                      <w:rFonts w:hint="default" w:ascii="Times New Roman" w:hAnsi="Times New Roman" w:eastAsia="宋体" w:cs="Times New Roman"/>
                      <w:color w:val="auto"/>
                      <w:sz w:val="21"/>
                      <w:szCs w:val="21"/>
                    </w:rPr>
                    <w:t>建筑面积为</w:t>
                  </w:r>
                  <w:r>
                    <w:rPr>
                      <w:rFonts w:hint="eastAsia" w:cs="Times New Roman"/>
                      <w:color w:val="auto"/>
                      <w:sz w:val="21"/>
                      <w:szCs w:val="21"/>
                      <w:lang w:val="en-US" w:eastAsia="zh-CN"/>
                    </w:rPr>
                    <w:t>3</w:t>
                  </w:r>
                  <w:r>
                    <w:rPr>
                      <w:rFonts w:hint="eastAsia" w:ascii="Times New Roman" w:hAnsi="Times New Roman" w:eastAsia="宋体" w:cs="Times New Roman"/>
                      <w:color w:val="auto"/>
                      <w:sz w:val="21"/>
                      <w:szCs w:val="21"/>
                      <w:lang w:val="en-US" w:eastAsia="zh-CN"/>
                    </w:rPr>
                    <w:t>00</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，用于</w:t>
                  </w:r>
                  <w:r>
                    <w:rPr>
                      <w:rFonts w:hint="default" w:ascii="Times New Roman" w:hAnsi="Times New Roman" w:eastAsia="宋体" w:cs="Times New Roman"/>
                      <w:color w:val="auto"/>
                      <w:sz w:val="21"/>
                      <w:szCs w:val="21"/>
                      <w:lang w:val="en-US" w:eastAsia="zh-CN"/>
                    </w:rPr>
                    <w:t>成品仓库</w:t>
                  </w:r>
                  <w:r>
                    <w:rPr>
                      <w:rFonts w:hint="default" w:ascii="Times New Roman" w:hAnsi="Times New Roman" w:eastAsia="宋体" w:cs="Times New Roman"/>
                      <w:color w:val="auto"/>
                      <w:sz w:val="21"/>
                      <w:szCs w:val="21"/>
                    </w:rPr>
                    <w:t>。</w:t>
                  </w:r>
                </w:p>
              </w:tc>
              <w:tc>
                <w:tcPr>
                  <w:tcW w:w="799" w:type="pct"/>
                  <w:vMerge w:val="continue"/>
                  <w:noWrap w:val="0"/>
                  <w:tcMar>
                    <w:top w:w="0" w:type="dxa"/>
                    <w:left w:w="0" w:type="dxa"/>
                    <w:bottom w:w="0" w:type="dxa"/>
                    <w:right w:w="0" w:type="dxa"/>
                  </w:tcMar>
                  <w:vAlign w:val="center"/>
                </w:tcPr>
                <w:p w14:paraId="1ACC5D99">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p>
              </w:tc>
            </w:tr>
            <w:tr w14:paraId="2B8946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restart"/>
                  <w:noWrap w:val="0"/>
                  <w:tcMar>
                    <w:top w:w="0" w:type="dxa"/>
                    <w:left w:w="0" w:type="dxa"/>
                    <w:bottom w:w="0" w:type="dxa"/>
                    <w:right w:w="0" w:type="dxa"/>
                  </w:tcMar>
                  <w:vAlign w:val="center"/>
                </w:tcPr>
                <w:p w14:paraId="242F5F80">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公用工程</w:t>
                  </w:r>
                </w:p>
              </w:tc>
              <w:tc>
                <w:tcPr>
                  <w:tcW w:w="581" w:type="pct"/>
                  <w:noWrap w:val="0"/>
                  <w:tcMar>
                    <w:top w:w="0" w:type="dxa"/>
                    <w:left w:w="0" w:type="dxa"/>
                    <w:bottom w:w="0" w:type="dxa"/>
                    <w:right w:w="0" w:type="dxa"/>
                  </w:tcMar>
                  <w:vAlign w:val="center"/>
                </w:tcPr>
                <w:p w14:paraId="05A37067">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给水</w:t>
                  </w:r>
                </w:p>
              </w:tc>
              <w:tc>
                <w:tcPr>
                  <w:tcW w:w="3337" w:type="pct"/>
                  <w:gridSpan w:val="2"/>
                  <w:noWrap w:val="0"/>
                  <w:tcMar>
                    <w:top w:w="0" w:type="dxa"/>
                    <w:left w:w="0" w:type="dxa"/>
                    <w:bottom w:w="0" w:type="dxa"/>
                    <w:right w:w="0" w:type="dxa"/>
                  </w:tcMar>
                  <w:vAlign w:val="center"/>
                </w:tcPr>
                <w:p w14:paraId="7A71122F">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自来水供水</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bCs/>
                      <w:color w:val="auto"/>
                      <w:kern w:val="0"/>
                      <w:sz w:val="21"/>
                      <w:szCs w:val="21"/>
                    </w:rPr>
                    <w:t>生活用水</w:t>
                  </w:r>
                  <w:r>
                    <w:rPr>
                      <w:rFonts w:hint="eastAsia" w:ascii="Times New Roman" w:hAnsi="Times New Roman" w:eastAsia="宋体" w:cs="Times New Roman"/>
                      <w:color w:val="auto"/>
                      <w:sz w:val="21"/>
                      <w:szCs w:val="21"/>
                      <w:lang w:val="en-US" w:eastAsia="zh-CN"/>
                    </w:rPr>
                    <w:t>18</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t/a</w:t>
                  </w:r>
                  <w:r>
                    <w:rPr>
                      <w:rFonts w:hint="default"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切粒冷却用水480t</w:t>
                  </w:r>
                  <w:r>
                    <w:rPr>
                      <w:rFonts w:hint="default" w:ascii="Times New Roman" w:hAnsi="Times New Roman" w:eastAsia="宋体" w:cs="Times New Roman"/>
                      <w:color w:val="auto"/>
                      <w:sz w:val="21"/>
                      <w:szCs w:val="21"/>
                    </w:rPr>
                    <w:t>/a</w:t>
                  </w:r>
                  <w:r>
                    <w:rPr>
                      <w:rFonts w:hint="eastAsia" w:ascii="Times New Roman" w:hAnsi="Times New Roman" w:eastAsia="宋体" w:cs="Times New Roman"/>
                      <w:color w:val="auto"/>
                      <w:sz w:val="21"/>
                      <w:szCs w:val="21"/>
                      <w:lang w:val="en-US" w:eastAsia="zh-CN"/>
                    </w:rPr>
                    <w:t>、设备冷却用水480t</w:t>
                  </w:r>
                  <w:r>
                    <w:rPr>
                      <w:rFonts w:hint="default" w:ascii="Times New Roman" w:hAnsi="Times New Roman" w:eastAsia="宋体" w:cs="Times New Roman"/>
                      <w:color w:val="auto"/>
                      <w:sz w:val="21"/>
                      <w:szCs w:val="21"/>
                    </w:rPr>
                    <w:t>/a</w:t>
                  </w:r>
                  <w:r>
                    <w:rPr>
                      <w:rFonts w:hint="eastAsia" w:ascii="Times New Roman" w:hAnsi="Times New Roman" w:eastAsia="宋体" w:cs="Times New Roman"/>
                      <w:color w:val="auto"/>
                      <w:sz w:val="21"/>
                      <w:szCs w:val="21"/>
                      <w:lang w:val="en-US" w:eastAsia="zh-CN"/>
                    </w:rPr>
                    <w:t>、喷淋塔用水240t</w:t>
                  </w:r>
                  <w:r>
                    <w:rPr>
                      <w:rFonts w:hint="default" w:ascii="Times New Roman" w:hAnsi="Times New Roman" w:eastAsia="宋体" w:cs="Times New Roman"/>
                      <w:color w:val="auto"/>
                      <w:sz w:val="21"/>
                      <w:szCs w:val="21"/>
                    </w:rPr>
                    <w:t>/a</w:t>
                  </w:r>
                  <w:r>
                    <w:rPr>
                      <w:rFonts w:hint="eastAsia" w:ascii="Times New Roman" w:hAnsi="Times New Roman" w:eastAsia="宋体" w:cs="Times New Roman"/>
                      <w:color w:val="auto"/>
                      <w:sz w:val="21"/>
                      <w:szCs w:val="21"/>
                      <w:lang w:val="en-US" w:eastAsia="zh-CN"/>
                    </w:rPr>
                    <w:t>。</w:t>
                  </w:r>
                </w:p>
              </w:tc>
              <w:tc>
                <w:tcPr>
                  <w:tcW w:w="799" w:type="pct"/>
                  <w:noWrap w:val="0"/>
                  <w:tcMar>
                    <w:top w:w="0" w:type="dxa"/>
                    <w:left w:w="0" w:type="dxa"/>
                    <w:bottom w:w="0" w:type="dxa"/>
                    <w:right w:w="0" w:type="dxa"/>
                  </w:tcMar>
                  <w:vAlign w:val="center"/>
                </w:tcPr>
                <w:p w14:paraId="7A49E1BD">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zh-CN"/>
                    </w:rPr>
                    <w:t>依托现有厂区内供水系统</w:t>
                  </w:r>
                </w:p>
              </w:tc>
            </w:tr>
            <w:tr w14:paraId="6F5C64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continue"/>
                  <w:noWrap w:val="0"/>
                  <w:tcMar>
                    <w:top w:w="0" w:type="dxa"/>
                    <w:left w:w="0" w:type="dxa"/>
                    <w:bottom w:w="0" w:type="dxa"/>
                    <w:right w:w="0" w:type="dxa"/>
                  </w:tcMar>
                  <w:vAlign w:val="center"/>
                </w:tcPr>
                <w:p w14:paraId="45A2E3D6">
                  <w:pPr>
                    <w:keepNext w:val="0"/>
                    <w:keepLines w:val="0"/>
                    <w:pageBreakBefore w:val="0"/>
                    <w:widowControl w:val="0"/>
                    <w:kinsoku/>
                    <w:wordWrap/>
                    <w:overflowPunct/>
                    <w:topLinePunct w:val="0"/>
                    <w:bidi w:val="0"/>
                    <w:adjustRightInd w:val="0"/>
                    <w:snapToGrid w:val="0"/>
                    <w:spacing w:line="240" w:lineRule="auto"/>
                    <w:ind w:firstLine="420"/>
                    <w:jc w:val="center"/>
                    <w:rPr>
                      <w:rFonts w:hint="default" w:ascii="Times New Roman" w:hAnsi="Times New Roman" w:eastAsia="宋体" w:cs="Times New Roman"/>
                      <w:color w:val="auto"/>
                      <w:sz w:val="21"/>
                      <w:szCs w:val="21"/>
                    </w:rPr>
                  </w:pPr>
                </w:p>
              </w:tc>
              <w:tc>
                <w:tcPr>
                  <w:tcW w:w="581" w:type="pct"/>
                  <w:vMerge w:val="restart"/>
                  <w:noWrap w:val="0"/>
                  <w:tcMar>
                    <w:top w:w="0" w:type="dxa"/>
                    <w:left w:w="0" w:type="dxa"/>
                    <w:bottom w:w="0" w:type="dxa"/>
                    <w:right w:w="0" w:type="dxa"/>
                  </w:tcMar>
                  <w:vAlign w:val="center"/>
                </w:tcPr>
                <w:p w14:paraId="5C25EB7B">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排水</w:t>
                  </w:r>
                </w:p>
              </w:tc>
              <w:tc>
                <w:tcPr>
                  <w:tcW w:w="3337" w:type="pct"/>
                  <w:gridSpan w:val="2"/>
                  <w:noWrap w:val="0"/>
                  <w:tcMar>
                    <w:top w:w="0" w:type="dxa"/>
                    <w:left w:w="0" w:type="dxa"/>
                    <w:bottom w:w="0" w:type="dxa"/>
                    <w:right w:w="0" w:type="dxa"/>
                  </w:tcMar>
                  <w:vAlign w:val="center"/>
                </w:tcPr>
                <w:p w14:paraId="15F131FF">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经市政污水管网接管至常州金坛区第二污水处理有限公司集中处理，生活污水</w:t>
                  </w:r>
                  <w:r>
                    <w:rPr>
                      <w:rFonts w:hint="eastAsia" w:ascii="Times New Roman" w:hAnsi="Times New Roman" w:eastAsia="宋体" w:cs="Times New Roman"/>
                      <w:color w:val="auto"/>
                      <w:sz w:val="21"/>
                      <w:szCs w:val="21"/>
                      <w:lang w:val="en-US" w:eastAsia="zh-CN"/>
                    </w:rPr>
                    <w:t>144</w:t>
                  </w:r>
                  <w:r>
                    <w:rPr>
                      <w:rFonts w:hint="default" w:ascii="Times New Roman" w:hAnsi="Times New Roman" w:eastAsia="宋体" w:cs="Times New Roman"/>
                      <w:color w:val="auto"/>
                      <w:sz w:val="21"/>
                      <w:szCs w:val="21"/>
                    </w:rPr>
                    <w:t>t/a</w:t>
                  </w:r>
                </w:p>
              </w:tc>
              <w:tc>
                <w:tcPr>
                  <w:tcW w:w="799" w:type="pct"/>
                  <w:vMerge w:val="restart"/>
                  <w:noWrap w:val="0"/>
                  <w:tcMar>
                    <w:top w:w="0" w:type="dxa"/>
                    <w:left w:w="0" w:type="dxa"/>
                    <w:bottom w:w="0" w:type="dxa"/>
                    <w:right w:w="0" w:type="dxa"/>
                  </w:tcMar>
                  <w:vAlign w:val="center"/>
                </w:tcPr>
                <w:p w14:paraId="6D06CFF2">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zh-CN" w:eastAsia="zh-CN" w:bidi="ar-SA"/>
                    </w:rPr>
                  </w:pPr>
                  <w:r>
                    <w:rPr>
                      <w:rFonts w:hint="default" w:ascii="Times New Roman" w:hAnsi="Times New Roman" w:eastAsia="宋体" w:cs="Times New Roman"/>
                      <w:color w:val="auto"/>
                      <w:sz w:val="21"/>
                      <w:szCs w:val="21"/>
                      <w:lang w:val="zh-CN"/>
                    </w:rPr>
                    <w:t>依托现有厂区内排水系统</w:t>
                  </w:r>
                </w:p>
              </w:tc>
            </w:tr>
            <w:tr w14:paraId="5072FA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continue"/>
                  <w:noWrap w:val="0"/>
                  <w:tcMar>
                    <w:top w:w="0" w:type="dxa"/>
                    <w:left w:w="0" w:type="dxa"/>
                    <w:bottom w:w="0" w:type="dxa"/>
                    <w:right w:w="0" w:type="dxa"/>
                  </w:tcMar>
                  <w:vAlign w:val="center"/>
                </w:tcPr>
                <w:p w14:paraId="66E7B25E">
                  <w:pPr>
                    <w:keepNext w:val="0"/>
                    <w:keepLines w:val="0"/>
                    <w:pageBreakBefore w:val="0"/>
                    <w:widowControl w:val="0"/>
                    <w:kinsoku/>
                    <w:wordWrap/>
                    <w:overflowPunct/>
                    <w:topLinePunct w:val="0"/>
                    <w:bidi w:val="0"/>
                    <w:adjustRightInd w:val="0"/>
                    <w:snapToGrid w:val="0"/>
                    <w:spacing w:line="240" w:lineRule="auto"/>
                    <w:ind w:firstLine="420"/>
                    <w:jc w:val="center"/>
                    <w:rPr>
                      <w:rFonts w:hint="default" w:ascii="Times New Roman" w:hAnsi="Times New Roman" w:eastAsia="宋体" w:cs="Times New Roman"/>
                      <w:color w:val="auto"/>
                      <w:sz w:val="21"/>
                      <w:szCs w:val="21"/>
                    </w:rPr>
                  </w:pPr>
                </w:p>
              </w:tc>
              <w:tc>
                <w:tcPr>
                  <w:tcW w:w="581" w:type="pct"/>
                  <w:vMerge w:val="continue"/>
                  <w:noWrap w:val="0"/>
                  <w:tcMar>
                    <w:top w:w="0" w:type="dxa"/>
                    <w:left w:w="0" w:type="dxa"/>
                    <w:bottom w:w="0" w:type="dxa"/>
                    <w:right w:w="0" w:type="dxa"/>
                  </w:tcMar>
                  <w:vAlign w:val="center"/>
                </w:tcPr>
                <w:p w14:paraId="3BAD3A15">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p>
              </w:tc>
              <w:tc>
                <w:tcPr>
                  <w:tcW w:w="3337" w:type="pct"/>
                  <w:gridSpan w:val="2"/>
                  <w:noWrap w:val="0"/>
                  <w:tcMar>
                    <w:top w:w="0" w:type="dxa"/>
                    <w:left w:w="0" w:type="dxa"/>
                    <w:bottom w:w="0" w:type="dxa"/>
                    <w:right w:w="0" w:type="dxa"/>
                  </w:tcMar>
                  <w:vAlign w:val="center"/>
                </w:tcPr>
                <w:p w14:paraId="45325833">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雨水经厂区雨水管网接入市政管网后排入附近河道</w:t>
                  </w:r>
                </w:p>
              </w:tc>
              <w:tc>
                <w:tcPr>
                  <w:tcW w:w="799" w:type="pct"/>
                  <w:vMerge w:val="continue"/>
                  <w:noWrap w:val="0"/>
                  <w:tcMar>
                    <w:top w:w="0" w:type="dxa"/>
                    <w:left w:w="0" w:type="dxa"/>
                    <w:bottom w:w="0" w:type="dxa"/>
                    <w:right w:w="0" w:type="dxa"/>
                  </w:tcMar>
                  <w:vAlign w:val="center"/>
                </w:tcPr>
                <w:p w14:paraId="0144F6BB">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lang w:val="zh-CN"/>
                    </w:rPr>
                  </w:pPr>
                </w:p>
              </w:tc>
            </w:tr>
            <w:tr w14:paraId="5B268F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continue"/>
                  <w:noWrap w:val="0"/>
                  <w:tcMar>
                    <w:top w:w="0" w:type="dxa"/>
                    <w:left w:w="0" w:type="dxa"/>
                    <w:bottom w:w="0" w:type="dxa"/>
                    <w:right w:w="0" w:type="dxa"/>
                  </w:tcMar>
                  <w:vAlign w:val="center"/>
                </w:tcPr>
                <w:p w14:paraId="46BA721E">
                  <w:pPr>
                    <w:keepNext w:val="0"/>
                    <w:keepLines w:val="0"/>
                    <w:pageBreakBefore w:val="0"/>
                    <w:widowControl w:val="0"/>
                    <w:kinsoku/>
                    <w:wordWrap/>
                    <w:overflowPunct/>
                    <w:topLinePunct w:val="0"/>
                    <w:bidi w:val="0"/>
                    <w:adjustRightInd w:val="0"/>
                    <w:snapToGrid w:val="0"/>
                    <w:spacing w:line="240" w:lineRule="auto"/>
                    <w:ind w:firstLine="420"/>
                    <w:jc w:val="center"/>
                    <w:rPr>
                      <w:rFonts w:hint="default" w:ascii="Times New Roman" w:hAnsi="Times New Roman" w:eastAsia="宋体" w:cs="Times New Roman"/>
                      <w:color w:val="auto"/>
                      <w:sz w:val="21"/>
                      <w:szCs w:val="21"/>
                    </w:rPr>
                  </w:pPr>
                </w:p>
              </w:tc>
              <w:tc>
                <w:tcPr>
                  <w:tcW w:w="581" w:type="pct"/>
                  <w:noWrap w:val="0"/>
                  <w:tcMar>
                    <w:top w:w="0" w:type="dxa"/>
                    <w:left w:w="0" w:type="dxa"/>
                    <w:bottom w:w="0" w:type="dxa"/>
                    <w:right w:w="0" w:type="dxa"/>
                  </w:tcMar>
                  <w:vAlign w:val="center"/>
                </w:tcPr>
                <w:p w14:paraId="7BC76855">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供电</w:t>
                  </w:r>
                </w:p>
              </w:tc>
              <w:tc>
                <w:tcPr>
                  <w:tcW w:w="3337" w:type="pct"/>
                  <w:gridSpan w:val="2"/>
                  <w:noWrap w:val="0"/>
                  <w:tcMar>
                    <w:top w:w="0" w:type="dxa"/>
                    <w:left w:w="0" w:type="dxa"/>
                    <w:bottom w:w="0" w:type="dxa"/>
                    <w:right w:w="0" w:type="dxa"/>
                  </w:tcMar>
                  <w:vAlign w:val="center"/>
                </w:tcPr>
                <w:p w14:paraId="0F2E0400">
                  <w:pPr>
                    <w:keepNext w:val="0"/>
                    <w:keepLines w:val="0"/>
                    <w:pageBreakBefore w:val="0"/>
                    <w:widowControl w:val="0"/>
                    <w:kinsoku/>
                    <w:wordWrap/>
                    <w:overflowPunct/>
                    <w:topLinePunct w:val="0"/>
                    <w:bidi w:val="0"/>
                    <w:adjustRightInd w:val="0"/>
                    <w:snapToGrid w:val="0"/>
                    <w:spacing w:line="240" w:lineRule="auto"/>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highlight w:val="none"/>
                      <w:lang w:val="en-US" w:eastAsia="zh-CN"/>
                    </w:rPr>
                    <w:t>30</w:t>
                  </w:r>
                  <w:r>
                    <w:rPr>
                      <w:rFonts w:hint="default" w:ascii="Times New Roman" w:hAnsi="Times New Roman" w:eastAsia="宋体" w:cs="Times New Roman"/>
                      <w:color w:val="auto"/>
                      <w:sz w:val="21"/>
                      <w:szCs w:val="21"/>
                      <w:highlight w:val="none"/>
                    </w:rPr>
                    <w:t>万kWh/a</w:t>
                  </w:r>
                </w:p>
              </w:tc>
              <w:tc>
                <w:tcPr>
                  <w:tcW w:w="799" w:type="pct"/>
                  <w:noWrap w:val="0"/>
                  <w:tcMar>
                    <w:top w:w="0" w:type="dxa"/>
                    <w:left w:w="0" w:type="dxa"/>
                    <w:bottom w:w="0" w:type="dxa"/>
                    <w:right w:w="0" w:type="dxa"/>
                  </w:tcMar>
                  <w:vAlign w:val="center"/>
                </w:tcPr>
                <w:p w14:paraId="2A5DBDEF">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依托现有厂区内供电系统</w:t>
                  </w:r>
                </w:p>
              </w:tc>
            </w:tr>
            <w:tr w14:paraId="39A75E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restart"/>
                  <w:noWrap w:val="0"/>
                  <w:tcMar>
                    <w:top w:w="0" w:type="dxa"/>
                    <w:left w:w="0" w:type="dxa"/>
                    <w:bottom w:w="0" w:type="dxa"/>
                    <w:right w:w="0" w:type="dxa"/>
                  </w:tcMar>
                  <w:vAlign w:val="center"/>
                </w:tcPr>
                <w:p w14:paraId="68C9CC65">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环保工程</w:t>
                  </w:r>
                </w:p>
              </w:tc>
              <w:tc>
                <w:tcPr>
                  <w:tcW w:w="581" w:type="pct"/>
                  <w:noWrap w:val="0"/>
                  <w:tcMar>
                    <w:top w:w="0" w:type="dxa"/>
                    <w:left w:w="0" w:type="dxa"/>
                    <w:bottom w:w="0" w:type="dxa"/>
                    <w:right w:w="0" w:type="dxa"/>
                  </w:tcMar>
                  <w:vAlign w:val="center"/>
                </w:tcPr>
                <w:p w14:paraId="7908D388">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废水</w:t>
                  </w:r>
                </w:p>
              </w:tc>
              <w:tc>
                <w:tcPr>
                  <w:tcW w:w="3337" w:type="pct"/>
                  <w:gridSpan w:val="2"/>
                  <w:noWrap w:val="0"/>
                  <w:tcMar>
                    <w:top w:w="0" w:type="dxa"/>
                    <w:left w:w="0" w:type="dxa"/>
                    <w:bottom w:w="0" w:type="dxa"/>
                    <w:right w:w="0" w:type="dxa"/>
                  </w:tcMar>
                  <w:vAlign w:val="center"/>
                </w:tcPr>
                <w:p w14:paraId="6D0E54B5">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本项目仅生活污水排放，生活污水</w:t>
                  </w:r>
                  <w:r>
                    <w:rPr>
                      <w:rFonts w:hint="eastAsia" w:ascii="Times New Roman" w:hAnsi="Times New Roman" w:eastAsia="宋体" w:cs="Times New Roman"/>
                      <w:color w:val="auto"/>
                      <w:sz w:val="21"/>
                      <w:szCs w:val="21"/>
                      <w:lang w:val="en-US" w:eastAsia="zh-CN"/>
                    </w:rPr>
                    <w:t>144</w:t>
                  </w:r>
                  <w:r>
                    <w:rPr>
                      <w:rFonts w:hint="default" w:ascii="Times New Roman" w:hAnsi="Times New Roman" w:eastAsia="宋体" w:cs="Times New Roman"/>
                      <w:color w:val="auto"/>
                      <w:sz w:val="21"/>
                      <w:szCs w:val="21"/>
                    </w:rPr>
                    <w:t>t/a接管至常州金坛区第二污水处理有限公司处理</w:t>
                  </w:r>
                </w:p>
              </w:tc>
              <w:tc>
                <w:tcPr>
                  <w:tcW w:w="799" w:type="pct"/>
                  <w:noWrap w:val="0"/>
                  <w:tcMar>
                    <w:top w:w="0" w:type="dxa"/>
                    <w:left w:w="0" w:type="dxa"/>
                    <w:bottom w:w="0" w:type="dxa"/>
                    <w:right w:w="0" w:type="dxa"/>
                  </w:tcMar>
                  <w:vAlign w:val="center"/>
                </w:tcPr>
                <w:p w14:paraId="24BA3612">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依托现有污水管网</w:t>
                  </w:r>
                </w:p>
              </w:tc>
            </w:tr>
            <w:tr w14:paraId="6EE5B0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continue"/>
                  <w:noWrap w:val="0"/>
                  <w:tcMar>
                    <w:top w:w="0" w:type="dxa"/>
                    <w:left w:w="0" w:type="dxa"/>
                    <w:bottom w:w="0" w:type="dxa"/>
                    <w:right w:w="0" w:type="dxa"/>
                  </w:tcMar>
                  <w:vAlign w:val="center"/>
                </w:tcPr>
                <w:p w14:paraId="7ED1EB94">
                  <w:pPr>
                    <w:keepNext w:val="0"/>
                    <w:keepLines w:val="0"/>
                    <w:pageBreakBefore w:val="0"/>
                    <w:widowControl w:val="0"/>
                    <w:kinsoku/>
                    <w:wordWrap/>
                    <w:overflowPunct/>
                    <w:topLinePunct w:val="0"/>
                    <w:bidi w:val="0"/>
                    <w:adjustRightInd w:val="0"/>
                    <w:snapToGrid w:val="0"/>
                    <w:spacing w:line="240" w:lineRule="auto"/>
                    <w:ind w:firstLine="420"/>
                    <w:jc w:val="center"/>
                    <w:rPr>
                      <w:rFonts w:hint="default" w:ascii="Times New Roman" w:hAnsi="Times New Roman" w:eastAsia="宋体" w:cs="Times New Roman"/>
                      <w:color w:val="auto"/>
                      <w:sz w:val="21"/>
                      <w:szCs w:val="21"/>
                    </w:rPr>
                  </w:pPr>
                </w:p>
              </w:tc>
              <w:tc>
                <w:tcPr>
                  <w:tcW w:w="581" w:type="pct"/>
                  <w:vMerge w:val="restart"/>
                  <w:noWrap w:val="0"/>
                  <w:tcMar>
                    <w:top w:w="0" w:type="dxa"/>
                    <w:left w:w="0" w:type="dxa"/>
                    <w:bottom w:w="0" w:type="dxa"/>
                    <w:right w:w="0" w:type="dxa"/>
                  </w:tcMar>
                  <w:vAlign w:val="center"/>
                </w:tcPr>
                <w:p w14:paraId="1822C380">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废气</w:t>
                  </w:r>
                </w:p>
              </w:tc>
              <w:tc>
                <w:tcPr>
                  <w:tcW w:w="1216" w:type="pct"/>
                  <w:noWrap w:val="0"/>
                  <w:tcMar>
                    <w:top w:w="0" w:type="dxa"/>
                    <w:left w:w="0" w:type="dxa"/>
                    <w:bottom w:w="0" w:type="dxa"/>
                    <w:right w:w="0" w:type="dxa"/>
                  </w:tcMar>
                  <w:vAlign w:val="center"/>
                </w:tcPr>
                <w:p w14:paraId="26F085B9">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lang w:val="en-US" w:eastAsia="zh-CN"/>
                    </w:rPr>
                    <w:t>配料、投料粉尘（颗粒物）</w:t>
                  </w:r>
                </w:p>
              </w:tc>
              <w:tc>
                <w:tcPr>
                  <w:tcW w:w="2121" w:type="pct"/>
                  <w:noWrap w:val="0"/>
                  <w:tcMar>
                    <w:top w:w="0" w:type="dxa"/>
                    <w:left w:w="0" w:type="dxa"/>
                    <w:bottom w:w="0" w:type="dxa"/>
                    <w:right w:w="0" w:type="dxa"/>
                  </w:tcMar>
                  <w:vAlign w:val="center"/>
                </w:tcPr>
                <w:p w14:paraId="59F1645E">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lang w:val="en-US" w:eastAsia="zh-CN"/>
                    </w:rPr>
                    <w:t>半密闭</w:t>
                  </w:r>
                  <w:r>
                    <w:rPr>
                      <w:rFonts w:hint="eastAsia"/>
                      <w:color w:val="auto"/>
                      <w:kern w:val="2"/>
                      <w:sz w:val="21"/>
                      <w:szCs w:val="21"/>
                      <w:lang w:val="en-US" w:eastAsia="zh-CN"/>
                    </w:rPr>
                    <w:t>收集</w:t>
                  </w:r>
                  <w:r>
                    <w:rPr>
                      <w:rFonts w:hint="eastAsia"/>
                      <w:color w:val="auto"/>
                      <w:szCs w:val="21"/>
                      <w:lang w:val="en-US" w:eastAsia="zh-CN"/>
                    </w:rPr>
                    <w:t>至</w:t>
                  </w:r>
                  <w:r>
                    <w:rPr>
                      <w:rFonts w:hint="eastAsia"/>
                      <w:color w:val="auto"/>
                      <w:kern w:val="2"/>
                      <w:sz w:val="21"/>
                      <w:szCs w:val="21"/>
                      <w:lang w:val="en-US" w:eastAsia="zh-CN"/>
                    </w:rPr>
                    <w:t>布袋除尘器处理后通过1根15米高排气筒DA001排放</w:t>
                  </w:r>
                </w:p>
              </w:tc>
              <w:tc>
                <w:tcPr>
                  <w:tcW w:w="799" w:type="pct"/>
                  <w:noWrap w:val="0"/>
                  <w:tcMar>
                    <w:top w:w="0" w:type="dxa"/>
                    <w:left w:w="0" w:type="dxa"/>
                    <w:bottom w:w="0" w:type="dxa"/>
                    <w:right w:w="0" w:type="dxa"/>
                  </w:tcMar>
                  <w:vAlign w:val="center"/>
                </w:tcPr>
                <w:p w14:paraId="75D55918">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新建</w:t>
                  </w:r>
                </w:p>
              </w:tc>
            </w:tr>
            <w:tr w14:paraId="4CF8D7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continue"/>
                  <w:noWrap w:val="0"/>
                  <w:tcMar>
                    <w:top w:w="0" w:type="dxa"/>
                    <w:left w:w="0" w:type="dxa"/>
                    <w:bottom w:w="0" w:type="dxa"/>
                    <w:right w:w="0" w:type="dxa"/>
                  </w:tcMar>
                  <w:vAlign w:val="center"/>
                </w:tcPr>
                <w:p w14:paraId="4AF34203">
                  <w:pPr>
                    <w:keepNext w:val="0"/>
                    <w:keepLines w:val="0"/>
                    <w:pageBreakBefore w:val="0"/>
                    <w:widowControl w:val="0"/>
                    <w:kinsoku/>
                    <w:wordWrap/>
                    <w:overflowPunct/>
                    <w:topLinePunct w:val="0"/>
                    <w:bidi w:val="0"/>
                    <w:adjustRightInd w:val="0"/>
                    <w:snapToGrid w:val="0"/>
                    <w:spacing w:line="240" w:lineRule="auto"/>
                    <w:ind w:firstLine="420"/>
                    <w:jc w:val="center"/>
                    <w:rPr>
                      <w:rFonts w:hint="default" w:ascii="Times New Roman" w:hAnsi="Times New Roman" w:eastAsia="宋体" w:cs="Times New Roman"/>
                      <w:color w:val="auto"/>
                      <w:sz w:val="21"/>
                      <w:szCs w:val="21"/>
                    </w:rPr>
                  </w:pPr>
                </w:p>
              </w:tc>
              <w:tc>
                <w:tcPr>
                  <w:tcW w:w="581" w:type="pct"/>
                  <w:vMerge w:val="continue"/>
                  <w:noWrap w:val="0"/>
                  <w:tcMar>
                    <w:top w:w="0" w:type="dxa"/>
                    <w:left w:w="0" w:type="dxa"/>
                    <w:bottom w:w="0" w:type="dxa"/>
                    <w:right w:w="0" w:type="dxa"/>
                  </w:tcMar>
                  <w:vAlign w:val="center"/>
                </w:tcPr>
                <w:p w14:paraId="447CD4D1">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p>
              </w:tc>
              <w:tc>
                <w:tcPr>
                  <w:tcW w:w="1216" w:type="pct"/>
                  <w:noWrap w:val="0"/>
                  <w:tcMar>
                    <w:top w:w="0" w:type="dxa"/>
                    <w:left w:w="0" w:type="dxa"/>
                    <w:bottom w:w="0" w:type="dxa"/>
                    <w:right w:w="0" w:type="dxa"/>
                  </w:tcMar>
                  <w:vAlign w:val="center"/>
                </w:tcPr>
                <w:p w14:paraId="315A8883">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rPr>
                    <w:t>挤出、烘干、</w:t>
                  </w:r>
                  <w:r>
                    <w:rPr>
                      <w:rFonts w:hint="eastAsia" w:ascii="Times New Roman" w:hAnsi="Times New Roman" w:eastAsia="宋体" w:cs="Times New Roman"/>
                      <w:bCs/>
                      <w:color w:val="auto"/>
                      <w:kern w:val="2"/>
                      <w:sz w:val="21"/>
                      <w:szCs w:val="21"/>
                      <w:lang w:val="en-US" w:eastAsia="zh-CN" w:bidi="ar-SA"/>
                    </w:rPr>
                    <w:t>测试</w:t>
                  </w:r>
                  <w:r>
                    <w:rPr>
                      <w:rFonts w:hint="eastAsia"/>
                      <w:color w:val="auto"/>
                      <w:kern w:val="2"/>
                      <w:sz w:val="21"/>
                      <w:szCs w:val="21"/>
                      <w:lang w:val="en-US" w:eastAsia="zh-CN"/>
                    </w:rPr>
                    <w:t>废气（非甲烷总烃、颗粒物）</w:t>
                  </w:r>
                </w:p>
              </w:tc>
              <w:tc>
                <w:tcPr>
                  <w:tcW w:w="2121" w:type="pct"/>
                  <w:noWrap w:val="0"/>
                  <w:tcMar>
                    <w:top w:w="0" w:type="dxa"/>
                    <w:left w:w="0" w:type="dxa"/>
                    <w:bottom w:w="0" w:type="dxa"/>
                    <w:right w:w="0" w:type="dxa"/>
                  </w:tcMar>
                  <w:vAlign w:val="center"/>
                </w:tcPr>
                <w:p w14:paraId="40C728B5">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半密闭收集至1套“水喷淋塔+除湿器+二级活性炭吸附装置”处理后通过1根15米高排气筒DA002排放</w:t>
                  </w:r>
                </w:p>
              </w:tc>
              <w:tc>
                <w:tcPr>
                  <w:tcW w:w="799" w:type="pct"/>
                  <w:noWrap w:val="0"/>
                  <w:tcMar>
                    <w:top w:w="0" w:type="dxa"/>
                    <w:left w:w="0" w:type="dxa"/>
                    <w:bottom w:w="0" w:type="dxa"/>
                    <w:right w:w="0" w:type="dxa"/>
                  </w:tcMar>
                  <w:vAlign w:val="center"/>
                </w:tcPr>
                <w:p w14:paraId="0C967156">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新建</w:t>
                  </w:r>
                </w:p>
              </w:tc>
            </w:tr>
            <w:tr w14:paraId="49ADAC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continue"/>
                  <w:noWrap w:val="0"/>
                  <w:tcMar>
                    <w:top w:w="0" w:type="dxa"/>
                    <w:left w:w="0" w:type="dxa"/>
                    <w:bottom w:w="0" w:type="dxa"/>
                    <w:right w:w="0" w:type="dxa"/>
                  </w:tcMar>
                  <w:vAlign w:val="center"/>
                </w:tcPr>
                <w:p w14:paraId="0CFA6772">
                  <w:pPr>
                    <w:keepNext w:val="0"/>
                    <w:keepLines w:val="0"/>
                    <w:pageBreakBefore w:val="0"/>
                    <w:widowControl w:val="0"/>
                    <w:kinsoku/>
                    <w:wordWrap/>
                    <w:overflowPunct/>
                    <w:topLinePunct w:val="0"/>
                    <w:bidi w:val="0"/>
                    <w:adjustRightInd w:val="0"/>
                    <w:snapToGrid w:val="0"/>
                    <w:spacing w:line="240" w:lineRule="auto"/>
                    <w:ind w:firstLine="420"/>
                    <w:jc w:val="center"/>
                    <w:rPr>
                      <w:rFonts w:hint="default" w:ascii="Times New Roman" w:hAnsi="Times New Roman" w:eastAsia="宋体" w:cs="Times New Roman"/>
                      <w:color w:val="auto"/>
                      <w:sz w:val="21"/>
                      <w:szCs w:val="21"/>
                    </w:rPr>
                  </w:pPr>
                </w:p>
              </w:tc>
              <w:tc>
                <w:tcPr>
                  <w:tcW w:w="581" w:type="pct"/>
                  <w:vMerge w:val="continue"/>
                  <w:noWrap w:val="0"/>
                  <w:tcMar>
                    <w:top w:w="0" w:type="dxa"/>
                    <w:left w:w="0" w:type="dxa"/>
                    <w:bottom w:w="0" w:type="dxa"/>
                    <w:right w:w="0" w:type="dxa"/>
                  </w:tcMar>
                  <w:vAlign w:val="center"/>
                </w:tcPr>
                <w:p w14:paraId="19D196DA">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p>
              </w:tc>
              <w:tc>
                <w:tcPr>
                  <w:tcW w:w="1216" w:type="pct"/>
                  <w:noWrap w:val="0"/>
                  <w:tcMar>
                    <w:top w:w="0" w:type="dxa"/>
                    <w:left w:w="0" w:type="dxa"/>
                    <w:bottom w:w="0" w:type="dxa"/>
                    <w:right w:w="0" w:type="dxa"/>
                  </w:tcMar>
                  <w:vAlign w:val="center"/>
                </w:tcPr>
                <w:p w14:paraId="648C046D">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破碎粉尘（颗粒物）</w:t>
                  </w:r>
                </w:p>
              </w:tc>
              <w:tc>
                <w:tcPr>
                  <w:tcW w:w="2121" w:type="pct"/>
                  <w:noWrap w:val="0"/>
                  <w:tcMar>
                    <w:top w:w="0" w:type="dxa"/>
                    <w:left w:w="0" w:type="dxa"/>
                    <w:bottom w:w="0" w:type="dxa"/>
                    <w:right w:w="0" w:type="dxa"/>
                  </w:tcMar>
                  <w:vAlign w:val="center"/>
                </w:tcPr>
                <w:p w14:paraId="089B3A4F">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破碎</w:t>
                  </w:r>
                  <w:r>
                    <w:rPr>
                      <w:rFonts w:hint="default" w:ascii="Times New Roman" w:hAnsi="Times New Roman" w:eastAsia="宋体" w:cs="Times New Roman"/>
                      <w:color w:val="auto"/>
                      <w:sz w:val="21"/>
                      <w:szCs w:val="21"/>
                      <w:lang w:val="en-US" w:eastAsia="zh-CN"/>
                    </w:rPr>
                    <w:t>过程密闭操作，产生的微量粉尘无组织排放</w:t>
                  </w:r>
                </w:p>
              </w:tc>
              <w:tc>
                <w:tcPr>
                  <w:tcW w:w="799" w:type="pct"/>
                  <w:noWrap w:val="0"/>
                  <w:tcMar>
                    <w:top w:w="0" w:type="dxa"/>
                    <w:left w:w="0" w:type="dxa"/>
                    <w:bottom w:w="0" w:type="dxa"/>
                    <w:right w:w="0" w:type="dxa"/>
                  </w:tcMar>
                  <w:vAlign w:val="center"/>
                </w:tcPr>
                <w:p w14:paraId="1F34BA98">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新建</w:t>
                  </w:r>
                </w:p>
              </w:tc>
            </w:tr>
            <w:tr w14:paraId="0217D6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continue"/>
                  <w:noWrap w:val="0"/>
                  <w:tcMar>
                    <w:top w:w="0" w:type="dxa"/>
                    <w:left w:w="0" w:type="dxa"/>
                    <w:bottom w:w="0" w:type="dxa"/>
                    <w:right w:w="0" w:type="dxa"/>
                  </w:tcMar>
                  <w:vAlign w:val="center"/>
                </w:tcPr>
                <w:p w14:paraId="67AEE218">
                  <w:pPr>
                    <w:keepNext w:val="0"/>
                    <w:keepLines w:val="0"/>
                    <w:pageBreakBefore w:val="0"/>
                    <w:widowControl w:val="0"/>
                    <w:kinsoku/>
                    <w:wordWrap/>
                    <w:overflowPunct/>
                    <w:topLinePunct w:val="0"/>
                    <w:bidi w:val="0"/>
                    <w:adjustRightInd w:val="0"/>
                    <w:snapToGrid w:val="0"/>
                    <w:spacing w:line="240" w:lineRule="auto"/>
                    <w:ind w:firstLine="420"/>
                    <w:jc w:val="center"/>
                    <w:rPr>
                      <w:rFonts w:hint="default" w:ascii="Times New Roman" w:hAnsi="Times New Roman" w:eastAsia="宋体" w:cs="Times New Roman"/>
                      <w:color w:val="auto"/>
                      <w:sz w:val="21"/>
                      <w:szCs w:val="21"/>
                    </w:rPr>
                  </w:pPr>
                </w:p>
              </w:tc>
              <w:tc>
                <w:tcPr>
                  <w:tcW w:w="581" w:type="pct"/>
                  <w:noWrap w:val="0"/>
                  <w:tcMar>
                    <w:top w:w="0" w:type="dxa"/>
                    <w:left w:w="0" w:type="dxa"/>
                    <w:bottom w:w="0" w:type="dxa"/>
                    <w:right w:w="0" w:type="dxa"/>
                  </w:tcMar>
                  <w:vAlign w:val="center"/>
                </w:tcPr>
                <w:p w14:paraId="330FD390">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噪声</w:t>
                  </w:r>
                </w:p>
              </w:tc>
              <w:tc>
                <w:tcPr>
                  <w:tcW w:w="3337" w:type="pct"/>
                  <w:gridSpan w:val="2"/>
                  <w:noWrap w:val="0"/>
                  <w:tcMar>
                    <w:top w:w="0" w:type="dxa"/>
                    <w:left w:w="0" w:type="dxa"/>
                    <w:bottom w:w="0" w:type="dxa"/>
                    <w:right w:w="0" w:type="dxa"/>
                  </w:tcMar>
                  <w:vAlign w:val="center"/>
                </w:tcPr>
                <w:p w14:paraId="0C30A48A">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隔声、消声、减振</w:t>
                  </w:r>
                </w:p>
              </w:tc>
              <w:tc>
                <w:tcPr>
                  <w:tcW w:w="799" w:type="pct"/>
                  <w:noWrap w:val="0"/>
                  <w:tcMar>
                    <w:top w:w="0" w:type="dxa"/>
                    <w:left w:w="0" w:type="dxa"/>
                    <w:bottom w:w="0" w:type="dxa"/>
                    <w:right w:w="0" w:type="dxa"/>
                  </w:tcMar>
                  <w:vAlign w:val="center"/>
                </w:tcPr>
                <w:p w14:paraId="35EE9EBA">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sz w:val="21"/>
                      <w:szCs w:val="21"/>
                    </w:rPr>
                    <w:t>依托厂区现有</w:t>
                  </w:r>
                  <w:r>
                    <w:rPr>
                      <w:rFonts w:hint="eastAsia" w:ascii="Times New Roman" w:hAnsi="Times New Roman" w:eastAsia="宋体" w:cs="Times New Roman"/>
                      <w:color w:val="auto"/>
                      <w:sz w:val="21"/>
                      <w:szCs w:val="21"/>
                      <w:lang w:val="en-US" w:eastAsia="zh-CN"/>
                    </w:rPr>
                    <w:t>隔声</w:t>
                  </w:r>
                </w:p>
              </w:tc>
            </w:tr>
            <w:tr w14:paraId="0B2618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continue"/>
                  <w:noWrap w:val="0"/>
                  <w:tcMar>
                    <w:top w:w="0" w:type="dxa"/>
                    <w:left w:w="0" w:type="dxa"/>
                    <w:bottom w:w="0" w:type="dxa"/>
                    <w:right w:w="0" w:type="dxa"/>
                  </w:tcMar>
                  <w:vAlign w:val="center"/>
                </w:tcPr>
                <w:p w14:paraId="27BE675F">
                  <w:pPr>
                    <w:keepNext w:val="0"/>
                    <w:keepLines w:val="0"/>
                    <w:pageBreakBefore w:val="0"/>
                    <w:widowControl w:val="0"/>
                    <w:kinsoku/>
                    <w:wordWrap/>
                    <w:overflowPunct/>
                    <w:topLinePunct w:val="0"/>
                    <w:bidi w:val="0"/>
                    <w:adjustRightInd w:val="0"/>
                    <w:snapToGrid w:val="0"/>
                    <w:spacing w:line="240" w:lineRule="auto"/>
                    <w:ind w:firstLine="420"/>
                    <w:jc w:val="center"/>
                    <w:rPr>
                      <w:rFonts w:hint="default" w:ascii="Times New Roman" w:hAnsi="Times New Roman" w:eastAsia="宋体" w:cs="Times New Roman"/>
                      <w:color w:val="auto"/>
                      <w:sz w:val="21"/>
                      <w:szCs w:val="21"/>
                    </w:rPr>
                  </w:pPr>
                </w:p>
              </w:tc>
              <w:tc>
                <w:tcPr>
                  <w:tcW w:w="581" w:type="pct"/>
                  <w:vMerge w:val="restart"/>
                  <w:noWrap w:val="0"/>
                  <w:tcMar>
                    <w:top w:w="0" w:type="dxa"/>
                    <w:left w:w="0" w:type="dxa"/>
                    <w:bottom w:w="0" w:type="dxa"/>
                    <w:right w:w="0" w:type="dxa"/>
                  </w:tcMar>
                  <w:vAlign w:val="center"/>
                </w:tcPr>
                <w:p w14:paraId="15D9BBF4">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固废</w:t>
                  </w:r>
                </w:p>
              </w:tc>
              <w:tc>
                <w:tcPr>
                  <w:tcW w:w="3337" w:type="pct"/>
                  <w:gridSpan w:val="2"/>
                  <w:noWrap w:val="0"/>
                  <w:tcMar>
                    <w:top w:w="0" w:type="dxa"/>
                    <w:left w:w="0" w:type="dxa"/>
                    <w:bottom w:w="0" w:type="dxa"/>
                    <w:right w:w="0" w:type="dxa"/>
                  </w:tcMar>
                  <w:vAlign w:val="center"/>
                </w:tcPr>
                <w:p w14:paraId="6D1248DF">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集中收集后外售综合利用，</w:t>
                  </w:r>
                  <w:r>
                    <w:rPr>
                      <w:rFonts w:hint="eastAsia"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lang w:val="en-US" w:eastAsia="zh-CN"/>
                    </w:rPr>
                    <w:t>m</w:t>
                  </w:r>
                  <w:r>
                    <w:rPr>
                      <w:rFonts w:hint="default" w:ascii="Times New Roman" w:hAnsi="Times New Roman" w:eastAsia="宋体" w:cs="Times New Roman"/>
                      <w:color w:val="auto"/>
                      <w:sz w:val="21"/>
                      <w:szCs w:val="21"/>
                      <w:vertAlign w:val="superscript"/>
                      <w:lang w:val="en-US" w:eastAsia="zh-CN"/>
                    </w:rPr>
                    <w:t>2</w:t>
                  </w:r>
                  <w:r>
                    <w:rPr>
                      <w:rFonts w:hint="default" w:ascii="Times New Roman" w:hAnsi="Times New Roman" w:eastAsia="宋体" w:cs="Times New Roman"/>
                      <w:color w:val="auto"/>
                      <w:sz w:val="21"/>
                      <w:szCs w:val="21"/>
                      <w:lang w:val="en-US" w:eastAsia="zh-CN"/>
                    </w:rPr>
                    <w:t>一般固废仓库</w:t>
                  </w:r>
                </w:p>
              </w:tc>
              <w:tc>
                <w:tcPr>
                  <w:tcW w:w="799" w:type="pct"/>
                  <w:noWrap w:val="0"/>
                  <w:tcMar>
                    <w:top w:w="0" w:type="dxa"/>
                    <w:left w:w="0" w:type="dxa"/>
                    <w:bottom w:w="0" w:type="dxa"/>
                    <w:right w:w="0" w:type="dxa"/>
                  </w:tcMar>
                  <w:vAlign w:val="center"/>
                </w:tcPr>
                <w:p w14:paraId="408E062A">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pacing w:val="-2"/>
                      <w:kern w:val="28"/>
                      <w:sz w:val="21"/>
                      <w:szCs w:val="21"/>
                      <w:lang w:val="en-US" w:eastAsia="zh-CN" w:bidi="ar-SA"/>
                    </w:rPr>
                  </w:pPr>
                  <w:r>
                    <w:rPr>
                      <w:rFonts w:hint="eastAsia" w:ascii="Times New Roman" w:hAnsi="Times New Roman" w:eastAsia="宋体" w:cs="Times New Roman"/>
                      <w:color w:val="auto"/>
                      <w:sz w:val="21"/>
                      <w:szCs w:val="21"/>
                      <w:lang w:val="en-US" w:eastAsia="zh-CN"/>
                    </w:rPr>
                    <w:t>新建</w:t>
                  </w:r>
                </w:p>
              </w:tc>
            </w:tr>
            <w:tr w14:paraId="60406B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81" w:type="pct"/>
                  <w:vMerge w:val="continue"/>
                  <w:noWrap w:val="0"/>
                  <w:tcMar>
                    <w:top w:w="0" w:type="dxa"/>
                    <w:left w:w="0" w:type="dxa"/>
                    <w:bottom w:w="0" w:type="dxa"/>
                    <w:right w:w="0" w:type="dxa"/>
                  </w:tcMar>
                  <w:vAlign w:val="center"/>
                </w:tcPr>
                <w:p w14:paraId="648C6380">
                  <w:pPr>
                    <w:keepNext w:val="0"/>
                    <w:keepLines w:val="0"/>
                    <w:pageBreakBefore w:val="0"/>
                    <w:widowControl w:val="0"/>
                    <w:kinsoku/>
                    <w:wordWrap/>
                    <w:overflowPunct/>
                    <w:topLinePunct w:val="0"/>
                    <w:bidi w:val="0"/>
                    <w:adjustRightInd w:val="0"/>
                    <w:snapToGrid w:val="0"/>
                    <w:spacing w:line="240" w:lineRule="auto"/>
                    <w:ind w:firstLine="420"/>
                    <w:jc w:val="center"/>
                    <w:rPr>
                      <w:rFonts w:hint="default" w:ascii="Times New Roman" w:hAnsi="Times New Roman" w:eastAsia="宋体" w:cs="Times New Roman"/>
                      <w:color w:val="auto"/>
                      <w:sz w:val="21"/>
                      <w:szCs w:val="21"/>
                    </w:rPr>
                  </w:pPr>
                </w:p>
              </w:tc>
              <w:tc>
                <w:tcPr>
                  <w:tcW w:w="581" w:type="pct"/>
                  <w:vMerge w:val="continue"/>
                  <w:noWrap w:val="0"/>
                  <w:tcMar>
                    <w:top w:w="0" w:type="dxa"/>
                    <w:left w:w="0" w:type="dxa"/>
                    <w:bottom w:w="0" w:type="dxa"/>
                    <w:right w:w="0" w:type="dxa"/>
                  </w:tcMar>
                  <w:vAlign w:val="center"/>
                </w:tcPr>
                <w:p w14:paraId="4C228353">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p>
              </w:tc>
              <w:tc>
                <w:tcPr>
                  <w:tcW w:w="3337" w:type="pct"/>
                  <w:gridSpan w:val="2"/>
                  <w:noWrap w:val="0"/>
                  <w:tcMar>
                    <w:top w:w="0" w:type="dxa"/>
                    <w:left w:w="0" w:type="dxa"/>
                    <w:bottom w:w="0" w:type="dxa"/>
                    <w:right w:w="0" w:type="dxa"/>
                  </w:tcMar>
                  <w:vAlign w:val="center"/>
                </w:tcPr>
                <w:p w14:paraId="3C22F293">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委托有资质单位收集处理，</w:t>
                  </w:r>
                  <w:r>
                    <w:rPr>
                      <w:rFonts w:hint="eastAsia" w:cs="Times New Roman"/>
                      <w:color w:val="auto"/>
                      <w:sz w:val="21"/>
                      <w:szCs w:val="21"/>
                      <w:lang w:val="en-US" w:eastAsia="zh-CN"/>
                    </w:rPr>
                    <w:t>10</w:t>
                  </w:r>
                  <w:r>
                    <w:rPr>
                      <w:rFonts w:hint="default" w:ascii="Times New Roman" w:hAnsi="Times New Roman" w:eastAsia="宋体" w:cs="Times New Roman"/>
                      <w:color w:val="auto"/>
                      <w:sz w:val="21"/>
                      <w:szCs w:val="21"/>
                      <w:lang w:val="en-US" w:eastAsia="zh-CN"/>
                    </w:rPr>
                    <w:t>m</w:t>
                  </w:r>
                  <w:r>
                    <w:rPr>
                      <w:rFonts w:hint="default" w:ascii="Times New Roman" w:hAnsi="Times New Roman" w:eastAsia="宋体" w:cs="Times New Roman"/>
                      <w:color w:val="auto"/>
                      <w:sz w:val="21"/>
                      <w:szCs w:val="21"/>
                      <w:vertAlign w:val="superscript"/>
                      <w:lang w:val="en-US" w:eastAsia="zh-CN"/>
                    </w:rPr>
                    <w:t>2</w:t>
                  </w:r>
                  <w:r>
                    <w:rPr>
                      <w:rFonts w:hint="default" w:ascii="Times New Roman" w:hAnsi="Times New Roman" w:eastAsia="宋体" w:cs="Times New Roman"/>
                      <w:color w:val="auto"/>
                      <w:sz w:val="21"/>
                      <w:szCs w:val="21"/>
                      <w:lang w:val="en-US" w:eastAsia="zh-CN"/>
                    </w:rPr>
                    <w:t>危废仓库</w:t>
                  </w:r>
                </w:p>
              </w:tc>
              <w:tc>
                <w:tcPr>
                  <w:tcW w:w="799" w:type="pct"/>
                  <w:noWrap w:val="0"/>
                  <w:tcMar>
                    <w:top w:w="0" w:type="dxa"/>
                    <w:left w:w="0" w:type="dxa"/>
                    <w:bottom w:w="0" w:type="dxa"/>
                    <w:right w:w="0" w:type="dxa"/>
                  </w:tcMar>
                  <w:vAlign w:val="center"/>
                </w:tcPr>
                <w:p w14:paraId="26EE826E">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新建</w:t>
                  </w:r>
                </w:p>
              </w:tc>
            </w:tr>
            <w:tr w14:paraId="147D1B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62" w:type="pct"/>
                  <w:gridSpan w:val="2"/>
                  <w:noWrap w:val="0"/>
                  <w:tcMar>
                    <w:top w:w="0" w:type="dxa"/>
                    <w:left w:w="0" w:type="dxa"/>
                    <w:bottom w:w="0" w:type="dxa"/>
                    <w:right w:w="0" w:type="dxa"/>
                  </w:tcMar>
                  <w:vAlign w:val="center"/>
                </w:tcPr>
                <w:p w14:paraId="71FC42E9">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依托工程</w:t>
                  </w:r>
                </w:p>
              </w:tc>
              <w:tc>
                <w:tcPr>
                  <w:tcW w:w="4137" w:type="pct"/>
                  <w:gridSpan w:val="3"/>
                  <w:noWrap w:val="0"/>
                  <w:tcMar>
                    <w:top w:w="0" w:type="dxa"/>
                    <w:left w:w="0" w:type="dxa"/>
                    <w:bottom w:w="0" w:type="dxa"/>
                    <w:right w:w="0" w:type="dxa"/>
                  </w:tcMar>
                  <w:vAlign w:val="center"/>
                </w:tcPr>
                <w:p w14:paraId="0509AF40">
                  <w:pPr>
                    <w:keepNext w:val="0"/>
                    <w:keepLines w:val="0"/>
                    <w:pageBreakBefore w:val="0"/>
                    <w:widowControl w:val="0"/>
                    <w:kinsoku/>
                    <w:wordWrap/>
                    <w:overflowPunct/>
                    <w:topLinePunct w:val="0"/>
                    <w:bidi w:val="0"/>
                    <w:adjustRightInd w:val="0"/>
                    <w:snapToGrid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本项目依托</w:t>
                  </w:r>
                  <w:r>
                    <w:rPr>
                      <w:rFonts w:hint="eastAsia" w:ascii="Times New Roman" w:hAnsi="Times New Roman" w:eastAsia="宋体" w:cs="Times New Roman"/>
                      <w:color w:val="auto"/>
                      <w:sz w:val="21"/>
                      <w:szCs w:val="21"/>
                      <w:lang w:val="en-US" w:eastAsia="zh-CN"/>
                    </w:rPr>
                    <w:t>租赁厂房</w:t>
                  </w:r>
                  <w:r>
                    <w:rPr>
                      <w:rFonts w:hint="default" w:ascii="Times New Roman" w:hAnsi="Times New Roman" w:eastAsia="宋体" w:cs="Times New Roman"/>
                      <w:color w:val="auto"/>
                      <w:sz w:val="21"/>
                      <w:szCs w:val="21"/>
                    </w:rPr>
                    <w:t>空置部分；厂区内已实施雨污分流，依托现有雨污管网、雨水排放口、污水排放口</w:t>
                  </w:r>
                </w:p>
              </w:tc>
            </w:tr>
          </w:tbl>
          <w:p w14:paraId="4F7176AB">
            <w:pPr>
              <w:pStyle w:val="7"/>
              <w:spacing w:before="120" w:beforeLines="50" w:line="360" w:lineRule="auto"/>
              <w:ind w:firstLine="422"/>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依托可行性分析：</w:t>
            </w:r>
          </w:p>
          <w:p w14:paraId="7E60BA45">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color w:val="auto"/>
                <w:sz w:val="21"/>
                <w:szCs w:val="21"/>
              </w:rPr>
              <w:t>经与建设单位核实，</w:t>
            </w:r>
            <w:r>
              <w:rPr>
                <w:rFonts w:hint="default" w:ascii="Times New Roman" w:hAnsi="Times New Roman" w:eastAsia="宋体" w:cs="Times New Roman"/>
                <w:color w:val="auto"/>
                <w:sz w:val="21"/>
                <w:szCs w:val="21"/>
                <w:lang w:val="en-US" w:eastAsia="zh-CN"/>
              </w:rPr>
              <w:t>厂区内已实施雨污分流，依托现有雨污管网、雨水排放口、污水排放口，不新设排污口。</w:t>
            </w:r>
          </w:p>
          <w:p w14:paraId="5214ECDF">
            <w:pPr>
              <w:pStyle w:val="7"/>
              <w:spacing w:line="360" w:lineRule="auto"/>
              <w:ind w:firstLine="422"/>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4、生产设备</w:t>
            </w:r>
          </w:p>
          <w:p w14:paraId="3A5C8282">
            <w:pPr>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本项目主要设备见下表。</w:t>
            </w:r>
            <w:bookmarkStart w:id="4" w:name="_Ref435019854"/>
          </w:p>
          <w:p w14:paraId="3A9FAA81">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表</w:t>
            </w:r>
            <w:bookmarkEnd w:id="4"/>
            <w:r>
              <w:rPr>
                <w:rFonts w:hint="default" w:ascii="Times New Roman" w:hAnsi="Times New Roman" w:eastAsia="宋体" w:cs="Times New Roman"/>
                <w:b/>
                <w:color w:val="auto"/>
                <w:szCs w:val="21"/>
              </w:rPr>
              <w:t>2-3 项目主要生产设备表</w:t>
            </w:r>
          </w:p>
          <w:tbl>
            <w:tblPr>
              <w:tblStyle w:val="28"/>
              <w:tblW w:w="499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3"/>
              <w:gridCol w:w="502"/>
              <w:gridCol w:w="975"/>
              <w:gridCol w:w="1767"/>
              <w:gridCol w:w="1313"/>
              <w:gridCol w:w="825"/>
              <w:gridCol w:w="719"/>
              <w:gridCol w:w="724"/>
              <w:gridCol w:w="1033"/>
            </w:tblGrid>
            <w:tr w14:paraId="72E80D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vMerge w:val="restart"/>
                  <w:noWrap w:val="0"/>
                  <w:tcMar>
                    <w:top w:w="0" w:type="dxa"/>
                    <w:left w:w="0" w:type="dxa"/>
                    <w:bottom w:w="0" w:type="dxa"/>
                    <w:right w:w="0" w:type="dxa"/>
                  </w:tcMar>
                  <w:vAlign w:val="center"/>
                </w:tcPr>
                <w:p w14:paraId="1ABA4403">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序号</w:t>
                  </w:r>
                </w:p>
              </w:tc>
              <w:tc>
                <w:tcPr>
                  <w:tcW w:w="303" w:type="pct"/>
                  <w:vMerge w:val="restart"/>
                  <w:noWrap w:val="0"/>
                  <w:tcMar>
                    <w:top w:w="0" w:type="dxa"/>
                    <w:left w:w="0" w:type="dxa"/>
                    <w:bottom w:w="0" w:type="dxa"/>
                    <w:right w:w="0" w:type="dxa"/>
                  </w:tcMar>
                  <w:vAlign w:val="center"/>
                </w:tcPr>
                <w:p w14:paraId="00E4F875">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主要生产单元</w:t>
                  </w:r>
                </w:p>
              </w:tc>
              <w:tc>
                <w:tcPr>
                  <w:tcW w:w="588" w:type="pct"/>
                  <w:vMerge w:val="restart"/>
                  <w:noWrap w:val="0"/>
                  <w:tcMar>
                    <w:top w:w="0" w:type="dxa"/>
                    <w:left w:w="0" w:type="dxa"/>
                    <w:bottom w:w="0" w:type="dxa"/>
                    <w:right w:w="0" w:type="dxa"/>
                  </w:tcMar>
                  <w:vAlign w:val="center"/>
                </w:tcPr>
                <w:p w14:paraId="20C5E047">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主要生产工艺/工序</w:t>
                  </w:r>
                </w:p>
              </w:tc>
              <w:tc>
                <w:tcPr>
                  <w:tcW w:w="1066" w:type="pct"/>
                  <w:vMerge w:val="restart"/>
                  <w:noWrap w:val="0"/>
                  <w:tcMar>
                    <w:top w:w="0" w:type="dxa"/>
                    <w:left w:w="0" w:type="dxa"/>
                    <w:bottom w:w="0" w:type="dxa"/>
                    <w:right w:w="0" w:type="dxa"/>
                  </w:tcMar>
                  <w:vAlign w:val="center"/>
                </w:tcPr>
                <w:p w14:paraId="7C5621CE">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设备名称</w:t>
                  </w:r>
                </w:p>
              </w:tc>
              <w:tc>
                <w:tcPr>
                  <w:tcW w:w="792" w:type="pct"/>
                  <w:vMerge w:val="restart"/>
                  <w:noWrap w:val="0"/>
                  <w:tcMar>
                    <w:top w:w="0" w:type="dxa"/>
                    <w:left w:w="0" w:type="dxa"/>
                    <w:bottom w:w="0" w:type="dxa"/>
                    <w:right w:w="0" w:type="dxa"/>
                  </w:tcMar>
                  <w:vAlign w:val="center"/>
                </w:tcPr>
                <w:p w14:paraId="46050AED">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型号规格</w:t>
                  </w:r>
                </w:p>
              </w:tc>
              <w:tc>
                <w:tcPr>
                  <w:tcW w:w="1369" w:type="pct"/>
                  <w:gridSpan w:val="3"/>
                  <w:noWrap w:val="0"/>
                  <w:tcMar>
                    <w:top w:w="0" w:type="dxa"/>
                    <w:left w:w="0" w:type="dxa"/>
                    <w:bottom w:w="0" w:type="dxa"/>
                    <w:right w:w="0" w:type="dxa"/>
                  </w:tcMar>
                  <w:vAlign w:val="center"/>
                </w:tcPr>
                <w:p w14:paraId="348F651C">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数量（台/a）</w:t>
                  </w:r>
                </w:p>
              </w:tc>
              <w:tc>
                <w:tcPr>
                  <w:tcW w:w="623" w:type="pct"/>
                  <w:vMerge w:val="restart"/>
                  <w:noWrap w:val="0"/>
                  <w:tcMar>
                    <w:top w:w="0" w:type="dxa"/>
                    <w:left w:w="0" w:type="dxa"/>
                    <w:bottom w:w="0" w:type="dxa"/>
                    <w:right w:w="0" w:type="dxa"/>
                  </w:tcMar>
                  <w:vAlign w:val="center"/>
                </w:tcPr>
                <w:p w14:paraId="36D4E5F1">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备注</w:t>
                  </w:r>
                </w:p>
              </w:tc>
            </w:tr>
            <w:tr w14:paraId="6FC2D3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vMerge w:val="continue"/>
                  <w:noWrap w:val="0"/>
                  <w:tcMar>
                    <w:top w:w="0" w:type="dxa"/>
                    <w:left w:w="0" w:type="dxa"/>
                    <w:bottom w:w="0" w:type="dxa"/>
                    <w:right w:w="0" w:type="dxa"/>
                  </w:tcMar>
                  <w:vAlign w:val="center"/>
                </w:tcPr>
                <w:p w14:paraId="5DDC0EE0">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p>
              </w:tc>
              <w:tc>
                <w:tcPr>
                  <w:tcW w:w="303" w:type="pct"/>
                  <w:vMerge w:val="continue"/>
                  <w:noWrap w:val="0"/>
                  <w:tcMar>
                    <w:top w:w="0" w:type="dxa"/>
                    <w:left w:w="0" w:type="dxa"/>
                    <w:bottom w:w="0" w:type="dxa"/>
                    <w:right w:w="0" w:type="dxa"/>
                  </w:tcMar>
                  <w:vAlign w:val="center"/>
                </w:tcPr>
                <w:p w14:paraId="578D1762">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p>
              </w:tc>
              <w:tc>
                <w:tcPr>
                  <w:tcW w:w="588" w:type="pct"/>
                  <w:vMerge w:val="continue"/>
                  <w:noWrap w:val="0"/>
                  <w:tcMar>
                    <w:top w:w="0" w:type="dxa"/>
                    <w:left w:w="0" w:type="dxa"/>
                    <w:bottom w:w="0" w:type="dxa"/>
                    <w:right w:w="0" w:type="dxa"/>
                  </w:tcMar>
                  <w:vAlign w:val="center"/>
                </w:tcPr>
                <w:p w14:paraId="279A90AC">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p>
              </w:tc>
              <w:tc>
                <w:tcPr>
                  <w:tcW w:w="1066" w:type="pct"/>
                  <w:vMerge w:val="continue"/>
                  <w:noWrap w:val="0"/>
                  <w:tcMar>
                    <w:top w:w="0" w:type="dxa"/>
                    <w:left w:w="0" w:type="dxa"/>
                    <w:bottom w:w="0" w:type="dxa"/>
                    <w:right w:w="0" w:type="dxa"/>
                  </w:tcMar>
                  <w:vAlign w:val="center"/>
                </w:tcPr>
                <w:p w14:paraId="7CF4878C">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p>
              </w:tc>
              <w:tc>
                <w:tcPr>
                  <w:tcW w:w="792" w:type="pct"/>
                  <w:vMerge w:val="continue"/>
                  <w:noWrap w:val="0"/>
                  <w:tcMar>
                    <w:top w:w="0" w:type="dxa"/>
                    <w:left w:w="0" w:type="dxa"/>
                    <w:bottom w:w="0" w:type="dxa"/>
                    <w:right w:w="0" w:type="dxa"/>
                  </w:tcMar>
                  <w:vAlign w:val="center"/>
                </w:tcPr>
                <w:p w14:paraId="04BFB914">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p>
              </w:tc>
              <w:tc>
                <w:tcPr>
                  <w:tcW w:w="498" w:type="pct"/>
                  <w:noWrap w:val="0"/>
                  <w:tcMar>
                    <w:top w:w="0" w:type="dxa"/>
                    <w:left w:w="0" w:type="dxa"/>
                    <w:bottom w:w="0" w:type="dxa"/>
                    <w:right w:w="0" w:type="dxa"/>
                  </w:tcMar>
                  <w:vAlign w:val="center"/>
                </w:tcPr>
                <w:p w14:paraId="49E1F626">
                  <w:pPr>
                    <w:pStyle w:val="76"/>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r>
                    <w:rPr>
                      <w:rFonts w:hint="eastAsia" w:ascii="Times New Roman" w:hAnsi="Times New Roman" w:eastAsia="宋体" w:cs="Times New Roman"/>
                      <w:b/>
                      <w:color w:val="auto"/>
                      <w:sz w:val="21"/>
                      <w:szCs w:val="21"/>
                      <w:lang w:val="en-US" w:eastAsia="zh-CN"/>
                    </w:rPr>
                    <w:t>搬迁前</w:t>
                  </w:r>
                </w:p>
              </w:tc>
              <w:tc>
                <w:tcPr>
                  <w:tcW w:w="434" w:type="pct"/>
                  <w:noWrap w:val="0"/>
                  <w:tcMar>
                    <w:top w:w="0" w:type="dxa"/>
                    <w:left w:w="0" w:type="dxa"/>
                    <w:bottom w:w="0" w:type="dxa"/>
                    <w:right w:w="0" w:type="dxa"/>
                  </w:tcMar>
                  <w:vAlign w:val="center"/>
                </w:tcPr>
                <w:p w14:paraId="7D153504">
                  <w:pPr>
                    <w:pStyle w:val="76"/>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r>
                    <w:rPr>
                      <w:rFonts w:hint="eastAsia" w:ascii="Times New Roman" w:hAnsi="Times New Roman" w:eastAsia="宋体" w:cs="Times New Roman"/>
                      <w:b/>
                      <w:color w:val="auto"/>
                      <w:sz w:val="21"/>
                      <w:szCs w:val="21"/>
                      <w:lang w:val="en-US" w:eastAsia="zh-CN"/>
                    </w:rPr>
                    <w:t>搬迁</w:t>
                  </w:r>
                  <w:r>
                    <w:rPr>
                      <w:rFonts w:hint="default" w:ascii="Times New Roman" w:hAnsi="Times New Roman" w:eastAsia="宋体" w:cs="Times New Roman"/>
                      <w:b/>
                      <w:color w:val="auto"/>
                      <w:sz w:val="21"/>
                      <w:szCs w:val="21"/>
                    </w:rPr>
                    <w:t>后</w:t>
                  </w:r>
                </w:p>
              </w:tc>
              <w:tc>
                <w:tcPr>
                  <w:tcW w:w="437" w:type="pct"/>
                  <w:noWrap w:val="0"/>
                  <w:tcMar>
                    <w:top w:w="0" w:type="dxa"/>
                    <w:left w:w="0" w:type="dxa"/>
                    <w:bottom w:w="0" w:type="dxa"/>
                    <w:right w:w="0" w:type="dxa"/>
                  </w:tcMar>
                  <w:vAlign w:val="center"/>
                </w:tcPr>
                <w:p w14:paraId="6420EF81">
                  <w:pPr>
                    <w:pStyle w:val="76"/>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color w:val="auto"/>
                      <w:sz w:val="21"/>
                      <w:szCs w:val="21"/>
                    </w:rPr>
                    <w:t>增量</w:t>
                  </w:r>
                </w:p>
              </w:tc>
              <w:tc>
                <w:tcPr>
                  <w:tcW w:w="623" w:type="pct"/>
                  <w:vMerge w:val="continue"/>
                  <w:noWrap w:val="0"/>
                  <w:tcMar>
                    <w:top w:w="0" w:type="dxa"/>
                    <w:left w:w="0" w:type="dxa"/>
                    <w:bottom w:w="0" w:type="dxa"/>
                    <w:right w:w="0" w:type="dxa"/>
                  </w:tcMar>
                  <w:vAlign w:val="center"/>
                </w:tcPr>
                <w:p w14:paraId="5BF47C3E">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bCs/>
                      <w:color w:val="auto"/>
                      <w:sz w:val="21"/>
                      <w:szCs w:val="21"/>
                    </w:rPr>
                  </w:pPr>
                </w:p>
              </w:tc>
            </w:tr>
            <w:tr w14:paraId="1C2515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19AD9924">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bidi="ar"/>
                    </w:rPr>
                    <w:t>1</w:t>
                  </w:r>
                </w:p>
              </w:tc>
              <w:tc>
                <w:tcPr>
                  <w:tcW w:w="303" w:type="pct"/>
                  <w:vMerge w:val="restart"/>
                  <w:noWrap w:val="0"/>
                  <w:tcMar>
                    <w:top w:w="0" w:type="dxa"/>
                    <w:left w:w="0" w:type="dxa"/>
                    <w:bottom w:w="0" w:type="dxa"/>
                    <w:right w:w="0" w:type="dxa"/>
                  </w:tcMar>
                  <w:vAlign w:val="center"/>
                </w:tcPr>
                <w:p w14:paraId="1352A321">
                  <w:pPr>
                    <w:pStyle w:val="66"/>
                    <w:keepNext w:val="0"/>
                    <w:keepLines w:val="0"/>
                    <w:pageBreakBefore w:val="0"/>
                    <w:kinsoku/>
                    <w:wordWrap/>
                    <w:overflowPunct/>
                    <w:topLinePunct w:val="0"/>
                    <w:bidi w:val="0"/>
                    <w:adjustRightInd w:val="0"/>
                    <w:snapToGrid w:val="0"/>
                    <w:spacing w:beforeLines="0" w:afterLines="0"/>
                    <w:rPr>
                      <w:rFonts w:hint="default" w:ascii="Times New Roman" w:hAnsi="Times New Roman" w:eastAsia="宋体" w:cs="Times New Roman"/>
                      <w:color w:val="auto"/>
                      <w:kern w:val="2"/>
                      <w:sz w:val="21"/>
                      <w:szCs w:val="21"/>
                      <w:lang w:val="en-US" w:eastAsia="zh-CN" w:bidi="ar-SA"/>
                    </w:rPr>
                  </w:pPr>
                  <w:r>
                    <w:rPr>
                      <w:rFonts w:ascii="Times New Roman" w:hAnsi="Times New Roman" w:eastAsia="宋体"/>
                      <w:b w:val="0"/>
                      <w:bCs/>
                      <w:color w:val="auto"/>
                      <w:sz w:val="21"/>
                      <w:szCs w:val="21"/>
                    </w:rPr>
                    <w:t>热塑性弹性体颗粒生产线</w:t>
                  </w:r>
                </w:p>
              </w:tc>
              <w:tc>
                <w:tcPr>
                  <w:tcW w:w="588" w:type="pct"/>
                  <w:vMerge w:val="restart"/>
                  <w:noWrap w:val="0"/>
                  <w:tcMar>
                    <w:top w:w="0" w:type="dxa"/>
                    <w:left w:w="0" w:type="dxa"/>
                    <w:bottom w:w="0" w:type="dxa"/>
                    <w:right w:w="0" w:type="dxa"/>
                  </w:tcMar>
                  <w:vAlign w:val="center"/>
                </w:tcPr>
                <w:p w14:paraId="7C6B7411">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混料</w:t>
                  </w:r>
                </w:p>
              </w:tc>
              <w:tc>
                <w:tcPr>
                  <w:tcW w:w="1066" w:type="pct"/>
                  <w:noWrap w:val="0"/>
                  <w:tcMar>
                    <w:top w:w="0" w:type="dxa"/>
                    <w:left w:w="0" w:type="dxa"/>
                    <w:bottom w:w="0" w:type="dxa"/>
                    <w:right w:w="0" w:type="dxa"/>
                  </w:tcMar>
                  <w:vAlign w:val="center"/>
                </w:tcPr>
                <w:p w14:paraId="32498B4A">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高速搅拌机</w:t>
                  </w:r>
                </w:p>
              </w:tc>
              <w:tc>
                <w:tcPr>
                  <w:tcW w:w="792" w:type="pct"/>
                  <w:noWrap w:val="0"/>
                  <w:tcMar>
                    <w:top w:w="0" w:type="dxa"/>
                    <w:left w:w="0" w:type="dxa"/>
                    <w:bottom w:w="0" w:type="dxa"/>
                    <w:right w:w="0" w:type="dxa"/>
                  </w:tcMar>
                  <w:vAlign w:val="center"/>
                </w:tcPr>
                <w:p w14:paraId="47CEF723">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JB-100</w:t>
                  </w:r>
                </w:p>
              </w:tc>
              <w:tc>
                <w:tcPr>
                  <w:tcW w:w="498" w:type="pct"/>
                  <w:noWrap w:val="0"/>
                  <w:tcMar>
                    <w:top w:w="0" w:type="dxa"/>
                    <w:left w:w="0" w:type="dxa"/>
                    <w:bottom w:w="0" w:type="dxa"/>
                    <w:right w:w="0" w:type="dxa"/>
                  </w:tcMar>
                  <w:vAlign w:val="center"/>
                </w:tcPr>
                <w:p w14:paraId="3D76518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434" w:type="pct"/>
                  <w:noWrap w:val="0"/>
                  <w:tcMar>
                    <w:top w:w="0" w:type="dxa"/>
                    <w:left w:w="0" w:type="dxa"/>
                    <w:bottom w:w="0" w:type="dxa"/>
                    <w:right w:w="0" w:type="dxa"/>
                  </w:tcMar>
                  <w:vAlign w:val="center"/>
                </w:tcPr>
                <w:p w14:paraId="05B8AEB5">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437" w:type="pct"/>
                  <w:noWrap w:val="0"/>
                  <w:tcMar>
                    <w:top w:w="0" w:type="dxa"/>
                    <w:left w:w="0" w:type="dxa"/>
                    <w:bottom w:w="0" w:type="dxa"/>
                    <w:right w:w="0" w:type="dxa"/>
                  </w:tcMar>
                  <w:vAlign w:val="center"/>
                </w:tcPr>
                <w:p w14:paraId="78394610">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623" w:type="pct"/>
                  <w:noWrap w:val="0"/>
                  <w:tcMar>
                    <w:top w:w="0" w:type="dxa"/>
                    <w:left w:w="0" w:type="dxa"/>
                    <w:bottom w:w="0" w:type="dxa"/>
                    <w:right w:w="0" w:type="dxa"/>
                  </w:tcMar>
                  <w:vAlign w:val="center"/>
                </w:tcPr>
                <w:p w14:paraId="1E65FDAC">
                  <w:pPr>
                    <w:pStyle w:val="91"/>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639AC4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3A81392B">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2</w:t>
                  </w:r>
                </w:p>
              </w:tc>
              <w:tc>
                <w:tcPr>
                  <w:tcW w:w="303" w:type="pct"/>
                  <w:vMerge w:val="continue"/>
                  <w:noWrap w:val="0"/>
                  <w:tcMar>
                    <w:top w:w="0" w:type="dxa"/>
                    <w:left w:w="0" w:type="dxa"/>
                    <w:bottom w:w="0" w:type="dxa"/>
                    <w:right w:w="0" w:type="dxa"/>
                  </w:tcMar>
                  <w:vAlign w:val="center"/>
                </w:tcPr>
                <w:p w14:paraId="70DB3D09">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continue"/>
                  <w:noWrap w:val="0"/>
                  <w:tcMar>
                    <w:top w:w="0" w:type="dxa"/>
                    <w:left w:w="0" w:type="dxa"/>
                    <w:bottom w:w="0" w:type="dxa"/>
                    <w:right w:w="0" w:type="dxa"/>
                  </w:tcMar>
                  <w:vAlign w:val="center"/>
                </w:tcPr>
                <w:p w14:paraId="2A2F0C6F">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kern w:val="2"/>
                      <w:sz w:val="21"/>
                      <w:szCs w:val="21"/>
                      <w:lang w:val="en-US" w:eastAsia="zh-CN" w:bidi="ar-SA"/>
                    </w:rPr>
                  </w:pPr>
                </w:p>
              </w:tc>
              <w:tc>
                <w:tcPr>
                  <w:tcW w:w="1066" w:type="pct"/>
                  <w:vMerge w:val="restart"/>
                  <w:noWrap w:val="0"/>
                  <w:tcMar>
                    <w:top w:w="0" w:type="dxa"/>
                    <w:left w:w="0" w:type="dxa"/>
                    <w:bottom w:w="0" w:type="dxa"/>
                    <w:right w:w="0" w:type="dxa"/>
                  </w:tcMar>
                  <w:vAlign w:val="center"/>
                </w:tcPr>
                <w:p w14:paraId="5F97DA42">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混料机</w:t>
                  </w:r>
                </w:p>
              </w:tc>
              <w:tc>
                <w:tcPr>
                  <w:tcW w:w="792" w:type="pct"/>
                  <w:noWrap w:val="0"/>
                  <w:tcMar>
                    <w:top w:w="0" w:type="dxa"/>
                    <w:left w:w="0" w:type="dxa"/>
                    <w:bottom w:w="0" w:type="dxa"/>
                    <w:right w:w="0" w:type="dxa"/>
                  </w:tcMar>
                  <w:vAlign w:val="center"/>
                </w:tcPr>
                <w:p w14:paraId="0E2BD917">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75L</w:t>
                  </w:r>
                </w:p>
              </w:tc>
              <w:tc>
                <w:tcPr>
                  <w:tcW w:w="498" w:type="pct"/>
                  <w:noWrap w:val="0"/>
                  <w:tcMar>
                    <w:top w:w="0" w:type="dxa"/>
                    <w:left w:w="0" w:type="dxa"/>
                    <w:bottom w:w="0" w:type="dxa"/>
                    <w:right w:w="0" w:type="dxa"/>
                  </w:tcMar>
                  <w:vAlign w:val="center"/>
                </w:tcPr>
                <w:p w14:paraId="2620145C">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4" w:type="pct"/>
                  <w:noWrap w:val="0"/>
                  <w:tcMar>
                    <w:top w:w="0" w:type="dxa"/>
                    <w:left w:w="0" w:type="dxa"/>
                    <w:bottom w:w="0" w:type="dxa"/>
                    <w:right w:w="0" w:type="dxa"/>
                  </w:tcMar>
                  <w:vAlign w:val="center"/>
                </w:tcPr>
                <w:p w14:paraId="327B87B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7" w:type="pct"/>
                  <w:noWrap w:val="0"/>
                  <w:tcMar>
                    <w:top w:w="0" w:type="dxa"/>
                    <w:left w:w="0" w:type="dxa"/>
                    <w:bottom w:w="0" w:type="dxa"/>
                    <w:right w:w="0" w:type="dxa"/>
                  </w:tcMar>
                  <w:vAlign w:val="center"/>
                </w:tcPr>
                <w:p w14:paraId="4C05E564">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421596B4">
                  <w:pPr>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4D334F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79CEA09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3</w:t>
                  </w:r>
                </w:p>
              </w:tc>
              <w:tc>
                <w:tcPr>
                  <w:tcW w:w="303" w:type="pct"/>
                  <w:vMerge w:val="continue"/>
                  <w:noWrap w:val="0"/>
                  <w:tcMar>
                    <w:top w:w="0" w:type="dxa"/>
                    <w:left w:w="0" w:type="dxa"/>
                    <w:bottom w:w="0" w:type="dxa"/>
                    <w:right w:w="0" w:type="dxa"/>
                  </w:tcMar>
                  <w:vAlign w:val="center"/>
                </w:tcPr>
                <w:p w14:paraId="29D97536">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continue"/>
                  <w:noWrap w:val="0"/>
                  <w:tcMar>
                    <w:top w:w="0" w:type="dxa"/>
                    <w:left w:w="0" w:type="dxa"/>
                    <w:bottom w:w="0" w:type="dxa"/>
                    <w:right w:w="0" w:type="dxa"/>
                  </w:tcMar>
                  <w:vAlign w:val="center"/>
                </w:tcPr>
                <w:p w14:paraId="6BE07E11">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kern w:val="2"/>
                      <w:sz w:val="21"/>
                      <w:szCs w:val="21"/>
                      <w:lang w:val="en-US" w:eastAsia="zh-CN" w:bidi="ar-SA"/>
                    </w:rPr>
                  </w:pPr>
                </w:p>
              </w:tc>
              <w:tc>
                <w:tcPr>
                  <w:tcW w:w="1066" w:type="pct"/>
                  <w:vMerge w:val="continue"/>
                  <w:noWrap w:val="0"/>
                  <w:tcMar>
                    <w:top w:w="0" w:type="dxa"/>
                    <w:left w:w="0" w:type="dxa"/>
                    <w:bottom w:w="0" w:type="dxa"/>
                    <w:right w:w="0" w:type="dxa"/>
                  </w:tcMar>
                  <w:vAlign w:val="center"/>
                </w:tcPr>
                <w:p w14:paraId="38279D9E">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p>
              </w:tc>
              <w:tc>
                <w:tcPr>
                  <w:tcW w:w="792" w:type="pct"/>
                  <w:noWrap w:val="0"/>
                  <w:tcMar>
                    <w:top w:w="0" w:type="dxa"/>
                    <w:left w:w="0" w:type="dxa"/>
                    <w:bottom w:w="0" w:type="dxa"/>
                    <w:right w:w="0" w:type="dxa"/>
                  </w:tcMar>
                  <w:vAlign w:val="center"/>
                </w:tcPr>
                <w:p w14:paraId="6C94C6B8">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35L</w:t>
                  </w:r>
                </w:p>
              </w:tc>
              <w:tc>
                <w:tcPr>
                  <w:tcW w:w="498" w:type="pct"/>
                  <w:noWrap w:val="0"/>
                  <w:tcMar>
                    <w:top w:w="0" w:type="dxa"/>
                    <w:left w:w="0" w:type="dxa"/>
                    <w:bottom w:w="0" w:type="dxa"/>
                    <w:right w:w="0" w:type="dxa"/>
                  </w:tcMar>
                  <w:vAlign w:val="center"/>
                </w:tcPr>
                <w:p w14:paraId="62F8E55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4" w:type="pct"/>
                  <w:noWrap w:val="0"/>
                  <w:tcMar>
                    <w:top w:w="0" w:type="dxa"/>
                    <w:left w:w="0" w:type="dxa"/>
                    <w:bottom w:w="0" w:type="dxa"/>
                    <w:right w:w="0" w:type="dxa"/>
                  </w:tcMar>
                  <w:vAlign w:val="center"/>
                </w:tcPr>
                <w:p w14:paraId="31EA4CE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7" w:type="pct"/>
                  <w:noWrap w:val="0"/>
                  <w:tcMar>
                    <w:top w:w="0" w:type="dxa"/>
                    <w:left w:w="0" w:type="dxa"/>
                    <w:bottom w:w="0" w:type="dxa"/>
                    <w:right w:w="0" w:type="dxa"/>
                  </w:tcMar>
                  <w:vAlign w:val="center"/>
                </w:tcPr>
                <w:p w14:paraId="2EBA532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5A1E3293">
                  <w:pPr>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04E821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615A741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4</w:t>
                  </w:r>
                </w:p>
              </w:tc>
              <w:tc>
                <w:tcPr>
                  <w:tcW w:w="303" w:type="pct"/>
                  <w:vMerge w:val="continue"/>
                  <w:noWrap w:val="0"/>
                  <w:tcMar>
                    <w:top w:w="0" w:type="dxa"/>
                    <w:left w:w="0" w:type="dxa"/>
                    <w:bottom w:w="0" w:type="dxa"/>
                    <w:right w:w="0" w:type="dxa"/>
                  </w:tcMar>
                  <w:vAlign w:val="center"/>
                </w:tcPr>
                <w:p w14:paraId="2197DE6A">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continue"/>
                  <w:noWrap w:val="0"/>
                  <w:tcMar>
                    <w:top w:w="0" w:type="dxa"/>
                    <w:left w:w="0" w:type="dxa"/>
                    <w:bottom w:w="0" w:type="dxa"/>
                    <w:right w:w="0" w:type="dxa"/>
                  </w:tcMar>
                  <w:vAlign w:val="center"/>
                </w:tcPr>
                <w:p w14:paraId="23EEDFFC">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kern w:val="2"/>
                      <w:sz w:val="21"/>
                      <w:szCs w:val="21"/>
                      <w:lang w:val="en-US" w:eastAsia="zh-CN" w:bidi="ar-SA"/>
                    </w:rPr>
                  </w:pPr>
                </w:p>
              </w:tc>
              <w:tc>
                <w:tcPr>
                  <w:tcW w:w="1066" w:type="pct"/>
                  <w:vMerge w:val="continue"/>
                  <w:noWrap w:val="0"/>
                  <w:tcMar>
                    <w:top w:w="0" w:type="dxa"/>
                    <w:left w:w="0" w:type="dxa"/>
                    <w:bottom w:w="0" w:type="dxa"/>
                    <w:right w:w="0" w:type="dxa"/>
                  </w:tcMar>
                  <w:vAlign w:val="center"/>
                </w:tcPr>
                <w:p w14:paraId="1CCB6DD5">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p>
              </w:tc>
              <w:tc>
                <w:tcPr>
                  <w:tcW w:w="792" w:type="pct"/>
                  <w:noWrap w:val="0"/>
                  <w:tcMar>
                    <w:top w:w="0" w:type="dxa"/>
                    <w:left w:w="0" w:type="dxa"/>
                    <w:bottom w:w="0" w:type="dxa"/>
                    <w:right w:w="0" w:type="dxa"/>
                  </w:tcMar>
                  <w:vAlign w:val="center"/>
                </w:tcPr>
                <w:p w14:paraId="130EBAB0">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65L</w:t>
                  </w:r>
                </w:p>
              </w:tc>
              <w:tc>
                <w:tcPr>
                  <w:tcW w:w="498" w:type="pct"/>
                  <w:noWrap w:val="0"/>
                  <w:tcMar>
                    <w:top w:w="0" w:type="dxa"/>
                    <w:left w:w="0" w:type="dxa"/>
                    <w:bottom w:w="0" w:type="dxa"/>
                    <w:right w:w="0" w:type="dxa"/>
                  </w:tcMar>
                  <w:vAlign w:val="center"/>
                </w:tcPr>
                <w:p w14:paraId="18A09DB3">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w:t>
                  </w:r>
                </w:p>
              </w:tc>
              <w:tc>
                <w:tcPr>
                  <w:tcW w:w="434" w:type="pct"/>
                  <w:noWrap w:val="0"/>
                  <w:tcMar>
                    <w:top w:w="0" w:type="dxa"/>
                    <w:left w:w="0" w:type="dxa"/>
                    <w:bottom w:w="0" w:type="dxa"/>
                    <w:right w:w="0" w:type="dxa"/>
                  </w:tcMar>
                  <w:vAlign w:val="center"/>
                </w:tcPr>
                <w:p w14:paraId="18FEED7C">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7" w:type="pct"/>
                  <w:noWrap w:val="0"/>
                  <w:tcMar>
                    <w:top w:w="0" w:type="dxa"/>
                    <w:left w:w="0" w:type="dxa"/>
                    <w:bottom w:w="0" w:type="dxa"/>
                    <w:right w:w="0" w:type="dxa"/>
                  </w:tcMar>
                  <w:vAlign w:val="center"/>
                </w:tcPr>
                <w:p w14:paraId="1A2B92A4">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w:t>
                  </w:r>
                </w:p>
              </w:tc>
              <w:tc>
                <w:tcPr>
                  <w:tcW w:w="623" w:type="pct"/>
                  <w:noWrap w:val="0"/>
                  <w:tcMar>
                    <w:top w:w="0" w:type="dxa"/>
                    <w:left w:w="0" w:type="dxa"/>
                    <w:bottom w:w="0" w:type="dxa"/>
                    <w:right w:w="0" w:type="dxa"/>
                  </w:tcMar>
                  <w:vAlign w:val="center"/>
                </w:tcPr>
                <w:p w14:paraId="126196BF">
                  <w:pPr>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55AE04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2CB2E7CE">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5</w:t>
                  </w:r>
                </w:p>
              </w:tc>
              <w:tc>
                <w:tcPr>
                  <w:tcW w:w="303" w:type="pct"/>
                  <w:vMerge w:val="continue"/>
                  <w:noWrap w:val="0"/>
                  <w:tcMar>
                    <w:top w:w="0" w:type="dxa"/>
                    <w:left w:w="0" w:type="dxa"/>
                    <w:bottom w:w="0" w:type="dxa"/>
                    <w:right w:w="0" w:type="dxa"/>
                  </w:tcMar>
                  <w:vAlign w:val="center"/>
                </w:tcPr>
                <w:p w14:paraId="632356F3">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restart"/>
                  <w:noWrap w:val="0"/>
                  <w:tcMar>
                    <w:top w:w="0" w:type="dxa"/>
                    <w:left w:w="0" w:type="dxa"/>
                    <w:bottom w:w="0" w:type="dxa"/>
                    <w:right w:w="0" w:type="dxa"/>
                  </w:tcMar>
                  <w:vAlign w:val="center"/>
                </w:tcPr>
                <w:p w14:paraId="4A9172CC">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挤出</w:t>
                  </w:r>
                </w:p>
              </w:tc>
              <w:tc>
                <w:tcPr>
                  <w:tcW w:w="1066" w:type="pct"/>
                  <w:vMerge w:val="restart"/>
                  <w:noWrap w:val="0"/>
                  <w:tcMar>
                    <w:top w:w="0" w:type="dxa"/>
                    <w:left w:w="0" w:type="dxa"/>
                    <w:bottom w:w="0" w:type="dxa"/>
                    <w:right w:w="0" w:type="dxa"/>
                  </w:tcMar>
                  <w:vAlign w:val="center"/>
                </w:tcPr>
                <w:p w14:paraId="036C0DCF">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双螺杆挤出机</w:t>
                  </w:r>
                </w:p>
              </w:tc>
              <w:tc>
                <w:tcPr>
                  <w:tcW w:w="792" w:type="pct"/>
                  <w:noWrap w:val="0"/>
                  <w:tcMar>
                    <w:top w:w="0" w:type="dxa"/>
                    <w:left w:w="0" w:type="dxa"/>
                    <w:bottom w:w="0" w:type="dxa"/>
                    <w:right w:w="0" w:type="dxa"/>
                  </w:tcMar>
                  <w:vAlign w:val="center"/>
                </w:tcPr>
                <w:p w14:paraId="45472FB5">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CTES75</w:t>
                  </w:r>
                </w:p>
              </w:tc>
              <w:tc>
                <w:tcPr>
                  <w:tcW w:w="498" w:type="pct"/>
                  <w:noWrap w:val="0"/>
                  <w:tcMar>
                    <w:top w:w="0" w:type="dxa"/>
                    <w:left w:w="0" w:type="dxa"/>
                    <w:bottom w:w="0" w:type="dxa"/>
                    <w:right w:w="0" w:type="dxa"/>
                  </w:tcMar>
                  <w:vAlign w:val="center"/>
                </w:tcPr>
                <w:p w14:paraId="6F2F4C06">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4" w:type="pct"/>
                  <w:noWrap w:val="0"/>
                  <w:tcMar>
                    <w:top w:w="0" w:type="dxa"/>
                    <w:left w:w="0" w:type="dxa"/>
                    <w:bottom w:w="0" w:type="dxa"/>
                    <w:right w:w="0" w:type="dxa"/>
                  </w:tcMar>
                  <w:vAlign w:val="center"/>
                </w:tcPr>
                <w:p w14:paraId="20084E8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7" w:type="pct"/>
                  <w:noWrap w:val="0"/>
                  <w:tcMar>
                    <w:top w:w="0" w:type="dxa"/>
                    <w:left w:w="0" w:type="dxa"/>
                    <w:bottom w:w="0" w:type="dxa"/>
                    <w:right w:w="0" w:type="dxa"/>
                  </w:tcMar>
                  <w:vAlign w:val="center"/>
                </w:tcPr>
                <w:p w14:paraId="11F9F732">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5288AED4">
                  <w:pPr>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4B7A18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7DD22B8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6</w:t>
                  </w:r>
                </w:p>
              </w:tc>
              <w:tc>
                <w:tcPr>
                  <w:tcW w:w="303" w:type="pct"/>
                  <w:vMerge w:val="continue"/>
                  <w:noWrap w:val="0"/>
                  <w:tcMar>
                    <w:top w:w="0" w:type="dxa"/>
                    <w:left w:w="0" w:type="dxa"/>
                    <w:bottom w:w="0" w:type="dxa"/>
                    <w:right w:w="0" w:type="dxa"/>
                  </w:tcMar>
                  <w:vAlign w:val="center"/>
                </w:tcPr>
                <w:p w14:paraId="7E66514E">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continue"/>
                  <w:noWrap w:val="0"/>
                  <w:tcMar>
                    <w:top w:w="0" w:type="dxa"/>
                    <w:left w:w="0" w:type="dxa"/>
                    <w:bottom w:w="0" w:type="dxa"/>
                    <w:right w:w="0" w:type="dxa"/>
                  </w:tcMar>
                  <w:vAlign w:val="center"/>
                </w:tcPr>
                <w:p w14:paraId="52F60E88">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p>
              </w:tc>
              <w:tc>
                <w:tcPr>
                  <w:tcW w:w="1066" w:type="pct"/>
                  <w:vMerge w:val="continue"/>
                  <w:noWrap w:val="0"/>
                  <w:tcMar>
                    <w:top w:w="0" w:type="dxa"/>
                    <w:left w:w="0" w:type="dxa"/>
                    <w:bottom w:w="0" w:type="dxa"/>
                    <w:right w:w="0" w:type="dxa"/>
                  </w:tcMar>
                  <w:vAlign w:val="center"/>
                </w:tcPr>
                <w:p w14:paraId="1AEF42F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p>
              </w:tc>
              <w:tc>
                <w:tcPr>
                  <w:tcW w:w="792" w:type="pct"/>
                  <w:noWrap w:val="0"/>
                  <w:tcMar>
                    <w:top w:w="0" w:type="dxa"/>
                    <w:left w:w="0" w:type="dxa"/>
                    <w:bottom w:w="0" w:type="dxa"/>
                    <w:right w:w="0" w:type="dxa"/>
                  </w:tcMar>
                  <w:vAlign w:val="center"/>
                </w:tcPr>
                <w:p w14:paraId="6245DB42">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CTES50</w:t>
                  </w:r>
                </w:p>
              </w:tc>
              <w:tc>
                <w:tcPr>
                  <w:tcW w:w="498" w:type="pct"/>
                  <w:noWrap w:val="0"/>
                  <w:tcMar>
                    <w:top w:w="0" w:type="dxa"/>
                    <w:left w:w="0" w:type="dxa"/>
                    <w:bottom w:w="0" w:type="dxa"/>
                    <w:right w:w="0" w:type="dxa"/>
                  </w:tcMar>
                  <w:vAlign w:val="center"/>
                </w:tcPr>
                <w:p w14:paraId="40119DF6">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4" w:type="pct"/>
                  <w:noWrap w:val="0"/>
                  <w:tcMar>
                    <w:top w:w="0" w:type="dxa"/>
                    <w:left w:w="0" w:type="dxa"/>
                    <w:bottom w:w="0" w:type="dxa"/>
                    <w:right w:w="0" w:type="dxa"/>
                  </w:tcMar>
                  <w:vAlign w:val="center"/>
                </w:tcPr>
                <w:p w14:paraId="1174A4F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437" w:type="pct"/>
                  <w:noWrap w:val="0"/>
                  <w:tcMar>
                    <w:top w:w="0" w:type="dxa"/>
                    <w:left w:w="0" w:type="dxa"/>
                    <w:bottom w:w="0" w:type="dxa"/>
                    <w:right w:w="0" w:type="dxa"/>
                  </w:tcMar>
                  <w:vAlign w:val="center"/>
                </w:tcPr>
                <w:p w14:paraId="6F5A1AC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w:t>
                  </w:r>
                </w:p>
              </w:tc>
              <w:tc>
                <w:tcPr>
                  <w:tcW w:w="623" w:type="pct"/>
                  <w:noWrap w:val="0"/>
                  <w:tcMar>
                    <w:top w:w="0" w:type="dxa"/>
                    <w:left w:w="0" w:type="dxa"/>
                    <w:bottom w:w="0" w:type="dxa"/>
                    <w:right w:w="0" w:type="dxa"/>
                  </w:tcMar>
                  <w:vAlign w:val="center"/>
                </w:tcPr>
                <w:p w14:paraId="575CA77B">
                  <w:pPr>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661936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0DD472B5">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7</w:t>
                  </w:r>
                </w:p>
              </w:tc>
              <w:tc>
                <w:tcPr>
                  <w:tcW w:w="303" w:type="pct"/>
                  <w:vMerge w:val="continue"/>
                  <w:noWrap w:val="0"/>
                  <w:tcMar>
                    <w:top w:w="0" w:type="dxa"/>
                    <w:left w:w="0" w:type="dxa"/>
                    <w:bottom w:w="0" w:type="dxa"/>
                    <w:right w:w="0" w:type="dxa"/>
                  </w:tcMar>
                  <w:vAlign w:val="center"/>
                </w:tcPr>
                <w:p w14:paraId="03DBA9F8">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continue"/>
                  <w:noWrap w:val="0"/>
                  <w:tcMar>
                    <w:top w:w="0" w:type="dxa"/>
                    <w:left w:w="0" w:type="dxa"/>
                    <w:bottom w:w="0" w:type="dxa"/>
                    <w:right w:w="0" w:type="dxa"/>
                  </w:tcMar>
                  <w:vAlign w:val="center"/>
                </w:tcPr>
                <w:p w14:paraId="5087F8DC">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p>
              </w:tc>
              <w:tc>
                <w:tcPr>
                  <w:tcW w:w="1066" w:type="pct"/>
                  <w:vMerge w:val="continue"/>
                  <w:noWrap w:val="0"/>
                  <w:tcMar>
                    <w:top w:w="0" w:type="dxa"/>
                    <w:left w:w="0" w:type="dxa"/>
                    <w:bottom w:w="0" w:type="dxa"/>
                    <w:right w:w="0" w:type="dxa"/>
                  </w:tcMar>
                  <w:vAlign w:val="center"/>
                </w:tcPr>
                <w:p w14:paraId="6DFCCAB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p>
              </w:tc>
              <w:tc>
                <w:tcPr>
                  <w:tcW w:w="792" w:type="pct"/>
                  <w:noWrap w:val="0"/>
                  <w:tcMar>
                    <w:top w:w="0" w:type="dxa"/>
                    <w:left w:w="0" w:type="dxa"/>
                    <w:bottom w:w="0" w:type="dxa"/>
                    <w:right w:w="0" w:type="dxa"/>
                  </w:tcMar>
                  <w:vAlign w:val="center"/>
                </w:tcPr>
                <w:p w14:paraId="2182B51F">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CTES35</w:t>
                  </w:r>
                </w:p>
              </w:tc>
              <w:tc>
                <w:tcPr>
                  <w:tcW w:w="498" w:type="pct"/>
                  <w:noWrap w:val="0"/>
                  <w:tcMar>
                    <w:top w:w="0" w:type="dxa"/>
                    <w:left w:w="0" w:type="dxa"/>
                    <w:bottom w:w="0" w:type="dxa"/>
                    <w:right w:w="0" w:type="dxa"/>
                  </w:tcMar>
                  <w:vAlign w:val="center"/>
                </w:tcPr>
                <w:p w14:paraId="79C7604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4" w:type="pct"/>
                  <w:noWrap w:val="0"/>
                  <w:tcMar>
                    <w:top w:w="0" w:type="dxa"/>
                    <w:left w:w="0" w:type="dxa"/>
                    <w:bottom w:w="0" w:type="dxa"/>
                    <w:right w:w="0" w:type="dxa"/>
                  </w:tcMar>
                  <w:vAlign w:val="center"/>
                </w:tcPr>
                <w:p w14:paraId="2042E11E">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437" w:type="pct"/>
                  <w:noWrap w:val="0"/>
                  <w:tcMar>
                    <w:top w:w="0" w:type="dxa"/>
                    <w:left w:w="0" w:type="dxa"/>
                    <w:bottom w:w="0" w:type="dxa"/>
                    <w:right w:w="0" w:type="dxa"/>
                  </w:tcMar>
                  <w:vAlign w:val="center"/>
                </w:tcPr>
                <w:p w14:paraId="1445CDEA">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w:t>
                  </w:r>
                </w:p>
              </w:tc>
              <w:tc>
                <w:tcPr>
                  <w:tcW w:w="623" w:type="pct"/>
                  <w:noWrap w:val="0"/>
                  <w:tcMar>
                    <w:top w:w="0" w:type="dxa"/>
                    <w:left w:w="0" w:type="dxa"/>
                    <w:bottom w:w="0" w:type="dxa"/>
                    <w:right w:w="0" w:type="dxa"/>
                  </w:tcMar>
                  <w:vAlign w:val="center"/>
                </w:tcPr>
                <w:p w14:paraId="4C1C1069">
                  <w:pPr>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69EE31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4C8D53B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8</w:t>
                  </w:r>
                </w:p>
              </w:tc>
              <w:tc>
                <w:tcPr>
                  <w:tcW w:w="303" w:type="pct"/>
                  <w:vMerge w:val="continue"/>
                  <w:noWrap w:val="0"/>
                  <w:tcMar>
                    <w:top w:w="0" w:type="dxa"/>
                    <w:left w:w="0" w:type="dxa"/>
                    <w:bottom w:w="0" w:type="dxa"/>
                    <w:right w:w="0" w:type="dxa"/>
                  </w:tcMar>
                  <w:vAlign w:val="center"/>
                </w:tcPr>
                <w:p w14:paraId="6EBDF5E7">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continue"/>
                  <w:noWrap w:val="0"/>
                  <w:tcMar>
                    <w:top w:w="0" w:type="dxa"/>
                    <w:left w:w="0" w:type="dxa"/>
                    <w:bottom w:w="0" w:type="dxa"/>
                    <w:right w:w="0" w:type="dxa"/>
                  </w:tcMar>
                  <w:vAlign w:val="center"/>
                </w:tcPr>
                <w:p w14:paraId="111217F5">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p>
              </w:tc>
              <w:tc>
                <w:tcPr>
                  <w:tcW w:w="1066" w:type="pct"/>
                  <w:vMerge w:val="restart"/>
                  <w:noWrap w:val="0"/>
                  <w:tcMar>
                    <w:top w:w="0" w:type="dxa"/>
                    <w:left w:w="0" w:type="dxa"/>
                    <w:bottom w:w="0" w:type="dxa"/>
                    <w:right w:w="0" w:type="dxa"/>
                  </w:tcMar>
                  <w:vAlign w:val="center"/>
                </w:tcPr>
                <w:p w14:paraId="5492221B">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单螺杆挤出机</w:t>
                  </w:r>
                </w:p>
              </w:tc>
              <w:tc>
                <w:tcPr>
                  <w:tcW w:w="792" w:type="pct"/>
                  <w:noWrap w:val="0"/>
                  <w:tcMar>
                    <w:top w:w="0" w:type="dxa"/>
                    <w:left w:w="0" w:type="dxa"/>
                    <w:bottom w:w="0" w:type="dxa"/>
                    <w:right w:w="0" w:type="dxa"/>
                  </w:tcMar>
                  <w:vAlign w:val="center"/>
                </w:tcPr>
                <w:p w14:paraId="7822F248">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SJ-65</w:t>
                  </w:r>
                </w:p>
              </w:tc>
              <w:tc>
                <w:tcPr>
                  <w:tcW w:w="498" w:type="pct"/>
                  <w:noWrap w:val="0"/>
                  <w:tcMar>
                    <w:top w:w="0" w:type="dxa"/>
                    <w:left w:w="0" w:type="dxa"/>
                    <w:bottom w:w="0" w:type="dxa"/>
                    <w:right w:w="0" w:type="dxa"/>
                  </w:tcMar>
                  <w:vAlign w:val="center"/>
                </w:tcPr>
                <w:p w14:paraId="02C6616A">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4" w:type="pct"/>
                  <w:noWrap w:val="0"/>
                  <w:tcMar>
                    <w:top w:w="0" w:type="dxa"/>
                    <w:left w:w="0" w:type="dxa"/>
                    <w:bottom w:w="0" w:type="dxa"/>
                    <w:right w:w="0" w:type="dxa"/>
                  </w:tcMar>
                  <w:vAlign w:val="center"/>
                </w:tcPr>
                <w:p w14:paraId="43697CE1">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7" w:type="pct"/>
                  <w:noWrap w:val="0"/>
                  <w:tcMar>
                    <w:top w:w="0" w:type="dxa"/>
                    <w:left w:w="0" w:type="dxa"/>
                    <w:bottom w:w="0" w:type="dxa"/>
                    <w:right w:w="0" w:type="dxa"/>
                  </w:tcMar>
                  <w:vAlign w:val="center"/>
                </w:tcPr>
                <w:p w14:paraId="17EC020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79B6C3AA">
                  <w:pPr>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20FBBC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3F2F4372">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9</w:t>
                  </w:r>
                </w:p>
              </w:tc>
              <w:tc>
                <w:tcPr>
                  <w:tcW w:w="303" w:type="pct"/>
                  <w:vMerge w:val="continue"/>
                  <w:noWrap w:val="0"/>
                  <w:tcMar>
                    <w:top w:w="0" w:type="dxa"/>
                    <w:left w:w="0" w:type="dxa"/>
                    <w:bottom w:w="0" w:type="dxa"/>
                    <w:right w:w="0" w:type="dxa"/>
                  </w:tcMar>
                  <w:vAlign w:val="center"/>
                </w:tcPr>
                <w:p w14:paraId="5CF7DE93">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kern w:val="2"/>
                      <w:sz w:val="21"/>
                      <w:szCs w:val="21"/>
                      <w:lang w:val="en-US" w:eastAsia="zh-CN" w:bidi="ar-SA"/>
                    </w:rPr>
                  </w:pPr>
                </w:p>
              </w:tc>
              <w:tc>
                <w:tcPr>
                  <w:tcW w:w="588" w:type="pct"/>
                  <w:vMerge w:val="continue"/>
                  <w:noWrap w:val="0"/>
                  <w:tcMar>
                    <w:top w:w="0" w:type="dxa"/>
                    <w:left w:w="0" w:type="dxa"/>
                    <w:bottom w:w="0" w:type="dxa"/>
                    <w:right w:w="0" w:type="dxa"/>
                  </w:tcMar>
                  <w:vAlign w:val="center"/>
                </w:tcPr>
                <w:p w14:paraId="7B802C10">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p>
              </w:tc>
              <w:tc>
                <w:tcPr>
                  <w:tcW w:w="1066" w:type="pct"/>
                  <w:vMerge w:val="continue"/>
                  <w:noWrap w:val="0"/>
                  <w:tcMar>
                    <w:top w:w="0" w:type="dxa"/>
                    <w:left w:w="0" w:type="dxa"/>
                    <w:bottom w:w="0" w:type="dxa"/>
                    <w:right w:w="0" w:type="dxa"/>
                  </w:tcMar>
                  <w:vAlign w:val="center"/>
                </w:tcPr>
                <w:p w14:paraId="065B137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p>
              </w:tc>
              <w:tc>
                <w:tcPr>
                  <w:tcW w:w="792" w:type="pct"/>
                  <w:noWrap w:val="0"/>
                  <w:tcMar>
                    <w:top w:w="0" w:type="dxa"/>
                    <w:left w:w="0" w:type="dxa"/>
                    <w:bottom w:w="0" w:type="dxa"/>
                    <w:right w:w="0" w:type="dxa"/>
                  </w:tcMar>
                  <w:vAlign w:val="center"/>
                </w:tcPr>
                <w:p w14:paraId="69048ADB">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SJ-30</w:t>
                  </w:r>
                </w:p>
              </w:tc>
              <w:tc>
                <w:tcPr>
                  <w:tcW w:w="498" w:type="pct"/>
                  <w:noWrap w:val="0"/>
                  <w:tcMar>
                    <w:top w:w="0" w:type="dxa"/>
                    <w:left w:w="0" w:type="dxa"/>
                    <w:bottom w:w="0" w:type="dxa"/>
                    <w:right w:w="0" w:type="dxa"/>
                  </w:tcMar>
                  <w:vAlign w:val="center"/>
                </w:tcPr>
                <w:p w14:paraId="5E7FF68F">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4" w:type="pct"/>
                  <w:noWrap w:val="0"/>
                  <w:tcMar>
                    <w:top w:w="0" w:type="dxa"/>
                    <w:left w:w="0" w:type="dxa"/>
                    <w:bottom w:w="0" w:type="dxa"/>
                    <w:right w:w="0" w:type="dxa"/>
                  </w:tcMar>
                  <w:vAlign w:val="center"/>
                </w:tcPr>
                <w:p w14:paraId="11DC6EDB">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7" w:type="pct"/>
                  <w:noWrap w:val="0"/>
                  <w:tcMar>
                    <w:top w:w="0" w:type="dxa"/>
                    <w:left w:w="0" w:type="dxa"/>
                    <w:bottom w:w="0" w:type="dxa"/>
                    <w:right w:w="0" w:type="dxa"/>
                  </w:tcMar>
                  <w:vAlign w:val="center"/>
                </w:tcPr>
                <w:p w14:paraId="535255D6">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24E5FAE1">
                  <w:pPr>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2468CC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407DB12A">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10</w:t>
                  </w:r>
                </w:p>
              </w:tc>
              <w:tc>
                <w:tcPr>
                  <w:tcW w:w="303" w:type="pct"/>
                  <w:vMerge w:val="continue"/>
                  <w:noWrap w:val="0"/>
                  <w:tcMar>
                    <w:top w:w="0" w:type="dxa"/>
                    <w:left w:w="0" w:type="dxa"/>
                    <w:bottom w:w="0" w:type="dxa"/>
                    <w:right w:w="0" w:type="dxa"/>
                  </w:tcMar>
                  <w:vAlign w:val="center"/>
                </w:tcPr>
                <w:p w14:paraId="55224CC0">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noWrap w:val="0"/>
                  <w:tcMar>
                    <w:top w:w="0" w:type="dxa"/>
                    <w:left w:w="0" w:type="dxa"/>
                    <w:bottom w:w="0" w:type="dxa"/>
                    <w:right w:w="0" w:type="dxa"/>
                  </w:tcMar>
                  <w:vAlign w:val="center"/>
                </w:tcPr>
                <w:p w14:paraId="4CCF858F">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切粒</w:t>
                  </w:r>
                </w:p>
              </w:tc>
              <w:tc>
                <w:tcPr>
                  <w:tcW w:w="1066" w:type="pct"/>
                  <w:noWrap w:val="0"/>
                  <w:tcMar>
                    <w:top w:w="0" w:type="dxa"/>
                    <w:left w:w="0" w:type="dxa"/>
                    <w:bottom w:w="0" w:type="dxa"/>
                    <w:right w:w="0" w:type="dxa"/>
                  </w:tcMar>
                  <w:vAlign w:val="center"/>
                </w:tcPr>
                <w:p w14:paraId="3E8DA005">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水下切粒机</w:t>
                  </w:r>
                </w:p>
              </w:tc>
              <w:tc>
                <w:tcPr>
                  <w:tcW w:w="792" w:type="pct"/>
                  <w:noWrap w:val="0"/>
                  <w:tcMar>
                    <w:top w:w="0" w:type="dxa"/>
                    <w:left w:w="0" w:type="dxa"/>
                    <w:bottom w:w="0" w:type="dxa"/>
                    <w:right w:w="0" w:type="dxa"/>
                  </w:tcMar>
                  <w:vAlign w:val="center"/>
                </w:tcPr>
                <w:p w14:paraId="16DDC8DF">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TM800</w:t>
                  </w:r>
                </w:p>
              </w:tc>
              <w:tc>
                <w:tcPr>
                  <w:tcW w:w="498" w:type="pct"/>
                  <w:noWrap w:val="0"/>
                  <w:tcMar>
                    <w:top w:w="0" w:type="dxa"/>
                    <w:left w:w="0" w:type="dxa"/>
                    <w:bottom w:w="0" w:type="dxa"/>
                    <w:right w:w="0" w:type="dxa"/>
                  </w:tcMar>
                  <w:vAlign w:val="center"/>
                </w:tcPr>
                <w:p w14:paraId="48186B96">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434" w:type="pct"/>
                  <w:noWrap w:val="0"/>
                  <w:tcMar>
                    <w:top w:w="0" w:type="dxa"/>
                    <w:left w:w="0" w:type="dxa"/>
                    <w:bottom w:w="0" w:type="dxa"/>
                    <w:right w:w="0" w:type="dxa"/>
                  </w:tcMar>
                  <w:vAlign w:val="center"/>
                </w:tcPr>
                <w:p w14:paraId="6254A216">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437" w:type="pct"/>
                  <w:noWrap w:val="0"/>
                  <w:tcMar>
                    <w:top w:w="0" w:type="dxa"/>
                    <w:left w:w="0" w:type="dxa"/>
                    <w:bottom w:w="0" w:type="dxa"/>
                    <w:right w:w="0" w:type="dxa"/>
                  </w:tcMar>
                  <w:vAlign w:val="center"/>
                </w:tcPr>
                <w:p w14:paraId="30FF13F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623" w:type="pct"/>
                  <w:noWrap w:val="0"/>
                  <w:tcMar>
                    <w:top w:w="0" w:type="dxa"/>
                    <w:left w:w="0" w:type="dxa"/>
                    <w:bottom w:w="0" w:type="dxa"/>
                    <w:right w:w="0" w:type="dxa"/>
                  </w:tcMar>
                  <w:vAlign w:val="center"/>
                </w:tcPr>
                <w:p w14:paraId="44B54A7D">
                  <w:pPr>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003343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05731995">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11</w:t>
                  </w:r>
                </w:p>
              </w:tc>
              <w:tc>
                <w:tcPr>
                  <w:tcW w:w="303" w:type="pct"/>
                  <w:vMerge w:val="continue"/>
                  <w:noWrap w:val="0"/>
                  <w:tcMar>
                    <w:top w:w="0" w:type="dxa"/>
                    <w:left w:w="0" w:type="dxa"/>
                    <w:bottom w:w="0" w:type="dxa"/>
                    <w:right w:w="0" w:type="dxa"/>
                  </w:tcMar>
                  <w:vAlign w:val="center"/>
                </w:tcPr>
                <w:p w14:paraId="60B2D260">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noWrap w:val="0"/>
                  <w:tcMar>
                    <w:top w:w="0" w:type="dxa"/>
                    <w:left w:w="0" w:type="dxa"/>
                    <w:bottom w:w="0" w:type="dxa"/>
                    <w:right w:w="0" w:type="dxa"/>
                  </w:tcMar>
                  <w:vAlign w:val="center"/>
                </w:tcPr>
                <w:p w14:paraId="69D6DB4A">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筛分</w:t>
                  </w:r>
                </w:p>
              </w:tc>
              <w:tc>
                <w:tcPr>
                  <w:tcW w:w="1066" w:type="pct"/>
                  <w:noWrap w:val="0"/>
                  <w:tcMar>
                    <w:top w:w="0" w:type="dxa"/>
                    <w:left w:w="0" w:type="dxa"/>
                    <w:bottom w:w="0" w:type="dxa"/>
                    <w:right w:w="0" w:type="dxa"/>
                  </w:tcMar>
                  <w:vAlign w:val="center"/>
                </w:tcPr>
                <w:p w14:paraId="5E305F40">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振动筛</w:t>
                  </w:r>
                </w:p>
              </w:tc>
              <w:tc>
                <w:tcPr>
                  <w:tcW w:w="792" w:type="pct"/>
                  <w:noWrap w:val="0"/>
                  <w:tcMar>
                    <w:top w:w="0" w:type="dxa"/>
                    <w:left w:w="0" w:type="dxa"/>
                    <w:bottom w:w="0" w:type="dxa"/>
                    <w:right w:w="0" w:type="dxa"/>
                  </w:tcMar>
                  <w:vAlign w:val="center"/>
                </w:tcPr>
                <w:p w14:paraId="3EF37B2D">
                  <w:pPr>
                    <w:keepNext w:val="0"/>
                    <w:keepLines w:val="0"/>
                    <w:pageBreakBefore w:val="0"/>
                    <w:kinsoku/>
                    <w:wordWrap/>
                    <w:overflowPunct/>
                    <w:topLinePunct w:val="0"/>
                    <w:bidi w:val="0"/>
                    <w:adjustRightInd w:val="0"/>
                    <w:snapToGrid w:val="0"/>
                    <w:jc w:val="center"/>
                    <w:rPr>
                      <w:rFonts w:hint="default" w:ascii="Times New Roman" w:hAnsi="Times New Roman"/>
                      <w:bCs/>
                      <w:color w:val="auto"/>
                      <w:kern w:val="2"/>
                      <w:sz w:val="21"/>
                      <w:szCs w:val="21"/>
                      <w:lang w:val="en-US" w:eastAsia="zh-CN" w:bidi="ar-SA"/>
                    </w:rPr>
                  </w:pPr>
                  <w:r>
                    <w:rPr>
                      <w:rFonts w:ascii="Times New Roman" w:hAnsi="Times New Roman"/>
                      <w:color w:val="auto"/>
                      <w:sz w:val="21"/>
                      <w:szCs w:val="21"/>
                    </w:rPr>
                    <w:t>/</w:t>
                  </w:r>
                </w:p>
              </w:tc>
              <w:tc>
                <w:tcPr>
                  <w:tcW w:w="498" w:type="pct"/>
                  <w:noWrap w:val="0"/>
                  <w:tcMar>
                    <w:top w:w="0" w:type="dxa"/>
                    <w:left w:w="0" w:type="dxa"/>
                    <w:bottom w:w="0" w:type="dxa"/>
                    <w:right w:w="0" w:type="dxa"/>
                  </w:tcMar>
                  <w:vAlign w:val="center"/>
                </w:tcPr>
                <w:p w14:paraId="352B063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bCs/>
                      <w:color w:val="auto"/>
                      <w:kern w:val="2"/>
                      <w:sz w:val="21"/>
                      <w:szCs w:val="21"/>
                      <w:lang w:val="en-US" w:eastAsia="zh-CN" w:bidi="ar-SA"/>
                    </w:rPr>
                  </w:pPr>
                  <w:r>
                    <w:rPr>
                      <w:rFonts w:ascii="Times New Roman" w:hAnsi="Times New Roman"/>
                      <w:bCs/>
                      <w:color w:val="auto"/>
                      <w:sz w:val="21"/>
                      <w:szCs w:val="21"/>
                    </w:rPr>
                    <w:t>1</w:t>
                  </w:r>
                </w:p>
              </w:tc>
              <w:tc>
                <w:tcPr>
                  <w:tcW w:w="434" w:type="pct"/>
                  <w:noWrap w:val="0"/>
                  <w:tcMar>
                    <w:top w:w="0" w:type="dxa"/>
                    <w:left w:w="0" w:type="dxa"/>
                    <w:bottom w:w="0" w:type="dxa"/>
                    <w:right w:w="0" w:type="dxa"/>
                  </w:tcMar>
                  <w:vAlign w:val="center"/>
                </w:tcPr>
                <w:p w14:paraId="1FE82FC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437" w:type="pct"/>
                  <w:noWrap w:val="0"/>
                  <w:tcMar>
                    <w:top w:w="0" w:type="dxa"/>
                    <w:left w:w="0" w:type="dxa"/>
                    <w:bottom w:w="0" w:type="dxa"/>
                    <w:right w:w="0" w:type="dxa"/>
                  </w:tcMar>
                  <w:vAlign w:val="center"/>
                </w:tcPr>
                <w:p w14:paraId="3D3C8774">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w:t>
                  </w:r>
                </w:p>
              </w:tc>
              <w:tc>
                <w:tcPr>
                  <w:tcW w:w="623" w:type="pct"/>
                  <w:noWrap w:val="0"/>
                  <w:tcMar>
                    <w:top w:w="0" w:type="dxa"/>
                    <w:left w:w="0" w:type="dxa"/>
                    <w:bottom w:w="0" w:type="dxa"/>
                    <w:right w:w="0" w:type="dxa"/>
                  </w:tcMar>
                  <w:vAlign w:val="center"/>
                </w:tcPr>
                <w:p w14:paraId="5AA94AD8">
                  <w:pPr>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71D2DC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5CFE2A5C">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12</w:t>
                  </w:r>
                </w:p>
              </w:tc>
              <w:tc>
                <w:tcPr>
                  <w:tcW w:w="303" w:type="pct"/>
                  <w:vMerge w:val="continue"/>
                  <w:noWrap w:val="0"/>
                  <w:tcMar>
                    <w:top w:w="0" w:type="dxa"/>
                    <w:left w:w="0" w:type="dxa"/>
                    <w:bottom w:w="0" w:type="dxa"/>
                    <w:right w:w="0" w:type="dxa"/>
                  </w:tcMar>
                  <w:vAlign w:val="center"/>
                </w:tcPr>
                <w:p w14:paraId="259E1095">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noWrap w:val="0"/>
                  <w:tcMar>
                    <w:top w:w="0" w:type="dxa"/>
                    <w:left w:w="0" w:type="dxa"/>
                    <w:bottom w:w="0" w:type="dxa"/>
                    <w:right w:w="0" w:type="dxa"/>
                  </w:tcMar>
                  <w:vAlign w:val="center"/>
                </w:tcPr>
                <w:p w14:paraId="0DB606F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脱水</w:t>
                  </w:r>
                </w:p>
              </w:tc>
              <w:tc>
                <w:tcPr>
                  <w:tcW w:w="1066" w:type="pct"/>
                  <w:noWrap w:val="0"/>
                  <w:tcMar>
                    <w:top w:w="0" w:type="dxa"/>
                    <w:left w:w="0" w:type="dxa"/>
                    <w:bottom w:w="0" w:type="dxa"/>
                    <w:right w:w="0" w:type="dxa"/>
                  </w:tcMar>
                  <w:vAlign w:val="center"/>
                </w:tcPr>
                <w:p w14:paraId="337D3E6B">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脱水机</w:t>
                  </w:r>
                </w:p>
              </w:tc>
              <w:tc>
                <w:tcPr>
                  <w:tcW w:w="792" w:type="pct"/>
                  <w:noWrap w:val="0"/>
                  <w:tcMar>
                    <w:top w:w="0" w:type="dxa"/>
                    <w:left w:w="0" w:type="dxa"/>
                    <w:bottom w:w="0" w:type="dxa"/>
                    <w:right w:w="0" w:type="dxa"/>
                  </w:tcMar>
                  <w:vAlign w:val="center"/>
                </w:tcPr>
                <w:p w14:paraId="0D5DC459">
                  <w:pPr>
                    <w:keepNext w:val="0"/>
                    <w:keepLines w:val="0"/>
                    <w:pageBreakBefore w:val="0"/>
                    <w:kinsoku/>
                    <w:wordWrap/>
                    <w:overflowPunct/>
                    <w:topLinePunct w:val="0"/>
                    <w:bidi w:val="0"/>
                    <w:adjustRightInd w:val="0"/>
                    <w:snapToGrid w:val="0"/>
                    <w:jc w:val="center"/>
                    <w:rPr>
                      <w:rFonts w:hint="default" w:ascii="Times New Roman" w:hAnsi="Times New Roman"/>
                      <w:bCs/>
                      <w:color w:val="auto"/>
                      <w:kern w:val="2"/>
                      <w:sz w:val="21"/>
                      <w:szCs w:val="21"/>
                      <w:lang w:val="en-US" w:eastAsia="zh-CN" w:bidi="ar-SA"/>
                    </w:rPr>
                  </w:pPr>
                  <w:r>
                    <w:rPr>
                      <w:rFonts w:ascii="Times New Roman" w:hAnsi="Times New Roman"/>
                      <w:color w:val="auto"/>
                      <w:sz w:val="21"/>
                      <w:szCs w:val="21"/>
                    </w:rPr>
                    <w:t>/</w:t>
                  </w:r>
                </w:p>
              </w:tc>
              <w:tc>
                <w:tcPr>
                  <w:tcW w:w="498" w:type="pct"/>
                  <w:noWrap w:val="0"/>
                  <w:tcMar>
                    <w:top w:w="0" w:type="dxa"/>
                    <w:left w:w="0" w:type="dxa"/>
                    <w:bottom w:w="0" w:type="dxa"/>
                    <w:right w:w="0" w:type="dxa"/>
                  </w:tcMar>
                  <w:vAlign w:val="center"/>
                </w:tcPr>
                <w:p w14:paraId="59D5A6F0">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2</w:t>
                  </w:r>
                </w:p>
              </w:tc>
              <w:tc>
                <w:tcPr>
                  <w:tcW w:w="434" w:type="pct"/>
                  <w:noWrap w:val="0"/>
                  <w:tcMar>
                    <w:top w:w="0" w:type="dxa"/>
                    <w:left w:w="0" w:type="dxa"/>
                    <w:bottom w:w="0" w:type="dxa"/>
                    <w:right w:w="0" w:type="dxa"/>
                  </w:tcMar>
                  <w:vAlign w:val="center"/>
                </w:tcPr>
                <w:p w14:paraId="7AA75695">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437" w:type="pct"/>
                  <w:noWrap w:val="0"/>
                  <w:tcMar>
                    <w:top w:w="0" w:type="dxa"/>
                    <w:left w:w="0" w:type="dxa"/>
                    <w:bottom w:w="0" w:type="dxa"/>
                    <w:right w:w="0" w:type="dxa"/>
                  </w:tcMar>
                  <w:vAlign w:val="center"/>
                </w:tcPr>
                <w:p w14:paraId="1A920FFA">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6363F149">
                  <w:pPr>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4FEAAA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0E363F66">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13</w:t>
                  </w:r>
                </w:p>
              </w:tc>
              <w:tc>
                <w:tcPr>
                  <w:tcW w:w="303" w:type="pct"/>
                  <w:vMerge w:val="continue"/>
                  <w:noWrap w:val="0"/>
                  <w:tcMar>
                    <w:top w:w="0" w:type="dxa"/>
                    <w:left w:w="0" w:type="dxa"/>
                    <w:bottom w:w="0" w:type="dxa"/>
                    <w:right w:w="0" w:type="dxa"/>
                  </w:tcMar>
                  <w:vAlign w:val="center"/>
                </w:tcPr>
                <w:p w14:paraId="6A82AAFD">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noWrap w:val="0"/>
                  <w:tcMar>
                    <w:top w:w="0" w:type="dxa"/>
                    <w:left w:w="0" w:type="dxa"/>
                    <w:bottom w:w="0" w:type="dxa"/>
                    <w:right w:w="0" w:type="dxa"/>
                  </w:tcMar>
                  <w:vAlign w:val="center"/>
                </w:tcPr>
                <w:p w14:paraId="3FCF8151">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破碎</w:t>
                  </w:r>
                </w:p>
              </w:tc>
              <w:tc>
                <w:tcPr>
                  <w:tcW w:w="1066" w:type="pct"/>
                  <w:noWrap w:val="0"/>
                  <w:tcMar>
                    <w:top w:w="0" w:type="dxa"/>
                    <w:left w:w="0" w:type="dxa"/>
                    <w:bottom w:w="0" w:type="dxa"/>
                    <w:right w:w="0" w:type="dxa"/>
                  </w:tcMar>
                  <w:vAlign w:val="center"/>
                </w:tcPr>
                <w:p w14:paraId="2B6E6CB5">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破碎机</w:t>
                  </w:r>
                </w:p>
              </w:tc>
              <w:tc>
                <w:tcPr>
                  <w:tcW w:w="792" w:type="pct"/>
                  <w:noWrap w:val="0"/>
                  <w:tcMar>
                    <w:top w:w="0" w:type="dxa"/>
                    <w:left w:w="0" w:type="dxa"/>
                    <w:bottom w:w="0" w:type="dxa"/>
                    <w:right w:w="0" w:type="dxa"/>
                  </w:tcMar>
                  <w:vAlign w:val="center"/>
                </w:tcPr>
                <w:p w14:paraId="3E359DC7">
                  <w:pPr>
                    <w:keepNext w:val="0"/>
                    <w:keepLines w:val="0"/>
                    <w:pageBreakBefore w:val="0"/>
                    <w:kinsoku/>
                    <w:wordWrap/>
                    <w:overflowPunct/>
                    <w:topLinePunct w:val="0"/>
                    <w:bidi w:val="0"/>
                    <w:adjustRightInd w:val="0"/>
                    <w:snapToGrid w:val="0"/>
                    <w:jc w:val="center"/>
                    <w:rPr>
                      <w:rFonts w:hint="default" w:ascii="Times New Roman" w:hAnsi="Times New Roman"/>
                      <w:bCs/>
                      <w:color w:val="auto"/>
                      <w:kern w:val="2"/>
                      <w:sz w:val="21"/>
                      <w:szCs w:val="21"/>
                      <w:lang w:val="en-US" w:eastAsia="zh-CN" w:bidi="ar-SA"/>
                    </w:rPr>
                  </w:pPr>
                  <w:r>
                    <w:rPr>
                      <w:rFonts w:ascii="Times New Roman" w:hAnsi="Times New Roman"/>
                      <w:color w:val="auto"/>
                      <w:sz w:val="21"/>
                      <w:szCs w:val="21"/>
                    </w:rPr>
                    <w:t>/</w:t>
                  </w:r>
                </w:p>
              </w:tc>
              <w:tc>
                <w:tcPr>
                  <w:tcW w:w="498" w:type="pct"/>
                  <w:noWrap w:val="0"/>
                  <w:tcMar>
                    <w:top w:w="0" w:type="dxa"/>
                    <w:left w:w="0" w:type="dxa"/>
                    <w:bottom w:w="0" w:type="dxa"/>
                    <w:right w:w="0" w:type="dxa"/>
                  </w:tcMar>
                  <w:vAlign w:val="center"/>
                </w:tcPr>
                <w:p w14:paraId="70B6013B">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1894479B">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437" w:type="pct"/>
                  <w:noWrap w:val="0"/>
                  <w:tcMar>
                    <w:top w:w="0" w:type="dxa"/>
                    <w:left w:w="0" w:type="dxa"/>
                    <w:bottom w:w="0" w:type="dxa"/>
                    <w:right w:w="0" w:type="dxa"/>
                  </w:tcMar>
                  <w:vAlign w:val="center"/>
                </w:tcPr>
                <w:p w14:paraId="7585174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w:t>
                  </w:r>
                </w:p>
              </w:tc>
              <w:tc>
                <w:tcPr>
                  <w:tcW w:w="623" w:type="pct"/>
                  <w:noWrap w:val="0"/>
                  <w:tcMar>
                    <w:top w:w="0" w:type="dxa"/>
                    <w:left w:w="0" w:type="dxa"/>
                    <w:bottom w:w="0" w:type="dxa"/>
                    <w:right w:w="0" w:type="dxa"/>
                  </w:tcMar>
                  <w:vAlign w:val="center"/>
                </w:tcPr>
                <w:p w14:paraId="56FC0C68">
                  <w:pPr>
                    <w:keepNext w:val="0"/>
                    <w:keepLines w:val="0"/>
                    <w:pageBreakBefore w:val="0"/>
                    <w:kinsoku/>
                    <w:wordWrap/>
                    <w:overflowPunct/>
                    <w:topLinePunct w:val="0"/>
                    <w:bidi w:val="0"/>
                    <w:adjustRightInd w:val="0"/>
                    <w:snapToGrid w:val="0"/>
                    <w:spacing w:line="240" w:lineRule="auto"/>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301E86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0DD23C7F">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14</w:t>
                  </w:r>
                </w:p>
              </w:tc>
              <w:tc>
                <w:tcPr>
                  <w:tcW w:w="303" w:type="pct"/>
                  <w:vMerge w:val="continue"/>
                  <w:noWrap w:val="0"/>
                  <w:tcMar>
                    <w:top w:w="0" w:type="dxa"/>
                    <w:left w:w="0" w:type="dxa"/>
                    <w:bottom w:w="0" w:type="dxa"/>
                    <w:right w:w="0" w:type="dxa"/>
                  </w:tcMar>
                  <w:vAlign w:val="center"/>
                </w:tcPr>
                <w:p w14:paraId="3ED9600F">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noWrap w:val="0"/>
                  <w:tcMar>
                    <w:top w:w="0" w:type="dxa"/>
                    <w:left w:w="0" w:type="dxa"/>
                    <w:bottom w:w="0" w:type="dxa"/>
                    <w:right w:w="0" w:type="dxa"/>
                  </w:tcMar>
                  <w:vAlign w:val="center"/>
                </w:tcPr>
                <w:p w14:paraId="630CCA9E">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称量</w:t>
                  </w:r>
                </w:p>
              </w:tc>
              <w:tc>
                <w:tcPr>
                  <w:tcW w:w="1066" w:type="pct"/>
                  <w:noWrap w:val="0"/>
                  <w:tcMar>
                    <w:top w:w="0" w:type="dxa"/>
                    <w:left w:w="0" w:type="dxa"/>
                    <w:bottom w:w="0" w:type="dxa"/>
                    <w:right w:w="0" w:type="dxa"/>
                  </w:tcMar>
                  <w:vAlign w:val="center"/>
                </w:tcPr>
                <w:p w14:paraId="6325DFA1">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失重称</w:t>
                  </w:r>
                </w:p>
              </w:tc>
              <w:tc>
                <w:tcPr>
                  <w:tcW w:w="792" w:type="pct"/>
                  <w:noWrap w:val="0"/>
                  <w:tcMar>
                    <w:top w:w="0" w:type="dxa"/>
                    <w:left w:w="0" w:type="dxa"/>
                    <w:bottom w:w="0" w:type="dxa"/>
                    <w:right w:w="0" w:type="dxa"/>
                  </w:tcMar>
                  <w:vAlign w:val="center"/>
                </w:tcPr>
                <w:p w14:paraId="28643850">
                  <w:pPr>
                    <w:keepNext w:val="0"/>
                    <w:keepLines w:val="0"/>
                    <w:pageBreakBefore w:val="0"/>
                    <w:kinsoku/>
                    <w:wordWrap/>
                    <w:overflowPunct/>
                    <w:topLinePunct w:val="0"/>
                    <w:bidi w:val="0"/>
                    <w:adjustRightInd w:val="0"/>
                    <w:snapToGrid w:val="0"/>
                    <w:jc w:val="center"/>
                    <w:rPr>
                      <w:rFonts w:hint="default" w:ascii="Times New Roman" w:hAnsi="Times New Roman"/>
                      <w:bCs/>
                      <w:color w:val="auto"/>
                      <w:kern w:val="2"/>
                      <w:sz w:val="21"/>
                      <w:szCs w:val="21"/>
                      <w:lang w:val="en-US" w:eastAsia="zh-CN" w:bidi="ar-SA"/>
                    </w:rPr>
                  </w:pPr>
                  <w:r>
                    <w:rPr>
                      <w:rFonts w:ascii="Times New Roman" w:hAnsi="Times New Roman"/>
                      <w:color w:val="auto"/>
                      <w:sz w:val="21"/>
                      <w:szCs w:val="21"/>
                    </w:rPr>
                    <w:t>/</w:t>
                  </w:r>
                </w:p>
              </w:tc>
              <w:tc>
                <w:tcPr>
                  <w:tcW w:w="498" w:type="pct"/>
                  <w:noWrap w:val="0"/>
                  <w:tcMar>
                    <w:top w:w="0" w:type="dxa"/>
                    <w:left w:w="0" w:type="dxa"/>
                    <w:bottom w:w="0" w:type="dxa"/>
                    <w:right w:w="0" w:type="dxa"/>
                  </w:tcMar>
                  <w:vAlign w:val="center"/>
                </w:tcPr>
                <w:p w14:paraId="538F6349">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4</w:t>
                  </w:r>
                </w:p>
              </w:tc>
              <w:tc>
                <w:tcPr>
                  <w:tcW w:w="434" w:type="pct"/>
                  <w:noWrap w:val="0"/>
                  <w:tcMar>
                    <w:top w:w="0" w:type="dxa"/>
                    <w:left w:w="0" w:type="dxa"/>
                    <w:bottom w:w="0" w:type="dxa"/>
                    <w:right w:w="0" w:type="dxa"/>
                  </w:tcMar>
                  <w:vAlign w:val="center"/>
                </w:tcPr>
                <w:p w14:paraId="460658F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w:t>
                  </w:r>
                </w:p>
              </w:tc>
              <w:tc>
                <w:tcPr>
                  <w:tcW w:w="437" w:type="pct"/>
                  <w:noWrap w:val="0"/>
                  <w:tcMar>
                    <w:top w:w="0" w:type="dxa"/>
                    <w:left w:w="0" w:type="dxa"/>
                    <w:bottom w:w="0" w:type="dxa"/>
                    <w:right w:w="0" w:type="dxa"/>
                  </w:tcMar>
                  <w:vAlign w:val="center"/>
                </w:tcPr>
                <w:p w14:paraId="19F0F51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32B230FF">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b w:val="0"/>
                      <w:bCs/>
                      <w:color w:val="auto"/>
                      <w:kern w:val="2"/>
                      <w:sz w:val="21"/>
                      <w:szCs w:val="21"/>
                      <w:lang w:val="en-US" w:eastAsia="zh-CN" w:bidi="ar-SA"/>
                    </w:rPr>
                    <w:t>新建</w:t>
                  </w:r>
                </w:p>
              </w:tc>
            </w:tr>
            <w:tr w14:paraId="253DD7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4E2F6E3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15</w:t>
                  </w:r>
                </w:p>
              </w:tc>
              <w:tc>
                <w:tcPr>
                  <w:tcW w:w="303" w:type="pct"/>
                  <w:vMerge w:val="continue"/>
                  <w:noWrap w:val="0"/>
                  <w:tcMar>
                    <w:top w:w="0" w:type="dxa"/>
                    <w:left w:w="0" w:type="dxa"/>
                    <w:bottom w:w="0" w:type="dxa"/>
                    <w:right w:w="0" w:type="dxa"/>
                  </w:tcMar>
                  <w:vAlign w:val="center"/>
                </w:tcPr>
                <w:p w14:paraId="63F376D2">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noWrap w:val="0"/>
                  <w:tcMar>
                    <w:top w:w="0" w:type="dxa"/>
                    <w:left w:w="0" w:type="dxa"/>
                    <w:bottom w:w="0" w:type="dxa"/>
                    <w:right w:w="0" w:type="dxa"/>
                  </w:tcMar>
                  <w:vAlign w:val="center"/>
                </w:tcPr>
                <w:p w14:paraId="61ED5E48">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烘干</w:t>
                  </w:r>
                </w:p>
              </w:tc>
              <w:tc>
                <w:tcPr>
                  <w:tcW w:w="1066" w:type="pct"/>
                  <w:noWrap w:val="0"/>
                  <w:tcMar>
                    <w:top w:w="0" w:type="dxa"/>
                    <w:left w:w="0" w:type="dxa"/>
                    <w:bottom w:w="0" w:type="dxa"/>
                    <w:right w:w="0" w:type="dxa"/>
                  </w:tcMar>
                  <w:vAlign w:val="center"/>
                </w:tcPr>
                <w:p w14:paraId="03EFB261">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烘干机</w:t>
                  </w:r>
                </w:p>
              </w:tc>
              <w:tc>
                <w:tcPr>
                  <w:tcW w:w="792" w:type="pct"/>
                  <w:noWrap w:val="0"/>
                  <w:tcMar>
                    <w:top w:w="0" w:type="dxa"/>
                    <w:left w:w="0" w:type="dxa"/>
                    <w:bottom w:w="0" w:type="dxa"/>
                    <w:right w:w="0" w:type="dxa"/>
                  </w:tcMar>
                  <w:vAlign w:val="center"/>
                </w:tcPr>
                <w:p w14:paraId="1622DB34">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JB3000</w:t>
                  </w:r>
                </w:p>
              </w:tc>
              <w:tc>
                <w:tcPr>
                  <w:tcW w:w="498" w:type="pct"/>
                  <w:noWrap w:val="0"/>
                  <w:tcMar>
                    <w:top w:w="0" w:type="dxa"/>
                    <w:left w:w="0" w:type="dxa"/>
                    <w:bottom w:w="0" w:type="dxa"/>
                    <w:right w:w="0" w:type="dxa"/>
                  </w:tcMar>
                  <w:vAlign w:val="center"/>
                </w:tcPr>
                <w:p w14:paraId="7970798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7E775489">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437" w:type="pct"/>
                  <w:noWrap w:val="0"/>
                  <w:tcMar>
                    <w:top w:w="0" w:type="dxa"/>
                    <w:left w:w="0" w:type="dxa"/>
                    <w:bottom w:w="0" w:type="dxa"/>
                    <w:right w:w="0" w:type="dxa"/>
                  </w:tcMar>
                  <w:vAlign w:val="center"/>
                </w:tcPr>
                <w:p w14:paraId="1A593A3E">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+2</w:t>
                  </w:r>
                </w:p>
              </w:tc>
              <w:tc>
                <w:tcPr>
                  <w:tcW w:w="623" w:type="pct"/>
                  <w:noWrap w:val="0"/>
                  <w:tcMar>
                    <w:top w:w="0" w:type="dxa"/>
                    <w:left w:w="0" w:type="dxa"/>
                    <w:bottom w:w="0" w:type="dxa"/>
                    <w:right w:w="0" w:type="dxa"/>
                  </w:tcMar>
                  <w:vAlign w:val="center"/>
                </w:tcPr>
                <w:p w14:paraId="5788176F">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b w:val="0"/>
                      <w:bCs/>
                      <w:color w:val="auto"/>
                      <w:kern w:val="2"/>
                      <w:sz w:val="21"/>
                      <w:szCs w:val="21"/>
                      <w:lang w:val="en-US" w:eastAsia="zh-CN" w:bidi="ar-SA"/>
                    </w:rPr>
                    <w:t>新建</w:t>
                  </w:r>
                </w:p>
              </w:tc>
            </w:tr>
            <w:tr w14:paraId="70176D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352919CA">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16</w:t>
                  </w:r>
                </w:p>
              </w:tc>
              <w:tc>
                <w:tcPr>
                  <w:tcW w:w="303" w:type="pct"/>
                  <w:vMerge w:val="continue"/>
                  <w:noWrap w:val="0"/>
                  <w:tcMar>
                    <w:top w:w="0" w:type="dxa"/>
                    <w:left w:w="0" w:type="dxa"/>
                    <w:bottom w:w="0" w:type="dxa"/>
                    <w:right w:w="0" w:type="dxa"/>
                  </w:tcMar>
                  <w:vAlign w:val="center"/>
                </w:tcPr>
                <w:p w14:paraId="66C24887">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noWrap w:val="0"/>
                  <w:tcMar>
                    <w:top w:w="0" w:type="dxa"/>
                    <w:left w:w="0" w:type="dxa"/>
                    <w:bottom w:w="0" w:type="dxa"/>
                    <w:right w:w="0" w:type="dxa"/>
                  </w:tcMar>
                  <w:vAlign w:val="center"/>
                </w:tcPr>
                <w:p w14:paraId="5208D94F">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包装</w:t>
                  </w:r>
                </w:p>
              </w:tc>
              <w:tc>
                <w:tcPr>
                  <w:tcW w:w="1066" w:type="pct"/>
                  <w:noWrap w:val="0"/>
                  <w:tcMar>
                    <w:top w:w="0" w:type="dxa"/>
                    <w:left w:w="0" w:type="dxa"/>
                    <w:bottom w:w="0" w:type="dxa"/>
                    <w:right w:w="0" w:type="dxa"/>
                  </w:tcMar>
                  <w:vAlign w:val="center"/>
                </w:tcPr>
                <w:p w14:paraId="3B174887">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定量包装机</w:t>
                  </w:r>
                </w:p>
              </w:tc>
              <w:tc>
                <w:tcPr>
                  <w:tcW w:w="792" w:type="pct"/>
                  <w:noWrap w:val="0"/>
                  <w:tcMar>
                    <w:top w:w="0" w:type="dxa"/>
                    <w:left w:w="0" w:type="dxa"/>
                    <w:bottom w:w="0" w:type="dxa"/>
                    <w:right w:w="0" w:type="dxa"/>
                  </w:tcMar>
                  <w:vAlign w:val="center"/>
                </w:tcPr>
                <w:p w14:paraId="6623995E">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color w:val="auto"/>
                      <w:sz w:val="21"/>
                      <w:szCs w:val="21"/>
                    </w:rPr>
                    <w:t>/</w:t>
                  </w:r>
                </w:p>
              </w:tc>
              <w:tc>
                <w:tcPr>
                  <w:tcW w:w="498" w:type="pct"/>
                  <w:noWrap w:val="0"/>
                  <w:tcMar>
                    <w:top w:w="0" w:type="dxa"/>
                    <w:left w:w="0" w:type="dxa"/>
                    <w:bottom w:w="0" w:type="dxa"/>
                    <w:right w:w="0" w:type="dxa"/>
                  </w:tcMar>
                  <w:vAlign w:val="center"/>
                </w:tcPr>
                <w:p w14:paraId="0B23F2A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6714C65F">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7" w:type="pct"/>
                  <w:noWrap w:val="0"/>
                  <w:tcMar>
                    <w:top w:w="0" w:type="dxa"/>
                    <w:left w:w="0" w:type="dxa"/>
                    <w:bottom w:w="0" w:type="dxa"/>
                    <w:right w:w="0" w:type="dxa"/>
                  </w:tcMar>
                  <w:vAlign w:val="center"/>
                </w:tcPr>
                <w:p w14:paraId="39BF475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299DD07E">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b w:val="0"/>
                      <w:bCs/>
                      <w:color w:val="auto"/>
                      <w:kern w:val="2"/>
                      <w:sz w:val="21"/>
                      <w:szCs w:val="21"/>
                      <w:lang w:val="en-US" w:eastAsia="zh-CN" w:bidi="ar-SA"/>
                    </w:rPr>
                    <w:t>新建</w:t>
                  </w:r>
                </w:p>
              </w:tc>
            </w:tr>
            <w:tr w14:paraId="446D7A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52554ED1">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17</w:t>
                  </w:r>
                </w:p>
              </w:tc>
              <w:tc>
                <w:tcPr>
                  <w:tcW w:w="303" w:type="pct"/>
                  <w:vMerge w:val="continue"/>
                  <w:noWrap w:val="0"/>
                  <w:tcMar>
                    <w:top w:w="0" w:type="dxa"/>
                    <w:left w:w="0" w:type="dxa"/>
                    <w:bottom w:w="0" w:type="dxa"/>
                    <w:right w:w="0" w:type="dxa"/>
                  </w:tcMar>
                  <w:vAlign w:val="center"/>
                </w:tcPr>
                <w:p w14:paraId="76196EBB">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restart"/>
                  <w:noWrap w:val="0"/>
                  <w:tcMar>
                    <w:top w:w="0" w:type="dxa"/>
                    <w:left w:w="0" w:type="dxa"/>
                    <w:bottom w:w="0" w:type="dxa"/>
                    <w:right w:w="0" w:type="dxa"/>
                  </w:tcMar>
                  <w:vAlign w:val="center"/>
                </w:tcPr>
                <w:p w14:paraId="65EE2C02">
                  <w:pPr>
                    <w:keepNext w:val="0"/>
                    <w:keepLines w:val="0"/>
                    <w:pageBreakBefore w:val="0"/>
                    <w:widowControl/>
                    <w:suppressLineNumbers w:val="0"/>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冷却</w:t>
                  </w:r>
                </w:p>
              </w:tc>
              <w:tc>
                <w:tcPr>
                  <w:tcW w:w="1066" w:type="pct"/>
                  <w:noWrap w:val="0"/>
                  <w:tcMar>
                    <w:top w:w="0" w:type="dxa"/>
                    <w:left w:w="0" w:type="dxa"/>
                    <w:bottom w:w="0" w:type="dxa"/>
                    <w:right w:w="0" w:type="dxa"/>
                  </w:tcMar>
                  <w:vAlign w:val="center"/>
                </w:tcPr>
                <w:p w14:paraId="519232B9">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储水箱</w:t>
                  </w:r>
                </w:p>
              </w:tc>
              <w:tc>
                <w:tcPr>
                  <w:tcW w:w="792" w:type="pct"/>
                  <w:noWrap w:val="0"/>
                  <w:tcMar>
                    <w:top w:w="0" w:type="dxa"/>
                    <w:left w:w="0" w:type="dxa"/>
                    <w:bottom w:w="0" w:type="dxa"/>
                    <w:right w:w="0" w:type="dxa"/>
                  </w:tcMar>
                  <w:vAlign w:val="center"/>
                </w:tcPr>
                <w:p w14:paraId="4BDEAB69">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10T</w:t>
                  </w:r>
                </w:p>
              </w:tc>
              <w:tc>
                <w:tcPr>
                  <w:tcW w:w="498" w:type="pct"/>
                  <w:noWrap w:val="0"/>
                  <w:tcMar>
                    <w:top w:w="0" w:type="dxa"/>
                    <w:left w:w="0" w:type="dxa"/>
                    <w:bottom w:w="0" w:type="dxa"/>
                    <w:right w:w="0" w:type="dxa"/>
                  </w:tcMar>
                  <w:vAlign w:val="center"/>
                </w:tcPr>
                <w:p w14:paraId="76176205">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1F12FB9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7" w:type="pct"/>
                  <w:noWrap w:val="0"/>
                  <w:tcMar>
                    <w:top w:w="0" w:type="dxa"/>
                    <w:left w:w="0" w:type="dxa"/>
                    <w:bottom w:w="0" w:type="dxa"/>
                    <w:right w:w="0" w:type="dxa"/>
                  </w:tcMar>
                  <w:vAlign w:val="center"/>
                </w:tcPr>
                <w:p w14:paraId="689B2E6C">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52DEA0D1">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b w:val="0"/>
                      <w:bCs/>
                      <w:color w:val="auto"/>
                      <w:kern w:val="2"/>
                      <w:sz w:val="21"/>
                      <w:szCs w:val="21"/>
                      <w:lang w:val="en-US" w:eastAsia="zh-CN" w:bidi="ar-SA"/>
                    </w:rPr>
                    <w:t>新建</w:t>
                  </w:r>
                </w:p>
              </w:tc>
            </w:tr>
            <w:tr w14:paraId="00440D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5DE5DEE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18</w:t>
                  </w:r>
                </w:p>
              </w:tc>
              <w:tc>
                <w:tcPr>
                  <w:tcW w:w="303" w:type="pct"/>
                  <w:vMerge w:val="continue"/>
                  <w:noWrap w:val="0"/>
                  <w:tcMar>
                    <w:top w:w="0" w:type="dxa"/>
                    <w:left w:w="0" w:type="dxa"/>
                    <w:bottom w:w="0" w:type="dxa"/>
                    <w:right w:w="0" w:type="dxa"/>
                  </w:tcMar>
                  <w:vAlign w:val="center"/>
                </w:tcPr>
                <w:p w14:paraId="41BA6404">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continue"/>
                  <w:noWrap w:val="0"/>
                  <w:tcMar>
                    <w:top w:w="0" w:type="dxa"/>
                    <w:left w:w="0" w:type="dxa"/>
                    <w:bottom w:w="0" w:type="dxa"/>
                    <w:right w:w="0" w:type="dxa"/>
                  </w:tcMar>
                  <w:vAlign w:val="center"/>
                </w:tcPr>
                <w:p w14:paraId="1AAA1DB4">
                  <w:pPr>
                    <w:keepNext w:val="0"/>
                    <w:keepLines w:val="0"/>
                    <w:pageBreakBefore w:val="0"/>
                    <w:widowControl/>
                    <w:suppressLineNumbers w:val="0"/>
                    <w:kinsoku/>
                    <w:wordWrap/>
                    <w:overflowPunct/>
                    <w:topLinePunct w:val="0"/>
                    <w:bidi w:val="0"/>
                    <w:adjustRightInd w:val="0"/>
                    <w:snapToGrid w:val="0"/>
                    <w:jc w:val="center"/>
                    <w:textAlignment w:val="center"/>
                    <w:rPr>
                      <w:rFonts w:hint="eastAsia" w:ascii="Times New Roman" w:hAnsi="Times New Roman" w:eastAsia="宋体" w:cs="Times New Roman"/>
                      <w:color w:val="auto"/>
                      <w:kern w:val="2"/>
                      <w:sz w:val="21"/>
                      <w:szCs w:val="21"/>
                      <w:lang w:val="en-US" w:eastAsia="zh-CN" w:bidi="ar-SA"/>
                    </w:rPr>
                  </w:pPr>
                </w:p>
              </w:tc>
              <w:tc>
                <w:tcPr>
                  <w:tcW w:w="1066" w:type="pct"/>
                  <w:noWrap w:val="0"/>
                  <w:tcMar>
                    <w:top w:w="0" w:type="dxa"/>
                    <w:left w:w="0" w:type="dxa"/>
                    <w:bottom w:w="0" w:type="dxa"/>
                    <w:right w:w="0" w:type="dxa"/>
                  </w:tcMar>
                  <w:vAlign w:val="center"/>
                </w:tcPr>
                <w:p w14:paraId="771BFD32">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冷却塔</w:t>
                  </w:r>
                </w:p>
              </w:tc>
              <w:tc>
                <w:tcPr>
                  <w:tcW w:w="792" w:type="pct"/>
                  <w:noWrap w:val="0"/>
                  <w:tcMar>
                    <w:top w:w="0" w:type="dxa"/>
                    <w:left w:w="0" w:type="dxa"/>
                    <w:bottom w:w="0" w:type="dxa"/>
                    <w:right w:w="0" w:type="dxa"/>
                  </w:tcMar>
                  <w:vAlign w:val="center"/>
                </w:tcPr>
                <w:p w14:paraId="160873FD">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w:t>
                  </w:r>
                </w:p>
              </w:tc>
              <w:tc>
                <w:tcPr>
                  <w:tcW w:w="498" w:type="pct"/>
                  <w:noWrap w:val="0"/>
                  <w:tcMar>
                    <w:top w:w="0" w:type="dxa"/>
                    <w:left w:w="0" w:type="dxa"/>
                    <w:bottom w:w="0" w:type="dxa"/>
                    <w:right w:w="0" w:type="dxa"/>
                  </w:tcMar>
                  <w:vAlign w:val="center"/>
                </w:tcPr>
                <w:p w14:paraId="6C18C6FB">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23A4C201">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37" w:type="pct"/>
                  <w:noWrap w:val="0"/>
                  <w:tcMar>
                    <w:top w:w="0" w:type="dxa"/>
                    <w:left w:w="0" w:type="dxa"/>
                    <w:bottom w:w="0" w:type="dxa"/>
                    <w:right w:w="0" w:type="dxa"/>
                  </w:tcMar>
                  <w:vAlign w:val="center"/>
                </w:tcPr>
                <w:p w14:paraId="21EB7382">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0FB0628A">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b w:val="0"/>
                      <w:bCs/>
                      <w:color w:val="auto"/>
                      <w:kern w:val="2"/>
                      <w:sz w:val="21"/>
                      <w:szCs w:val="21"/>
                      <w:lang w:val="en-US" w:eastAsia="zh-CN" w:bidi="ar-SA"/>
                    </w:rPr>
                    <w:t>新建</w:t>
                  </w:r>
                </w:p>
              </w:tc>
            </w:tr>
            <w:tr w14:paraId="23AD4C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noWrap w:val="0"/>
                  <w:tcMar>
                    <w:top w:w="0" w:type="dxa"/>
                    <w:left w:w="0" w:type="dxa"/>
                    <w:bottom w:w="0" w:type="dxa"/>
                    <w:right w:w="0" w:type="dxa"/>
                  </w:tcMar>
                  <w:vAlign w:val="center"/>
                </w:tcPr>
                <w:p w14:paraId="2D754793">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19</w:t>
                  </w:r>
                </w:p>
              </w:tc>
              <w:tc>
                <w:tcPr>
                  <w:tcW w:w="303" w:type="pct"/>
                  <w:vMerge w:val="restart"/>
                  <w:noWrap w:val="0"/>
                  <w:tcMar>
                    <w:top w:w="0" w:type="dxa"/>
                    <w:left w:w="0" w:type="dxa"/>
                    <w:bottom w:w="0" w:type="dxa"/>
                    <w:right w:w="0" w:type="dxa"/>
                  </w:tcMar>
                  <w:vAlign w:val="center"/>
                </w:tcPr>
                <w:p w14:paraId="6CF8A41C">
                  <w:pPr>
                    <w:pStyle w:val="66"/>
                    <w:keepNext w:val="0"/>
                    <w:keepLines w:val="0"/>
                    <w:pageBreakBefore w:val="0"/>
                    <w:kinsoku/>
                    <w:wordWrap/>
                    <w:overflowPunct/>
                    <w:topLinePunct w:val="0"/>
                    <w:bidi w:val="0"/>
                    <w:adjustRightInd w:val="0"/>
                    <w:snapToGrid w:val="0"/>
                    <w:spacing w:beforeLines="0" w:afterLines="0"/>
                    <w:rPr>
                      <w:rFonts w:hint="default" w:ascii="Times New Roman" w:hAnsi="Times New Roman" w:eastAsia="宋体" w:cs="Times New Roman"/>
                      <w:color w:val="auto"/>
                      <w:sz w:val="21"/>
                      <w:szCs w:val="21"/>
                    </w:rPr>
                  </w:pPr>
                  <w:r>
                    <w:rPr>
                      <w:rFonts w:ascii="Times New Roman" w:hAnsi="Times New Roman" w:eastAsia="宋体"/>
                      <w:b w:val="0"/>
                      <w:bCs/>
                      <w:color w:val="auto"/>
                      <w:sz w:val="21"/>
                      <w:szCs w:val="21"/>
                    </w:rPr>
                    <w:t>汽车密封件生产线</w:t>
                  </w:r>
                </w:p>
              </w:tc>
              <w:tc>
                <w:tcPr>
                  <w:tcW w:w="588" w:type="pct"/>
                  <w:noWrap w:val="0"/>
                  <w:tcMar>
                    <w:top w:w="0" w:type="dxa"/>
                    <w:left w:w="0" w:type="dxa"/>
                    <w:bottom w:w="0" w:type="dxa"/>
                    <w:right w:w="0" w:type="dxa"/>
                  </w:tcMar>
                  <w:vAlign w:val="center"/>
                </w:tcPr>
                <w:p w14:paraId="16A90035">
                  <w:pPr>
                    <w:pStyle w:val="91"/>
                    <w:keepNext w:val="0"/>
                    <w:keepLines w:val="0"/>
                    <w:pageBreakBefore w:val="0"/>
                    <w:kinsoku/>
                    <w:wordWrap/>
                    <w:overflowPunct/>
                    <w:topLinePunct w:val="0"/>
                    <w:bidi w:val="0"/>
                    <w:adjustRightInd w:val="0"/>
                    <w:snapToGrid w:val="0"/>
                    <w:rPr>
                      <w:rFonts w:hint="eastAsia"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挤出</w:t>
                  </w:r>
                </w:p>
              </w:tc>
              <w:tc>
                <w:tcPr>
                  <w:tcW w:w="1066" w:type="pct"/>
                  <w:noWrap w:val="0"/>
                  <w:tcMar>
                    <w:top w:w="0" w:type="dxa"/>
                    <w:left w:w="0" w:type="dxa"/>
                    <w:bottom w:w="0" w:type="dxa"/>
                    <w:right w:w="0" w:type="dxa"/>
                  </w:tcMar>
                  <w:vAlign w:val="center"/>
                </w:tcPr>
                <w:p w14:paraId="04EE6517">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挤出机</w:t>
                  </w:r>
                </w:p>
              </w:tc>
              <w:tc>
                <w:tcPr>
                  <w:tcW w:w="792" w:type="pct"/>
                  <w:noWrap w:val="0"/>
                  <w:tcMar>
                    <w:top w:w="0" w:type="dxa"/>
                    <w:left w:w="0" w:type="dxa"/>
                    <w:bottom w:w="0" w:type="dxa"/>
                    <w:right w:w="0" w:type="dxa"/>
                  </w:tcMar>
                  <w:vAlign w:val="center"/>
                </w:tcPr>
                <w:p w14:paraId="2D523640">
                  <w:pPr>
                    <w:keepNext w:val="0"/>
                    <w:keepLines w:val="0"/>
                    <w:pageBreakBefore w:val="0"/>
                    <w:kinsoku/>
                    <w:wordWrap/>
                    <w:overflowPunct/>
                    <w:topLinePunct w:val="0"/>
                    <w:bidi w:val="0"/>
                    <w:adjustRightInd w:val="0"/>
                    <w:snapToGrid w:val="0"/>
                    <w:jc w:val="center"/>
                    <w:rPr>
                      <w:rFonts w:hint="default" w:ascii="Times New Roman" w:hAnsi="Times New Roman"/>
                      <w:color w:val="auto"/>
                      <w:kern w:val="2"/>
                      <w:sz w:val="21"/>
                      <w:szCs w:val="21"/>
                      <w:lang w:val="en-US" w:eastAsia="zh-CN" w:bidi="ar-SA"/>
                    </w:rPr>
                  </w:pPr>
                  <w:r>
                    <w:rPr>
                      <w:rFonts w:ascii="Times New Roman" w:hAnsi="Times New Roman"/>
                      <w:color w:val="auto"/>
                      <w:sz w:val="21"/>
                      <w:szCs w:val="21"/>
                    </w:rPr>
                    <w:t>/</w:t>
                  </w:r>
                </w:p>
              </w:tc>
              <w:tc>
                <w:tcPr>
                  <w:tcW w:w="498" w:type="pct"/>
                  <w:noWrap w:val="0"/>
                  <w:tcMar>
                    <w:top w:w="0" w:type="dxa"/>
                    <w:left w:w="0" w:type="dxa"/>
                    <w:bottom w:w="0" w:type="dxa"/>
                    <w:right w:w="0" w:type="dxa"/>
                  </w:tcMar>
                  <w:vAlign w:val="center"/>
                </w:tcPr>
                <w:p w14:paraId="3E59CBBE">
                  <w:pPr>
                    <w:keepNext w:val="0"/>
                    <w:keepLines w:val="0"/>
                    <w:pageBreakBefore w:val="0"/>
                    <w:widowControl/>
                    <w:kinsoku/>
                    <w:wordWrap/>
                    <w:overflowPunct/>
                    <w:topLinePunct w:val="0"/>
                    <w:bidi w:val="0"/>
                    <w:adjustRightInd w:val="0"/>
                    <w:snapToGrid w:val="0"/>
                    <w:jc w:val="center"/>
                    <w:textAlignment w:val="center"/>
                    <w:rPr>
                      <w:rFonts w:hint="eastAsia" w:ascii="Times New Roman" w:hAnsi="Times New Roman" w:eastAsia="宋体"/>
                      <w:color w:val="auto"/>
                      <w:kern w:val="0"/>
                      <w:sz w:val="21"/>
                      <w:szCs w:val="21"/>
                      <w:lang w:val="en-US" w:eastAsia="zh-CN" w:bidi="ar-SA"/>
                    </w:rPr>
                  </w:pPr>
                  <w:r>
                    <w:rPr>
                      <w:rFonts w:hint="eastAsia" w:ascii="Times New Roman" w:hAnsi="Times New Roman"/>
                      <w:color w:val="auto"/>
                      <w:kern w:val="0"/>
                      <w:sz w:val="21"/>
                      <w:szCs w:val="21"/>
                      <w:lang w:val="en-US" w:eastAsia="zh-CN"/>
                    </w:rPr>
                    <w:t>2</w:t>
                  </w:r>
                </w:p>
              </w:tc>
              <w:tc>
                <w:tcPr>
                  <w:tcW w:w="434" w:type="pct"/>
                  <w:noWrap w:val="0"/>
                  <w:tcMar>
                    <w:top w:w="0" w:type="dxa"/>
                    <w:left w:w="0" w:type="dxa"/>
                    <w:bottom w:w="0" w:type="dxa"/>
                    <w:right w:w="0" w:type="dxa"/>
                  </w:tcMar>
                  <w:vAlign w:val="center"/>
                </w:tcPr>
                <w:p w14:paraId="1239737F">
                  <w:pPr>
                    <w:keepNext w:val="0"/>
                    <w:keepLines w:val="0"/>
                    <w:pageBreakBefore w:val="0"/>
                    <w:widowControl/>
                    <w:kinsoku/>
                    <w:wordWrap/>
                    <w:overflowPunct/>
                    <w:topLinePunct w:val="0"/>
                    <w:bidi w:val="0"/>
                    <w:adjustRightInd w:val="0"/>
                    <w:snapToGrid w:val="0"/>
                    <w:jc w:val="center"/>
                    <w:textAlignment w:val="center"/>
                    <w:rPr>
                      <w:rFonts w:hint="eastAsia" w:ascii="Times New Roman" w:hAnsi="Times New Roman" w:eastAsia="宋体"/>
                      <w:color w:val="auto"/>
                      <w:kern w:val="0"/>
                      <w:sz w:val="21"/>
                      <w:szCs w:val="21"/>
                      <w:lang w:val="en-US" w:eastAsia="zh-CN" w:bidi="ar-SA"/>
                    </w:rPr>
                  </w:pPr>
                  <w:r>
                    <w:rPr>
                      <w:rFonts w:hint="eastAsia" w:ascii="Times New Roman" w:hAnsi="Times New Roman"/>
                      <w:color w:val="auto"/>
                      <w:kern w:val="0"/>
                      <w:sz w:val="21"/>
                      <w:szCs w:val="21"/>
                      <w:lang w:val="en-US" w:eastAsia="zh-CN"/>
                    </w:rPr>
                    <w:t>3</w:t>
                  </w:r>
                </w:p>
              </w:tc>
              <w:tc>
                <w:tcPr>
                  <w:tcW w:w="437" w:type="pct"/>
                  <w:noWrap w:val="0"/>
                  <w:tcMar>
                    <w:top w:w="0" w:type="dxa"/>
                    <w:left w:w="0" w:type="dxa"/>
                    <w:bottom w:w="0" w:type="dxa"/>
                    <w:right w:w="0" w:type="dxa"/>
                  </w:tcMar>
                  <w:vAlign w:val="center"/>
                </w:tcPr>
                <w:p w14:paraId="3737B5C6">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w:t>
                  </w:r>
                </w:p>
              </w:tc>
              <w:tc>
                <w:tcPr>
                  <w:tcW w:w="623" w:type="pct"/>
                  <w:noWrap w:val="0"/>
                  <w:tcMar>
                    <w:top w:w="0" w:type="dxa"/>
                    <w:left w:w="0" w:type="dxa"/>
                    <w:bottom w:w="0" w:type="dxa"/>
                    <w:right w:w="0" w:type="dxa"/>
                  </w:tcMar>
                  <w:vAlign w:val="center"/>
                </w:tcPr>
                <w:p w14:paraId="1309ED30">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b w:val="0"/>
                      <w:bCs/>
                      <w:color w:val="auto"/>
                      <w:kern w:val="2"/>
                      <w:sz w:val="21"/>
                      <w:szCs w:val="21"/>
                      <w:lang w:val="en-US" w:eastAsia="zh-CN" w:bidi="ar-SA"/>
                    </w:rPr>
                    <w:t>新建</w:t>
                  </w:r>
                </w:p>
              </w:tc>
            </w:tr>
            <w:tr w14:paraId="7BA09F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0530E41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20</w:t>
                  </w:r>
                </w:p>
              </w:tc>
              <w:tc>
                <w:tcPr>
                  <w:tcW w:w="303" w:type="pct"/>
                  <w:vMerge w:val="continue"/>
                  <w:noWrap w:val="0"/>
                  <w:tcMar>
                    <w:top w:w="0" w:type="dxa"/>
                    <w:left w:w="0" w:type="dxa"/>
                    <w:bottom w:w="0" w:type="dxa"/>
                    <w:right w:w="0" w:type="dxa"/>
                  </w:tcMar>
                  <w:vAlign w:val="center"/>
                </w:tcPr>
                <w:p w14:paraId="0F3866FE">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noWrap w:val="0"/>
                  <w:tcMar>
                    <w:top w:w="0" w:type="dxa"/>
                    <w:left w:w="0" w:type="dxa"/>
                    <w:bottom w:w="0" w:type="dxa"/>
                    <w:right w:w="0" w:type="dxa"/>
                  </w:tcMar>
                  <w:vAlign w:val="center"/>
                </w:tcPr>
                <w:p w14:paraId="5E5A1E17">
                  <w:pPr>
                    <w:pStyle w:val="91"/>
                    <w:keepNext w:val="0"/>
                    <w:keepLines w:val="0"/>
                    <w:pageBreakBefore w:val="0"/>
                    <w:kinsoku/>
                    <w:wordWrap/>
                    <w:overflowPunct/>
                    <w:topLinePunct w:val="0"/>
                    <w:bidi w:val="0"/>
                    <w:adjustRightInd w:val="0"/>
                    <w:snapToGrid w:val="0"/>
                    <w:rPr>
                      <w:rFonts w:hint="eastAsia"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冷却</w:t>
                  </w:r>
                </w:p>
              </w:tc>
              <w:tc>
                <w:tcPr>
                  <w:tcW w:w="1066" w:type="pct"/>
                  <w:noWrap w:val="0"/>
                  <w:tcMar>
                    <w:top w:w="0" w:type="dxa"/>
                    <w:left w:w="0" w:type="dxa"/>
                    <w:bottom w:w="0" w:type="dxa"/>
                    <w:right w:w="0" w:type="dxa"/>
                  </w:tcMar>
                  <w:vAlign w:val="center"/>
                </w:tcPr>
                <w:p w14:paraId="1FB0D419">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水槽</w:t>
                  </w:r>
                </w:p>
              </w:tc>
              <w:tc>
                <w:tcPr>
                  <w:tcW w:w="792" w:type="pct"/>
                  <w:noWrap w:val="0"/>
                  <w:tcMar>
                    <w:top w:w="0" w:type="dxa"/>
                    <w:left w:w="0" w:type="dxa"/>
                    <w:bottom w:w="0" w:type="dxa"/>
                    <w:right w:w="0" w:type="dxa"/>
                  </w:tcMar>
                  <w:vAlign w:val="center"/>
                </w:tcPr>
                <w:p w14:paraId="1E09B2C5">
                  <w:pPr>
                    <w:keepNext w:val="0"/>
                    <w:keepLines w:val="0"/>
                    <w:pageBreakBefore w:val="0"/>
                    <w:kinsoku/>
                    <w:wordWrap/>
                    <w:overflowPunct/>
                    <w:topLinePunct w:val="0"/>
                    <w:bidi w:val="0"/>
                    <w:adjustRightInd w:val="0"/>
                    <w:snapToGrid w:val="0"/>
                    <w:jc w:val="center"/>
                    <w:rPr>
                      <w:rFonts w:hint="default" w:ascii="Times New Roman" w:hAnsi="Times New Roman"/>
                      <w:color w:val="auto"/>
                      <w:kern w:val="2"/>
                      <w:sz w:val="21"/>
                      <w:szCs w:val="21"/>
                      <w:lang w:val="en-US" w:eastAsia="zh-CN" w:bidi="ar-SA"/>
                    </w:rPr>
                  </w:pPr>
                  <w:r>
                    <w:rPr>
                      <w:rFonts w:ascii="Times New Roman" w:hAnsi="Times New Roman"/>
                      <w:color w:val="auto"/>
                      <w:sz w:val="21"/>
                      <w:szCs w:val="21"/>
                    </w:rPr>
                    <w:t>/</w:t>
                  </w:r>
                </w:p>
              </w:tc>
              <w:tc>
                <w:tcPr>
                  <w:tcW w:w="498" w:type="pct"/>
                  <w:noWrap w:val="0"/>
                  <w:tcMar>
                    <w:top w:w="0" w:type="dxa"/>
                    <w:left w:w="0" w:type="dxa"/>
                    <w:bottom w:w="0" w:type="dxa"/>
                    <w:right w:w="0" w:type="dxa"/>
                  </w:tcMar>
                  <w:vAlign w:val="center"/>
                </w:tcPr>
                <w:p w14:paraId="0078154A">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olor w:val="auto"/>
                      <w:kern w:val="0"/>
                      <w:sz w:val="21"/>
                      <w:szCs w:val="21"/>
                      <w:lang w:val="en-US" w:eastAsia="zh-CN" w:bidi="ar-SA"/>
                    </w:rPr>
                  </w:pPr>
                  <w:r>
                    <w:rPr>
                      <w:rFonts w:hint="eastAsia"/>
                      <w:color w:val="auto"/>
                      <w:kern w:val="0"/>
                      <w:sz w:val="21"/>
                      <w:szCs w:val="21"/>
                      <w:lang w:val="en-US" w:eastAsia="zh-CN"/>
                    </w:rPr>
                    <w:t>2</w:t>
                  </w:r>
                </w:p>
              </w:tc>
              <w:tc>
                <w:tcPr>
                  <w:tcW w:w="434" w:type="pct"/>
                  <w:noWrap w:val="0"/>
                  <w:tcMar>
                    <w:top w:w="0" w:type="dxa"/>
                    <w:left w:w="0" w:type="dxa"/>
                    <w:bottom w:w="0" w:type="dxa"/>
                    <w:right w:w="0" w:type="dxa"/>
                  </w:tcMar>
                  <w:vAlign w:val="center"/>
                </w:tcPr>
                <w:p w14:paraId="2CF8EBEE">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olor w:val="auto"/>
                      <w:kern w:val="0"/>
                      <w:sz w:val="21"/>
                      <w:szCs w:val="21"/>
                      <w:lang w:val="en-US" w:eastAsia="zh-CN" w:bidi="ar-SA"/>
                    </w:rPr>
                  </w:pPr>
                  <w:r>
                    <w:rPr>
                      <w:rFonts w:hint="eastAsia"/>
                      <w:color w:val="auto"/>
                      <w:kern w:val="0"/>
                      <w:sz w:val="21"/>
                      <w:szCs w:val="21"/>
                      <w:lang w:val="en-US" w:eastAsia="zh-CN"/>
                    </w:rPr>
                    <w:t>0</w:t>
                  </w:r>
                </w:p>
              </w:tc>
              <w:tc>
                <w:tcPr>
                  <w:tcW w:w="437" w:type="pct"/>
                  <w:noWrap w:val="0"/>
                  <w:tcMar>
                    <w:top w:w="0" w:type="dxa"/>
                    <w:left w:w="0" w:type="dxa"/>
                    <w:bottom w:w="0" w:type="dxa"/>
                    <w:right w:w="0" w:type="dxa"/>
                  </w:tcMar>
                  <w:vAlign w:val="center"/>
                </w:tcPr>
                <w:p w14:paraId="28AD6305">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-2</w:t>
                  </w:r>
                </w:p>
              </w:tc>
              <w:tc>
                <w:tcPr>
                  <w:tcW w:w="623" w:type="pct"/>
                  <w:noWrap w:val="0"/>
                  <w:tcMar>
                    <w:top w:w="0" w:type="dxa"/>
                    <w:left w:w="0" w:type="dxa"/>
                    <w:bottom w:w="0" w:type="dxa"/>
                    <w:right w:w="0" w:type="dxa"/>
                  </w:tcMar>
                  <w:vAlign w:val="center"/>
                </w:tcPr>
                <w:p w14:paraId="35529B0C">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ascii="Times New Roman" w:hAnsi="Times New Roman"/>
                      <w:color w:val="auto"/>
                      <w:sz w:val="21"/>
                      <w:szCs w:val="21"/>
                    </w:rPr>
                    <w:t>/</w:t>
                  </w:r>
                </w:p>
              </w:tc>
            </w:tr>
            <w:tr w14:paraId="10214A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05C290D4">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21</w:t>
                  </w:r>
                </w:p>
              </w:tc>
              <w:tc>
                <w:tcPr>
                  <w:tcW w:w="303" w:type="pct"/>
                  <w:vMerge w:val="continue"/>
                  <w:noWrap w:val="0"/>
                  <w:tcMar>
                    <w:top w:w="0" w:type="dxa"/>
                    <w:left w:w="0" w:type="dxa"/>
                    <w:bottom w:w="0" w:type="dxa"/>
                    <w:right w:w="0" w:type="dxa"/>
                  </w:tcMar>
                  <w:vAlign w:val="center"/>
                </w:tcPr>
                <w:p w14:paraId="10369251">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noWrap w:val="0"/>
                  <w:tcMar>
                    <w:top w:w="0" w:type="dxa"/>
                    <w:left w:w="0" w:type="dxa"/>
                    <w:bottom w:w="0" w:type="dxa"/>
                    <w:right w:w="0" w:type="dxa"/>
                  </w:tcMar>
                  <w:vAlign w:val="center"/>
                </w:tcPr>
                <w:p w14:paraId="4B4F643F">
                  <w:pPr>
                    <w:pStyle w:val="91"/>
                    <w:keepNext w:val="0"/>
                    <w:keepLines w:val="0"/>
                    <w:pageBreakBefore w:val="0"/>
                    <w:kinsoku/>
                    <w:wordWrap/>
                    <w:overflowPunct/>
                    <w:topLinePunct w:val="0"/>
                    <w:bidi w:val="0"/>
                    <w:adjustRightInd w:val="0"/>
                    <w:snapToGrid w:val="0"/>
                    <w:rPr>
                      <w:rFonts w:hint="eastAsia"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开炼</w:t>
                  </w:r>
                </w:p>
              </w:tc>
              <w:tc>
                <w:tcPr>
                  <w:tcW w:w="1066" w:type="pct"/>
                  <w:noWrap w:val="0"/>
                  <w:tcMar>
                    <w:top w:w="0" w:type="dxa"/>
                    <w:left w:w="0" w:type="dxa"/>
                    <w:bottom w:w="0" w:type="dxa"/>
                    <w:right w:w="0" w:type="dxa"/>
                  </w:tcMar>
                  <w:vAlign w:val="center"/>
                </w:tcPr>
                <w:p w14:paraId="45C4AC60">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开炼机</w:t>
                  </w:r>
                </w:p>
              </w:tc>
              <w:tc>
                <w:tcPr>
                  <w:tcW w:w="792" w:type="pct"/>
                  <w:noWrap w:val="0"/>
                  <w:tcMar>
                    <w:top w:w="0" w:type="dxa"/>
                    <w:left w:w="0" w:type="dxa"/>
                    <w:bottom w:w="0" w:type="dxa"/>
                    <w:right w:w="0" w:type="dxa"/>
                  </w:tcMar>
                  <w:vAlign w:val="center"/>
                </w:tcPr>
                <w:p w14:paraId="0680ACB9">
                  <w:pPr>
                    <w:keepNext w:val="0"/>
                    <w:keepLines w:val="0"/>
                    <w:pageBreakBefore w:val="0"/>
                    <w:kinsoku/>
                    <w:wordWrap/>
                    <w:overflowPunct/>
                    <w:topLinePunct w:val="0"/>
                    <w:bidi w:val="0"/>
                    <w:adjustRightInd w:val="0"/>
                    <w:snapToGrid w:val="0"/>
                    <w:jc w:val="center"/>
                    <w:rPr>
                      <w:rFonts w:hint="default" w:ascii="Times New Roman" w:hAnsi="Times New Roman"/>
                      <w:color w:val="auto"/>
                      <w:kern w:val="2"/>
                      <w:sz w:val="21"/>
                      <w:szCs w:val="21"/>
                      <w:lang w:val="en-US" w:eastAsia="zh-CN" w:bidi="ar-SA"/>
                    </w:rPr>
                  </w:pPr>
                  <w:r>
                    <w:rPr>
                      <w:rFonts w:ascii="Times New Roman" w:hAnsi="Times New Roman"/>
                      <w:color w:val="auto"/>
                      <w:sz w:val="21"/>
                      <w:szCs w:val="21"/>
                    </w:rPr>
                    <w:t>/</w:t>
                  </w:r>
                </w:p>
              </w:tc>
              <w:tc>
                <w:tcPr>
                  <w:tcW w:w="498" w:type="pct"/>
                  <w:noWrap w:val="0"/>
                  <w:tcMar>
                    <w:top w:w="0" w:type="dxa"/>
                    <w:left w:w="0" w:type="dxa"/>
                    <w:bottom w:w="0" w:type="dxa"/>
                    <w:right w:w="0" w:type="dxa"/>
                  </w:tcMar>
                  <w:vAlign w:val="center"/>
                </w:tcPr>
                <w:p w14:paraId="2659DBD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color w:val="auto"/>
                      <w:kern w:val="0"/>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369C0526">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color w:val="auto"/>
                      <w:kern w:val="0"/>
                      <w:sz w:val="21"/>
                      <w:szCs w:val="21"/>
                      <w:lang w:val="en-US" w:eastAsia="zh-CN" w:bidi="ar-SA"/>
                    </w:rPr>
                  </w:pPr>
                  <w:r>
                    <w:rPr>
                      <w:rFonts w:hint="eastAsia"/>
                      <w:color w:val="auto"/>
                      <w:kern w:val="0"/>
                      <w:sz w:val="21"/>
                      <w:szCs w:val="21"/>
                      <w:lang w:val="en-US" w:eastAsia="zh-CN"/>
                    </w:rPr>
                    <w:t>0</w:t>
                  </w:r>
                </w:p>
              </w:tc>
              <w:tc>
                <w:tcPr>
                  <w:tcW w:w="437" w:type="pct"/>
                  <w:noWrap w:val="0"/>
                  <w:tcMar>
                    <w:top w:w="0" w:type="dxa"/>
                    <w:left w:w="0" w:type="dxa"/>
                    <w:bottom w:w="0" w:type="dxa"/>
                    <w:right w:w="0" w:type="dxa"/>
                  </w:tcMar>
                  <w:vAlign w:val="center"/>
                </w:tcPr>
                <w:p w14:paraId="1F1C381B">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-2</w:t>
                  </w:r>
                </w:p>
              </w:tc>
              <w:tc>
                <w:tcPr>
                  <w:tcW w:w="623" w:type="pct"/>
                  <w:noWrap w:val="0"/>
                  <w:tcMar>
                    <w:top w:w="0" w:type="dxa"/>
                    <w:left w:w="0" w:type="dxa"/>
                    <w:bottom w:w="0" w:type="dxa"/>
                    <w:right w:w="0" w:type="dxa"/>
                  </w:tcMar>
                  <w:vAlign w:val="center"/>
                </w:tcPr>
                <w:p w14:paraId="3643B481">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ascii="Times New Roman" w:hAnsi="Times New Roman"/>
                      <w:color w:val="auto"/>
                      <w:sz w:val="21"/>
                      <w:szCs w:val="21"/>
                    </w:rPr>
                    <w:t>/</w:t>
                  </w:r>
                </w:p>
              </w:tc>
            </w:tr>
            <w:tr w14:paraId="3006EE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1B700D5E">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22</w:t>
                  </w:r>
                </w:p>
              </w:tc>
              <w:tc>
                <w:tcPr>
                  <w:tcW w:w="303" w:type="pct"/>
                  <w:vMerge w:val="continue"/>
                  <w:noWrap w:val="0"/>
                  <w:tcMar>
                    <w:top w:w="0" w:type="dxa"/>
                    <w:left w:w="0" w:type="dxa"/>
                    <w:bottom w:w="0" w:type="dxa"/>
                    <w:right w:w="0" w:type="dxa"/>
                  </w:tcMar>
                  <w:vAlign w:val="center"/>
                </w:tcPr>
                <w:p w14:paraId="0807ACCC">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noWrap w:val="0"/>
                  <w:tcMar>
                    <w:top w:w="0" w:type="dxa"/>
                    <w:left w:w="0" w:type="dxa"/>
                    <w:bottom w:w="0" w:type="dxa"/>
                    <w:right w:w="0" w:type="dxa"/>
                  </w:tcMar>
                  <w:vAlign w:val="center"/>
                </w:tcPr>
                <w:p w14:paraId="1EA9C9B3">
                  <w:pPr>
                    <w:pStyle w:val="91"/>
                    <w:keepNext w:val="0"/>
                    <w:keepLines w:val="0"/>
                    <w:pageBreakBefore w:val="0"/>
                    <w:kinsoku/>
                    <w:wordWrap/>
                    <w:overflowPunct/>
                    <w:topLinePunct w:val="0"/>
                    <w:bidi w:val="0"/>
                    <w:adjustRightInd w:val="0"/>
                    <w:snapToGrid w:val="0"/>
                    <w:rPr>
                      <w:rFonts w:hint="eastAsia"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成型</w:t>
                  </w:r>
                </w:p>
              </w:tc>
              <w:tc>
                <w:tcPr>
                  <w:tcW w:w="1066" w:type="pct"/>
                  <w:noWrap w:val="0"/>
                  <w:tcMar>
                    <w:top w:w="0" w:type="dxa"/>
                    <w:left w:w="0" w:type="dxa"/>
                    <w:bottom w:w="0" w:type="dxa"/>
                    <w:right w:w="0" w:type="dxa"/>
                  </w:tcMar>
                  <w:vAlign w:val="center"/>
                </w:tcPr>
                <w:p w14:paraId="09712D8D">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平板模压机</w:t>
                  </w:r>
                </w:p>
              </w:tc>
              <w:tc>
                <w:tcPr>
                  <w:tcW w:w="792" w:type="pct"/>
                  <w:noWrap w:val="0"/>
                  <w:tcMar>
                    <w:top w:w="0" w:type="dxa"/>
                    <w:left w:w="0" w:type="dxa"/>
                    <w:bottom w:w="0" w:type="dxa"/>
                    <w:right w:w="0" w:type="dxa"/>
                  </w:tcMar>
                  <w:vAlign w:val="center"/>
                </w:tcPr>
                <w:p w14:paraId="4CB62EA3">
                  <w:pPr>
                    <w:keepNext w:val="0"/>
                    <w:keepLines w:val="0"/>
                    <w:pageBreakBefore w:val="0"/>
                    <w:kinsoku/>
                    <w:wordWrap/>
                    <w:overflowPunct/>
                    <w:topLinePunct w:val="0"/>
                    <w:bidi w:val="0"/>
                    <w:adjustRightInd w:val="0"/>
                    <w:snapToGrid w:val="0"/>
                    <w:jc w:val="center"/>
                    <w:rPr>
                      <w:rFonts w:hint="default" w:ascii="Times New Roman" w:hAnsi="Times New Roman"/>
                      <w:color w:val="auto"/>
                      <w:kern w:val="2"/>
                      <w:sz w:val="21"/>
                      <w:szCs w:val="21"/>
                      <w:lang w:val="en-US" w:eastAsia="zh-CN" w:bidi="ar-SA"/>
                    </w:rPr>
                  </w:pPr>
                  <w:r>
                    <w:rPr>
                      <w:rFonts w:ascii="Times New Roman" w:hAnsi="Times New Roman"/>
                      <w:color w:val="auto"/>
                      <w:sz w:val="21"/>
                      <w:szCs w:val="21"/>
                    </w:rPr>
                    <w:t>/</w:t>
                  </w:r>
                </w:p>
              </w:tc>
              <w:tc>
                <w:tcPr>
                  <w:tcW w:w="498" w:type="pct"/>
                  <w:noWrap w:val="0"/>
                  <w:tcMar>
                    <w:top w:w="0" w:type="dxa"/>
                    <w:left w:w="0" w:type="dxa"/>
                    <w:bottom w:w="0" w:type="dxa"/>
                    <w:right w:w="0" w:type="dxa"/>
                  </w:tcMar>
                  <w:vAlign w:val="center"/>
                </w:tcPr>
                <w:p w14:paraId="7767CB20">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color w:val="auto"/>
                      <w:kern w:val="0"/>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60B0E2EE">
                  <w:pPr>
                    <w:keepNext w:val="0"/>
                    <w:keepLines w:val="0"/>
                    <w:pageBreakBefore w:val="0"/>
                    <w:widowControl/>
                    <w:kinsoku/>
                    <w:wordWrap/>
                    <w:overflowPunct/>
                    <w:topLinePunct w:val="0"/>
                    <w:bidi w:val="0"/>
                    <w:adjustRightInd w:val="0"/>
                    <w:snapToGrid w:val="0"/>
                    <w:jc w:val="center"/>
                    <w:textAlignment w:val="center"/>
                    <w:rPr>
                      <w:rFonts w:hint="eastAsia" w:ascii="Times New Roman" w:hAnsi="Times New Roman" w:eastAsia="宋体"/>
                      <w:color w:val="auto"/>
                      <w:kern w:val="0"/>
                      <w:sz w:val="21"/>
                      <w:szCs w:val="21"/>
                      <w:lang w:val="en-US" w:eastAsia="zh-CN" w:bidi="ar-SA"/>
                    </w:rPr>
                  </w:pPr>
                  <w:r>
                    <w:rPr>
                      <w:rFonts w:hint="eastAsia" w:ascii="Times New Roman" w:hAnsi="Times New Roman"/>
                      <w:color w:val="auto"/>
                      <w:kern w:val="0"/>
                      <w:sz w:val="21"/>
                      <w:szCs w:val="21"/>
                      <w:lang w:val="en-US" w:eastAsia="zh-CN"/>
                    </w:rPr>
                    <w:t>0</w:t>
                  </w:r>
                </w:p>
              </w:tc>
              <w:tc>
                <w:tcPr>
                  <w:tcW w:w="437" w:type="pct"/>
                  <w:noWrap w:val="0"/>
                  <w:tcMar>
                    <w:top w:w="0" w:type="dxa"/>
                    <w:left w:w="0" w:type="dxa"/>
                    <w:bottom w:w="0" w:type="dxa"/>
                    <w:right w:w="0" w:type="dxa"/>
                  </w:tcMar>
                  <w:vAlign w:val="center"/>
                </w:tcPr>
                <w:p w14:paraId="1979F28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7E91A699">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ascii="Times New Roman" w:hAnsi="Times New Roman"/>
                      <w:color w:val="auto"/>
                      <w:sz w:val="21"/>
                      <w:szCs w:val="21"/>
                    </w:rPr>
                    <w:t>/</w:t>
                  </w:r>
                </w:p>
              </w:tc>
            </w:tr>
            <w:tr w14:paraId="67E4BB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7E360E9A">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23</w:t>
                  </w:r>
                </w:p>
              </w:tc>
              <w:tc>
                <w:tcPr>
                  <w:tcW w:w="303" w:type="pct"/>
                  <w:vMerge w:val="continue"/>
                  <w:noWrap w:val="0"/>
                  <w:tcMar>
                    <w:top w:w="0" w:type="dxa"/>
                    <w:left w:w="0" w:type="dxa"/>
                    <w:bottom w:w="0" w:type="dxa"/>
                    <w:right w:w="0" w:type="dxa"/>
                  </w:tcMar>
                  <w:vAlign w:val="center"/>
                </w:tcPr>
                <w:p w14:paraId="72A15A83">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noWrap w:val="0"/>
                  <w:tcMar>
                    <w:top w:w="0" w:type="dxa"/>
                    <w:left w:w="0" w:type="dxa"/>
                    <w:bottom w:w="0" w:type="dxa"/>
                    <w:right w:w="0" w:type="dxa"/>
                  </w:tcMar>
                  <w:vAlign w:val="center"/>
                </w:tcPr>
                <w:p w14:paraId="56E02880">
                  <w:pPr>
                    <w:pStyle w:val="91"/>
                    <w:keepNext w:val="0"/>
                    <w:keepLines w:val="0"/>
                    <w:pageBreakBefore w:val="0"/>
                    <w:kinsoku/>
                    <w:wordWrap/>
                    <w:overflowPunct/>
                    <w:topLinePunct w:val="0"/>
                    <w:bidi w:val="0"/>
                    <w:adjustRightInd w:val="0"/>
                    <w:snapToGrid w:val="0"/>
                    <w:rPr>
                      <w:rFonts w:hint="eastAsia"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w:t>
                  </w:r>
                </w:p>
              </w:tc>
              <w:tc>
                <w:tcPr>
                  <w:tcW w:w="1066" w:type="pct"/>
                  <w:noWrap w:val="0"/>
                  <w:tcMar>
                    <w:top w:w="0" w:type="dxa"/>
                    <w:left w:w="0" w:type="dxa"/>
                    <w:bottom w:w="0" w:type="dxa"/>
                    <w:right w:w="0" w:type="dxa"/>
                  </w:tcMar>
                  <w:vAlign w:val="center"/>
                </w:tcPr>
                <w:p w14:paraId="108EF0FA">
                  <w:pPr>
                    <w:pStyle w:val="91"/>
                    <w:keepNext w:val="0"/>
                    <w:keepLines w:val="0"/>
                    <w:pageBreakBefore w:val="0"/>
                    <w:kinsoku/>
                    <w:wordWrap/>
                    <w:overflowPunct/>
                    <w:topLinePunct w:val="0"/>
                    <w:bidi w:val="0"/>
                    <w:adjustRightInd w:val="0"/>
                    <w:snapToGrid w:val="0"/>
                    <w:rPr>
                      <w:rFonts w:hint="default"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牵引机</w:t>
                  </w:r>
                </w:p>
              </w:tc>
              <w:tc>
                <w:tcPr>
                  <w:tcW w:w="792" w:type="pct"/>
                  <w:noWrap w:val="0"/>
                  <w:tcMar>
                    <w:top w:w="0" w:type="dxa"/>
                    <w:left w:w="0" w:type="dxa"/>
                    <w:bottom w:w="0" w:type="dxa"/>
                    <w:right w:w="0" w:type="dxa"/>
                  </w:tcMar>
                  <w:vAlign w:val="center"/>
                </w:tcPr>
                <w:p w14:paraId="7769C07F">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color w:val="auto"/>
                      <w:kern w:val="2"/>
                      <w:sz w:val="21"/>
                      <w:szCs w:val="21"/>
                      <w:lang w:val="en-US" w:eastAsia="zh-CN" w:bidi="ar-SA"/>
                    </w:rPr>
                  </w:pPr>
                  <w:r>
                    <w:rPr>
                      <w:rFonts w:ascii="Times New Roman" w:hAnsi="Times New Roman"/>
                      <w:color w:val="auto"/>
                      <w:sz w:val="21"/>
                      <w:szCs w:val="21"/>
                    </w:rPr>
                    <w:t>/</w:t>
                  </w:r>
                </w:p>
              </w:tc>
              <w:tc>
                <w:tcPr>
                  <w:tcW w:w="498" w:type="pct"/>
                  <w:noWrap w:val="0"/>
                  <w:tcMar>
                    <w:top w:w="0" w:type="dxa"/>
                    <w:left w:w="0" w:type="dxa"/>
                    <w:bottom w:w="0" w:type="dxa"/>
                    <w:right w:w="0" w:type="dxa"/>
                  </w:tcMar>
                  <w:vAlign w:val="center"/>
                </w:tcPr>
                <w:p w14:paraId="2350F4BA">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color w:val="auto"/>
                      <w:kern w:val="0"/>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72DAA982">
                  <w:pPr>
                    <w:keepNext w:val="0"/>
                    <w:keepLines w:val="0"/>
                    <w:pageBreakBefore w:val="0"/>
                    <w:widowControl/>
                    <w:kinsoku/>
                    <w:wordWrap/>
                    <w:overflowPunct/>
                    <w:topLinePunct w:val="0"/>
                    <w:bidi w:val="0"/>
                    <w:adjustRightInd w:val="0"/>
                    <w:snapToGrid w:val="0"/>
                    <w:jc w:val="center"/>
                    <w:textAlignment w:val="center"/>
                    <w:rPr>
                      <w:rFonts w:hint="eastAsia" w:ascii="Times New Roman" w:hAnsi="Times New Roman" w:eastAsia="宋体"/>
                      <w:color w:val="auto"/>
                      <w:kern w:val="0"/>
                      <w:sz w:val="21"/>
                      <w:szCs w:val="21"/>
                      <w:lang w:val="en-US" w:eastAsia="zh-CN" w:bidi="ar-SA"/>
                    </w:rPr>
                  </w:pPr>
                  <w:r>
                    <w:rPr>
                      <w:rFonts w:hint="eastAsia" w:ascii="Times New Roman" w:hAnsi="Times New Roman"/>
                      <w:color w:val="auto"/>
                      <w:kern w:val="0"/>
                      <w:sz w:val="21"/>
                      <w:szCs w:val="21"/>
                      <w:lang w:val="en-US" w:eastAsia="zh-CN"/>
                    </w:rPr>
                    <w:t>0</w:t>
                  </w:r>
                </w:p>
              </w:tc>
              <w:tc>
                <w:tcPr>
                  <w:tcW w:w="437" w:type="pct"/>
                  <w:noWrap w:val="0"/>
                  <w:tcMar>
                    <w:top w:w="0" w:type="dxa"/>
                    <w:left w:w="0" w:type="dxa"/>
                    <w:bottom w:w="0" w:type="dxa"/>
                    <w:right w:w="0" w:type="dxa"/>
                  </w:tcMar>
                  <w:vAlign w:val="center"/>
                </w:tcPr>
                <w:p w14:paraId="1FD79DC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4B27649C">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ascii="Times New Roman" w:hAnsi="Times New Roman"/>
                      <w:color w:val="auto"/>
                      <w:sz w:val="21"/>
                      <w:szCs w:val="21"/>
                    </w:rPr>
                    <w:t>/</w:t>
                  </w:r>
                </w:p>
              </w:tc>
            </w:tr>
            <w:tr w14:paraId="426B62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2AB28694">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24</w:t>
                  </w:r>
                </w:p>
              </w:tc>
              <w:tc>
                <w:tcPr>
                  <w:tcW w:w="303" w:type="pct"/>
                  <w:vMerge w:val="restart"/>
                  <w:noWrap w:val="0"/>
                  <w:tcMar>
                    <w:top w:w="0" w:type="dxa"/>
                    <w:left w:w="0" w:type="dxa"/>
                    <w:bottom w:w="0" w:type="dxa"/>
                    <w:right w:w="0" w:type="dxa"/>
                  </w:tcMar>
                  <w:vAlign w:val="center"/>
                </w:tcPr>
                <w:p w14:paraId="517D6DD6">
                  <w:pPr>
                    <w:keepNext w:val="0"/>
                    <w:keepLines w:val="0"/>
                    <w:pageBreakBefore w:val="0"/>
                    <w:kinsoku/>
                    <w:wordWrap/>
                    <w:overflowPunct/>
                    <w:topLinePunct w:val="0"/>
                    <w:autoSpaceDE w:val="0"/>
                    <w:autoSpaceDN w:val="0"/>
                    <w:bidi w:val="0"/>
                    <w:adjustRightInd w:val="0"/>
                    <w:snapToGrid w:val="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实验室</w:t>
                  </w:r>
                </w:p>
              </w:tc>
              <w:tc>
                <w:tcPr>
                  <w:tcW w:w="588" w:type="pct"/>
                  <w:vMerge w:val="restart"/>
                  <w:noWrap w:val="0"/>
                  <w:tcMar>
                    <w:top w:w="0" w:type="dxa"/>
                    <w:left w:w="0" w:type="dxa"/>
                    <w:bottom w:w="0" w:type="dxa"/>
                    <w:right w:w="0" w:type="dxa"/>
                  </w:tcMar>
                  <w:vAlign w:val="center"/>
                </w:tcPr>
                <w:p w14:paraId="441BF99C">
                  <w:pPr>
                    <w:pStyle w:val="91"/>
                    <w:keepNext w:val="0"/>
                    <w:keepLines w:val="0"/>
                    <w:pageBreakBefore w:val="0"/>
                    <w:kinsoku/>
                    <w:wordWrap/>
                    <w:overflowPunct/>
                    <w:topLinePunct w:val="0"/>
                    <w:bidi w:val="0"/>
                    <w:adjustRightInd w:val="0"/>
                    <w:snapToGrid w:val="0"/>
                    <w:rPr>
                      <w:rFonts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实验</w:t>
                  </w:r>
                </w:p>
              </w:tc>
              <w:tc>
                <w:tcPr>
                  <w:tcW w:w="1066" w:type="pct"/>
                  <w:noWrap w:val="0"/>
                  <w:tcMar>
                    <w:top w:w="0" w:type="dxa"/>
                    <w:left w:w="0" w:type="dxa"/>
                    <w:bottom w:w="0" w:type="dxa"/>
                    <w:right w:w="0" w:type="dxa"/>
                  </w:tcMar>
                  <w:vAlign w:val="center"/>
                </w:tcPr>
                <w:p w14:paraId="38AB5FC3">
                  <w:pPr>
                    <w:pStyle w:val="91"/>
                    <w:keepNext w:val="0"/>
                    <w:keepLines w:val="0"/>
                    <w:pageBreakBefore w:val="0"/>
                    <w:kinsoku/>
                    <w:wordWrap/>
                    <w:overflowPunct/>
                    <w:topLinePunct w:val="0"/>
                    <w:bidi w:val="0"/>
                    <w:adjustRightInd w:val="0"/>
                    <w:snapToGrid w:val="0"/>
                    <w:rPr>
                      <w:rFonts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电子万能试验机</w:t>
                  </w:r>
                </w:p>
              </w:tc>
              <w:tc>
                <w:tcPr>
                  <w:tcW w:w="792" w:type="pct"/>
                  <w:noWrap w:val="0"/>
                  <w:tcMar>
                    <w:top w:w="0" w:type="dxa"/>
                    <w:left w:w="0" w:type="dxa"/>
                    <w:bottom w:w="0" w:type="dxa"/>
                    <w:right w:w="0" w:type="dxa"/>
                  </w:tcMar>
                  <w:vAlign w:val="center"/>
                </w:tcPr>
                <w:p w14:paraId="2203D4C4">
                  <w:pPr>
                    <w:keepNext w:val="0"/>
                    <w:keepLines w:val="0"/>
                    <w:pageBreakBefore w:val="0"/>
                    <w:widowControl/>
                    <w:kinsoku/>
                    <w:wordWrap/>
                    <w:overflowPunct/>
                    <w:topLinePunct w:val="0"/>
                    <w:bidi w:val="0"/>
                    <w:adjustRightInd w:val="0"/>
                    <w:snapToGrid w:val="0"/>
                    <w:jc w:val="center"/>
                    <w:textAlignment w:val="center"/>
                    <w:rPr>
                      <w:rFonts w:ascii="Times New Roman" w:hAnsi="Times New Roman"/>
                      <w:color w:val="auto"/>
                      <w:kern w:val="2"/>
                      <w:sz w:val="21"/>
                      <w:szCs w:val="21"/>
                      <w:lang w:val="en-US" w:eastAsia="zh-CN" w:bidi="ar-SA"/>
                    </w:rPr>
                  </w:pPr>
                  <w:r>
                    <w:rPr>
                      <w:rFonts w:ascii="Times New Roman" w:hAnsi="Times New Roman"/>
                      <w:color w:val="auto"/>
                      <w:sz w:val="21"/>
                      <w:szCs w:val="21"/>
                    </w:rPr>
                    <w:t>UTM4204X</w:t>
                  </w:r>
                </w:p>
              </w:tc>
              <w:tc>
                <w:tcPr>
                  <w:tcW w:w="498" w:type="pct"/>
                  <w:noWrap w:val="0"/>
                  <w:tcMar>
                    <w:top w:w="0" w:type="dxa"/>
                    <w:left w:w="0" w:type="dxa"/>
                    <w:bottom w:w="0" w:type="dxa"/>
                    <w:right w:w="0" w:type="dxa"/>
                  </w:tcMar>
                  <w:vAlign w:val="center"/>
                </w:tcPr>
                <w:p w14:paraId="690AAC3C">
                  <w:pPr>
                    <w:keepNext w:val="0"/>
                    <w:keepLines w:val="0"/>
                    <w:pageBreakBefore w:val="0"/>
                    <w:kinsoku/>
                    <w:wordWrap/>
                    <w:overflowPunct/>
                    <w:topLinePunct w:val="0"/>
                    <w:bidi w:val="0"/>
                    <w:adjustRightInd w:val="0"/>
                    <w:snapToGrid w:val="0"/>
                    <w:jc w:val="center"/>
                    <w:rPr>
                      <w:rFonts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58342155">
                  <w:pPr>
                    <w:keepNext w:val="0"/>
                    <w:keepLines w:val="0"/>
                    <w:pageBreakBefore w:val="0"/>
                    <w:kinsoku/>
                    <w:wordWrap/>
                    <w:overflowPunct/>
                    <w:topLinePunct w:val="0"/>
                    <w:bidi w:val="0"/>
                    <w:adjustRightInd w:val="0"/>
                    <w:snapToGrid w:val="0"/>
                    <w:jc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7" w:type="pct"/>
                  <w:noWrap w:val="0"/>
                  <w:tcMar>
                    <w:top w:w="0" w:type="dxa"/>
                    <w:left w:w="0" w:type="dxa"/>
                    <w:bottom w:w="0" w:type="dxa"/>
                    <w:right w:w="0" w:type="dxa"/>
                  </w:tcMar>
                  <w:vAlign w:val="center"/>
                </w:tcPr>
                <w:p w14:paraId="64BE8332">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3C39F735">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b w:val="0"/>
                      <w:bCs/>
                      <w:color w:val="auto"/>
                      <w:kern w:val="2"/>
                      <w:sz w:val="21"/>
                      <w:szCs w:val="21"/>
                      <w:lang w:val="en-US" w:eastAsia="zh-CN" w:bidi="ar-SA"/>
                    </w:rPr>
                    <w:t>新建</w:t>
                  </w:r>
                </w:p>
              </w:tc>
            </w:tr>
            <w:tr w14:paraId="0855B2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24DE9995">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25</w:t>
                  </w:r>
                </w:p>
              </w:tc>
              <w:tc>
                <w:tcPr>
                  <w:tcW w:w="303" w:type="pct"/>
                  <w:vMerge w:val="continue"/>
                  <w:noWrap w:val="0"/>
                  <w:tcMar>
                    <w:top w:w="0" w:type="dxa"/>
                    <w:left w:w="0" w:type="dxa"/>
                    <w:bottom w:w="0" w:type="dxa"/>
                    <w:right w:w="0" w:type="dxa"/>
                  </w:tcMar>
                  <w:vAlign w:val="center"/>
                </w:tcPr>
                <w:p w14:paraId="1CC8B2AA">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continue"/>
                  <w:noWrap w:val="0"/>
                  <w:tcMar>
                    <w:top w:w="0" w:type="dxa"/>
                    <w:left w:w="0" w:type="dxa"/>
                    <w:bottom w:w="0" w:type="dxa"/>
                    <w:right w:w="0" w:type="dxa"/>
                  </w:tcMar>
                  <w:vAlign w:val="center"/>
                </w:tcPr>
                <w:p w14:paraId="68769A5C">
                  <w:pPr>
                    <w:pStyle w:val="91"/>
                    <w:keepNext w:val="0"/>
                    <w:keepLines w:val="0"/>
                    <w:pageBreakBefore w:val="0"/>
                    <w:kinsoku/>
                    <w:wordWrap/>
                    <w:overflowPunct/>
                    <w:topLinePunct w:val="0"/>
                    <w:bidi w:val="0"/>
                    <w:adjustRightInd w:val="0"/>
                    <w:snapToGrid w:val="0"/>
                    <w:rPr>
                      <w:rFonts w:ascii="Times New Roman" w:hAnsi="Times New Roman" w:eastAsia="宋体"/>
                      <w:b w:val="0"/>
                      <w:bCs/>
                      <w:color w:val="auto"/>
                      <w:sz w:val="21"/>
                      <w:szCs w:val="21"/>
                    </w:rPr>
                  </w:pPr>
                </w:p>
              </w:tc>
              <w:tc>
                <w:tcPr>
                  <w:tcW w:w="1066" w:type="pct"/>
                  <w:noWrap w:val="0"/>
                  <w:tcMar>
                    <w:top w:w="0" w:type="dxa"/>
                    <w:left w:w="0" w:type="dxa"/>
                    <w:bottom w:w="0" w:type="dxa"/>
                    <w:right w:w="0" w:type="dxa"/>
                  </w:tcMar>
                  <w:vAlign w:val="center"/>
                </w:tcPr>
                <w:p w14:paraId="1AA8B992">
                  <w:pPr>
                    <w:pStyle w:val="91"/>
                    <w:keepNext w:val="0"/>
                    <w:keepLines w:val="0"/>
                    <w:pageBreakBefore w:val="0"/>
                    <w:kinsoku/>
                    <w:wordWrap/>
                    <w:overflowPunct/>
                    <w:topLinePunct w:val="0"/>
                    <w:bidi w:val="0"/>
                    <w:adjustRightInd w:val="0"/>
                    <w:snapToGrid w:val="0"/>
                    <w:rPr>
                      <w:rFonts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毛细管流变仪</w:t>
                  </w:r>
                </w:p>
              </w:tc>
              <w:tc>
                <w:tcPr>
                  <w:tcW w:w="792" w:type="pct"/>
                  <w:noWrap w:val="0"/>
                  <w:tcMar>
                    <w:top w:w="0" w:type="dxa"/>
                    <w:left w:w="0" w:type="dxa"/>
                    <w:bottom w:w="0" w:type="dxa"/>
                    <w:right w:w="0" w:type="dxa"/>
                  </w:tcMar>
                  <w:vAlign w:val="center"/>
                </w:tcPr>
                <w:p w14:paraId="2B1B1F61">
                  <w:pPr>
                    <w:keepNext w:val="0"/>
                    <w:keepLines w:val="0"/>
                    <w:pageBreakBefore w:val="0"/>
                    <w:widowControl/>
                    <w:kinsoku/>
                    <w:wordWrap/>
                    <w:overflowPunct/>
                    <w:topLinePunct w:val="0"/>
                    <w:bidi w:val="0"/>
                    <w:adjustRightInd w:val="0"/>
                    <w:snapToGrid w:val="0"/>
                    <w:jc w:val="center"/>
                    <w:textAlignment w:val="center"/>
                    <w:rPr>
                      <w:rFonts w:ascii="Times New Roman" w:hAnsi="Times New Roman"/>
                      <w:color w:val="auto"/>
                      <w:kern w:val="2"/>
                      <w:sz w:val="21"/>
                      <w:szCs w:val="21"/>
                      <w:lang w:val="en-US" w:eastAsia="zh-CN" w:bidi="ar-SA"/>
                    </w:rPr>
                  </w:pPr>
                  <w:r>
                    <w:rPr>
                      <w:rFonts w:ascii="Times New Roman" w:hAnsi="Times New Roman"/>
                      <w:color w:val="auto"/>
                      <w:sz w:val="21"/>
                      <w:szCs w:val="21"/>
                    </w:rPr>
                    <w:t>MLW-400B</w:t>
                  </w:r>
                </w:p>
              </w:tc>
              <w:tc>
                <w:tcPr>
                  <w:tcW w:w="498" w:type="pct"/>
                  <w:noWrap w:val="0"/>
                  <w:tcMar>
                    <w:top w:w="0" w:type="dxa"/>
                    <w:left w:w="0" w:type="dxa"/>
                    <w:bottom w:w="0" w:type="dxa"/>
                    <w:right w:w="0" w:type="dxa"/>
                  </w:tcMar>
                  <w:vAlign w:val="center"/>
                </w:tcPr>
                <w:p w14:paraId="41CA7B64">
                  <w:pPr>
                    <w:keepNext w:val="0"/>
                    <w:keepLines w:val="0"/>
                    <w:pageBreakBefore w:val="0"/>
                    <w:kinsoku/>
                    <w:wordWrap/>
                    <w:overflowPunct/>
                    <w:topLinePunct w:val="0"/>
                    <w:bidi w:val="0"/>
                    <w:adjustRightInd w:val="0"/>
                    <w:snapToGrid w:val="0"/>
                    <w:jc w:val="center"/>
                    <w:rPr>
                      <w:rFonts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62B83E13">
                  <w:pPr>
                    <w:keepNext w:val="0"/>
                    <w:keepLines w:val="0"/>
                    <w:pageBreakBefore w:val="0"/>
                    <w:kinsoku/>
                    <w:wordWrap/>
                    <w:overflowPunct/>
                    <w:topLinePunct w:val="0"/>
                    <w:bidi w:val="0"/>
                    <w:adjustRightInd w:val="0"/>
                    <w:snapToGrid w:val="0"/>
                    <w:jc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7" w:type="pct"/>
                  <w:noWrap w:val="0"/>
                  <w:tcMar>
                    <w:top w:w="0" w:type="dxa"/>
                    <w:left w:w="0" w:type="dxa"/>
                    <w:bottom w:w="0" w:type="dxa"/>
                    <w:right w:w="0" w:type="dxa"/>
                  </w:tcMar>
                  <w:vAlign w:val="center"/>
                </w:tcPr>
                <w:p w14:paraId="539010B0">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0F43D292">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b w:val="0"/>
                      <w:bCs/>
                      <w:color w:val="auto"/>
                      <w:kern w:val="2"/>
                      <w:sz w:val="21"/>
                      <w:szCs w:val="21"/>
                      <w:lang w:val="en-US" w:eastAsia="zh-CN" w:bidi="ar-SA"/>
                    </w:rPr>
                    <w:t>新建</w:t>
                  </w:r>
                </w:p>
              </w:tc>
            </w:tr>
            <w:tr w14:paraId="23810F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706E5C49">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26</w:t>
                  </w:r>
                </w:p>
              </w:tc>
              <w:tc>
                <w:tcPr>
                  <w:tcW w:w="303" w:type="pct"/>
                  <w:vMerge w:val="continue"/>
                  <w:noWrap w:val="0"/>
                  <w:tcMar>
                    <w:top w:w="0" w:type="dxa"/>
                    <w:left w:w="0" w:type="dxa"/>
                    <w:bottom w:w="0" w:type="dxa"/>
                    <w:right w:w="0" w:type="dxa"/>
                  </w:tcMar>
                  <w:vAlign w:val="center"/>
                </w:tcPr>
                <w:p w14:paraId="7CB85DE5">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continue"/>
                  <w:noWrap w:val="0"/>
                  <w:tcMar>
                    <w:top w:w="0" w:type="dxa"/>
                    <w:left w:w="0" w:type="dxa"/>
                    <w:bottom w:w="0" w:type="dxa"/>
                    <w:right w:w="0" w:type="dxa"/>
                  </w:tcMar>
                  <w:vAlign w:val="center"/>
                </w:tcPr>
                <w:p w14:paraId="003A5640">
                  <w:pPr>
                    <w:pStyle w:val="91"/>
                    <w:keepNext w:val="0"/>
                    <w:keepLines w:val="0"/>
                    <w:pageBreakBefore w:val="0"/>
                    <w:kinsoku/>
                    <w:wordWrap/>
                    <w:overflowPunct/>
                    <w:topLinePunct w:val="0"/>
                    <w:bidi w:val="0"/>
                    <w:adjustRightInd w:val="0"/>
                    <w:snapToGrid w:val="0"/>
                    <w:rPr>
                      <w:rFonts w:ascii="Times New Roman" w:hAnsi="Times New Roman" w:eastAsia="宋体"/>
                      <w:b w:val="0"/>
                      <w:bCs/>
                      <w:color w:val="auto"/>
                      <w:sz w:val="21"/>
                      <w:szCs w:val="21"/>
                    </w:rPr>
                  </w:pPr>
                </w:p>
              </w:tc>
              <w:tc>
                <w:tcPr>
                  <w:tcW w:w="1066" w:type="pct"/>
                  <w:noWrap w:val="0"/>
                  <w:tcMar>
                    <w:top w:w="0" w:type="dxa"/>
                    <w:left w:w="0" w:type="dxa"/>
                    <w:bottom w:w="0" w:type="dxa"/>
                    <w:right w:w="0" w:type="dxa"/>
                  </w:tcMar>
                  <w:vAlign w:val="center"/>
                </w:tcPr>
                <w:p w14:paraId="0BBDD507">
                  <w:pPr>
                    <w:pStyle w:val="91"/>
                    <w:keepNext w:val="0"/>
                    <w:keepLines w:val="0"/>
                    <w:pageBreakBefore w:val="0"/>
                    <w:kinsoku/>
                    <w:wordWrap/>
                    <w:overflowPunct/>
                    <w:topLinePunct w:val="0"/>
                    <w:bidi w:val="0"/>
                    <w:adjustRightInd w:val="0"/>
                    <w:snapToGrid w:val="0"/>
                    <w:rPr>
                      <w:rFonts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门尼粘度仪</w:t>
                  </w:r>
                </w:p>
              </w:tc>
              <w:tc>
                <w:tcPr>
                  <w:tcW w:w="792" w:type="pct"/>
                  <w:noWrap w:val="0"/>
                  <w:tcMar>
                    <w:top w:w="0" w:type="dxa"/>
                    <w:left w:w="0" w:type="dxa"/>
                    <w:bottom w:w="0" w:type="dxa"/>
                    <w:right w:w="0" w:type="dxa"/>
                  </w:tcMar>
                  <w:vAlign w:val="center"/>
                </w:tcPr>
                <w:p w14:paraId="69496B86">
                  <w:pPr>
                    <w:keepNext w:val="0"/>
                    <w:keepLines w:val="0"/>
                    <w:pageBreakBefore w:val="0"/>
                    <w:widowControl/>
                    <w:kinsoku/>
                    <w:wordWrap/>
                    <w:overflowPunct/>
                    <w:topLinePunct w:val="0"/>
                    <w:bidi w:val="0"/>
                    <w:adjustRightInd w:val="0"/>
                    <w:snapToGrid w:val="0"/>
                    <w:jc w:val="center"/>
                    <w:textAlignment w:val="center"/>
                    <w:rPr>
                      <w:rFonts w:ascii="Times New Roman" w:hAnsi="Times New Roman"/>
                      <w:color w:val="auto"/>
                      <w:kern w:val="2"/>
                      <w:sz w:val="21"/>
                      <w:szCs w:val="21"/>
                      <w:lang w:val="en-US" w:eastAsia="zh-CN" w:bidi="ar-SA"/>
                    </w:rPr>
                  </w:pPr>
                  <w:r>
                    <w:rPr>
                      <w:rFonts w:ascii="Times New Roman" w:hAnsi="Times New Roman"/>
                      <w:color w:val="auto"/>
                      <w:sz w:val="21"/>
                      <w:szCs w:val="21"/>
                    </w:rPr>
                    <w:t>MV2-2000</w:t>
                  </w:r>
                </w:p>
              </w:tc>
              <w:tc>
                <w:tcPr>
                  <w:tcW w:w="498" w:type="pct"/>
                  <w:noWrap w:val="0"/>
                  <w:tcMar>
                    <w:top w:w="0" w:type="dxa"/>
                    <w:left w:w="0" w:type="dxa"/>
                    <w:bottom w:w="0" w:type="dxa"/>
                    <w:right w:w="0" w:type="dxa"/>
                  </w:tcMar>
                  <w:vAlign w:val="center"/>
                </w:tcPr>
                <w:p w14:paraId="0A2EA600">
                  <w:pPr>
                    <w:keepNext w:val="0"/>
                    <w:keepLines w:val="0"/>
                    <w:pageBreakBefore w:val="0"/>
                    <w:kinsoku/>
                    <w:wordWrap/>
                    <w:overflowPunct/>
                    <w:topLinePunct w:val="0"/>
                    <w:bidi w:val="0"/>
                    <w:adjustRightInd w:val="0"/>
                    <w:snapToGrid w:val="0"/>
                    <w:jc w:val="center"/>
                    <w:rPr>
                      <w:rFonts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2EA5BFD0">
                  <w:pPr>
                    <w:keepNext w:val="0"/>
                    <w:keepLines w:val="0"/>
                    <w:pageBreakBefore w:val="0"/>
                    <w:kinsoku/>
                    <w:wordWrap/>
                    <w:overflowPunct/>
                    <w:topLinePunct w:val="0"/>
                    <w:bidi w:val="0"/>
                    <w:adjustRightInd w:val="0"/>
                    <w:snapToGrid w:val="0"/>
                    <w:jc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7" w:type="pct"/>
                  <w:noWrap w:val="0"/>
                  <w:tcMar>
                    <w:top w:w="0" w:type="dxa"/>
                    <w:left w:w="0" w:type="dxa"/>
                    <w:bottom w:w="0" w:type="dxa"/>
                    <w:right w:w="0" w:type="dxa"/>
                  </w:tcMar>
                  <w:vAlign w:val="center"/>
                </w:tcPr>
                <w:p w14:paraId="2DE1A98F">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1DC72531">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b w:val="0"/>
                      <w:bCs/>
                      <w:color w:val="auto"/>
                      <w:kern w:val="2"/>
                      <w:sz w:val="21"/>
                      <w:szCs w:val="21"/>
                      <w:lang w:val="en-US" w:eastAsia="zh-CN" w:bidi="ar-SA"/>
                    </w:rPr>
                    <w:t>新建</w:t>
                  </w:r>
                </w:p>
              </w:tc>
            </w:tr>
            <w:tr w14:paraId="16CB6D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7F90A49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27</w:t>
                  </w:r>
                </w:p>
              </w:tc>
              <w:tc>
                <w:tcPr>
                  <w:tcW w:w="303" w:type="pct"/>
                  <w:vMerge w:val="continue"/>
                  <w:noWrap w:val="0"/>
                  <w:tcMar>
                    <w:top w:w="0" w:type="dxa"/>
                    <w:left w:w="0" w:type="dxa"/>
                    <w:bottom w:w="0" w:type="dxa"/>
                    <w:right w:w="0" w:type="dxa"/>
                  </w:tcMar>
                  <w:vAlign w:val="center"/>
                </w:tcPr>
                <w:p w14:paraId="0A187E22">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continue"/>
                  <w:noWrap w:val="0"/>
                  <w:tcMar>
                    <w:top w:w="0" w:type="dxa"/>
                    <w:left w:w="0" w:type="dxa"/>
                    <w:bottom w:w="0" w:type="dxa"/>
                    <w:right w:w="0" w:type="dxa"/>
                  </w:tcMar>
                  <w:vAlign w:val="center"/>
                </w:tcPr>
                <w:p w14:paraId="05C9211E">
                  <w:pPr>
                    <w:pStyle w:val="91"/>
                    <w:keepNext w:val="0"/>
                    <w:keepLines w:val="0"/>
                    <w:pageBreakBefore w:val="0"/>
                    <w:kinsoku/>
                    <w:wordWrap/>
                    <w:overflowPunct/>
                    <w:topLinePunct w:val="0"/>
                    <w:bidi w:val="0"/>
                    <w:adjustRightInd w:val="0"/>
                    <w:snapToGrid w:val="0"/>
                    <w:rPr>
                      <w:rFonts w:ascii="Times New Roman" w:hAnsi="Times New Roman" w:eastAsia="宋体"/>
                      <w:b w:val="0"/>
                      <w:bCs/>
                      <w:color w:val="auto"/>
                      <w:sz w:val="21"/>
                      <w:szCs w:val="21"/>
                    </w:rPr>
                  </w:pPr>
                </w:p>
              </w:tc>
              <w:tc>
                <w:tcPr>
                  <w:tcW w:w="1066" w:type="pct"/>
                  <w:noWrap w:val="0"/>
                  <w:tcMar>
                    <w:top w:w="0" w:type="dxa"/>
                    <w:left w:w="0" w:type="dxa"/>
                    <w:bottom w:w="0" w:type="dxa"/>
                    <w:right w:w="0" w:type="dxa"/>
                  </w:tcMar>
                  <w:vAlign w:val="center"/>
                </w:tcPr>
                <w:p w14:paraId="6BEB66B3">
                  <w:pPr>
                    <w:pStyle w:val="91"/>
                    <w:keepNext w:val="0"/>
                    <w:keepLines w:val="0"/>
                    <w:pageBreakBefore w:val="0"/>
                    <w:kinsoku/>
                    <w:wordWrap/>
                    <w:overflowPunct/>
                    <w:topLinePunct w:val="0"/>
                    <w:bidi w:val="0"/>
                    <w:adjustRightInd w:val="0"/>
                    <w:snapToGrid w:val="0"/>
                    <w:rPr>
                      <w:rFonts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无转子化仪</w:t>
                  </w:r>
                </w:p>
              </w:tc>
              <w:tc>
                <w:tcPr>
                  <w:tcW w:w="792" w:type="pct"/>
                  <w:noWrap w:val="0"/>
                  <w:tcMar>
                    <w:top w:w="0" w:type="dxa"/>
                    <w:left w:w="0" w:type="dxa"/>
                    <w:bottom w:w="0" w:type="dxa"/>
                    <w:right w:w="0" w:type="dxa"/>
                  </w:tcMar>
                  <w:vAlign w:val="center"/>
                </w:tcPr>
                <w:p w14:paraId="70DB4225">
                  <w:pPr>
                    <w:keepNext w:val="0"/>
                    <w:keepLines w:val="0"/>
                    <w:pageBreakBefore w:val="0"/>
                    <w:widowControl/>
                    <w:kinsoku/>
                    <w:wordWrap/>
                    <w:overflowPunct/>
                    <w:topLinePunct w:val="0"/>
                    <w:bidi w:val="0"/>
                    <w:adjustRightInd w:val="0"/>
                    <w:snapToGrid w:val="0"/>
                    <w:jc w:val="center"/>
                    <w:textAlignment w:val="center"/>
                    <w:rPr>
                      <w:rFonts w:ascii="Times New Roman" w:hAnsi="Times New Roman"/>
                      <w:color w:val="auto"/>
                      <w:kern w:val="2"/>
                      <w:sz w:val="21"/>
                      <w:szCs w:val="21"/>
                      <w:lang w:val="en-US" w:eastAsia="zh-CN" w:bidi="ar-SA"/>
                    </w:rPr>
                  </w:pPr>
                  <w:r>
                    <w:rPr>
                      <w:rFonts w:ascii="Times New Roman" w:hAnsi="Times New Roman"/>
                      <w:color w:val="auto"/>
                      <w:sz w:val="21"/>
                      <w:szCs w:val="21"/>
                    </w:rPr>
                    <w:t>MDR-2000E</w:t>
                  </w:r>
                </w:p>
              </w:tc>
              <w:tc>
                <w:tcPr>
                  <w:tcW w:w="498" w:type="pct"/>
                  <w:noWrap w:val="0"/>
                  <w:tcMar>
                    <w:top w:w="0" w:type="dxa"/>
                    <w:left w:w="0" w:type="dxa"/>
                    <w:bottom w:w="0" w:type="dxa"/>
                    <w:right w:w="0" w:type="dxa"/>
                  </w:tcMar>
                  <w:vAlign w:val="center"/>
                </w:tcPr>
                <w:p w14:paraId="5C83AD43">
                  <w:pPr>
                    <w:keepNext w:val="0"/>
                    <w:keepLines w:val="0"/>
                    <w:pageBreakBefore w:val="0"/>
                    <w:kinsoku/>
                    <w:wordWrap/>
                    <w:overflowPunct/>
                    <w:topLinePunct w:val="0"/>
                    <w:bidi w:val="0"/>
                    <w:adjustRightInd w:val="0"/>
                    <w:snapToGrid w:val="0"/>
                    <w:jc w:val="center"/>
                    <w:rPr>
                      <w:rFonts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6DEA461A">
                  <w:pPr>
                    <w:keepNext w:val="0"/>
                    <w:keepLines w:val="0"/>
                    <w:pageBreakBefore w:val="0"/>
                    <w:kinsoku/>
                    <w:wordWrap/>
                    <w:overflowPunct/>
                    <w:topLinePunct w:val="0"/>
                    <w:bidi w:val="0"/>
                    <w:adjustRightInd w:val="0"/>
                    <w:snapToGrid w:val="0"/>
                    <w:jc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7" w:type="pct"/>
                  <w:noWrap w:val="0"/>
                  <w:tcMar>
                    <w:top w:w="0" w:type="dxa"/>
                    <w:left w:w="0" w:type="dxa"/>
                    <w:bottom w:w="0" w:type="dxa"/>
                    <w:right w:w="0" w:type="dxa"/>
                  </w:tcMar>
                  <w:vAlign w:val="center"/>
                </w:tcPr>
                <w:p w14:paraId="19A26170">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4242526F">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b w:val="0"/>
                      <w:bCs/>
                      <w:color w:val="auto"/>
                      <w:kern w:val="2"/>
                      <w:sz w:val="21"/>
                      <w:szCs w:val="21"/>
                      <w:lang w:val="en-US" w:eastAsia="zh-CN" w:bidi="ar-SA"/>
                    </w:rPr>
                    <w:t>新建</w:t>
                  </w:r>
                </w:p>
              </w:tc>
            </w:tr>
            <w:tr w14:paraId="41A187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6605F6F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28</w:t>
                  </w:r>
                </w:p>
              </w:tc>
              <w:tc>
                <w:tcPr>
                  <w:tcW w:w="303" w:type="pct"/>
                  <w:vMerge w:val="continue"/>
                  <w:noWrap w:val="0"/>
                  <w:tcMar>
                    <w:top w:w="0" w:type="dxa"/>
                    <w:left w:w="0" w:type="dxa"/>
                    <w:bottom w:w="0" w:type="dxa"/>
                    <w:right w:w="0" w:type="dxa"/>
                  </w:tcMar>
                  <w:vAlign w:val="center"/>
                </w:tcPr>
                <w:p w14:paraId="55FA1D79">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continue"/>
                  <w:noWrap w:val="0"/>
                  <w:tcMar>
                    <w:top w:w="0" w:type="dxa"/>
                    <w:left w:w="0" w:type="dxa"/>
                    <w:bottom w:w="0" w:type="dxa"/>
                    <w:right w:w="0" w:type="dxa"/>
                  </w:tcMar>
                  <w:vAlign w:val="center"/>
                </w:tcPr>
                <w:p w14:paraId="569FD281">
                  <w:pPr>
                    <w:pStyle w:val="91"/>
                    <w:keepNext w:val="0"/>
                    <w:keepLines w:val="0"/>
                    <w:pageBreakBefore w:val="0"/>
                    <w:kinsoku/>
                    <w:wordWrap/>
                    <w:overflowPunct/>
                    <w:topLinePunct w:val="0"/>
                    <w:bidi w:val="0"/>
                    <w:adjustRightInd w:val="0"/>
                    <w:snapToGrid w:val="0"/>
                    <w:rPr>
                      <w:rFonts w:ascii="Times New Roman" w:hAnsi="Times New Roman" w:eastAsia="宋体"/>
                      <w:b w:val="0"/>
                      <w:bCs/>
                      <w:color w:val="auto"/>
                      <w:sz w:val="21"/>
                      <w:szCs w:val="21"/>
                    </w:rPr>
                  </w:pPr>
                </w:p>
              </w:tc>
              <w:tc>
                <w:tcPr>
                  <w:tcW w:w="1066" w:type="pct"/>
                  <w:noWrap w:val="0"/>
                  <w:tcMar>
                    <w:top w:w="0" w:type="dxa"/>
                    <w:left w:w="0" w:type="dxa"/>
                    <w:bottom w:w="0" w:type="dxa"/>
                    <w:right w:w="0" w:type="dxa"/>
                  </w:tcMar>
                  <w:vAlign w:val="center"/>
                </w:tcPr>
                <w:p w14:paraId="42C764B6">
                  <w:pPr>
                    <w:pStyle w:val="91"/>
                    <w:keepNext w:val="0"/>
                    <w:keepLines w:val="0"/>
                    <w:pageBreakBefore w:val="0"/>
                    <w:kinsoku/>
                    <w:wordWrap/>
                    <w:overflowPunct/>
                    <w:topLinePunct w:val="0"/>
                    <w:bidi w:val="0"/>
                    <w:adjustRightInd w:val="0"/>
                    <w:snapToGrid w:val="0"/>
                    <w:rPr>
                      <w:rFonts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注塑机</w:t>
                  </w:r>
                </w:p>
              </w:tc>
              <w:tc>
                <w:tcPr>
                  <w:tcW w:w="792" w:type="pct"/>
                  <w:noWrap w:val="0"/>
                  <w:tcMar>
                    <w:top w:w="0" w:type="dxa"/>
                    <w:left w:w="0" w:type="dxa"/>
                    <w:bottom w:w="0" w:type="dxa"/>
                    <w:right w:w="0" w:type="dxa"/>
                  </w:tcMar>
                  <w:vAlign w:val="center"/>
                </w:tcPr>
                <w:p w14:paraId="060D734B">
                  <w:pPr>
                    <w:keepNext w:val="0"/>
                    <w:keepLines w:val="0"/>
                    <w:pageBreakBefore w:val="0"/>
                    <w:widowControl/>
                    <w:kinsoku/>
                    <w:wordWrap/>
                    <w:overflowPunct/>
                    <w:topLinePunct w:val="0"/>
                    <w:bidi w:val="0"/>
                    <w:adjustRightInd w:val="0"/>
                    <w:snapToGrid w:val="0"/>
                    <w:jc w:val="center"/>
                    <w:textAlignment w:val="center"/>
                    <w:rPr>
                      <w:rFonts w:ascii="Times New Roman" w:hAnsi="Times New Roman"/>
                      <w:color w:val="auto"/>
                      <w:kern w:val="2"/>
                      <w:sz w:val="21"/>
                      <w:szCs w:val="21"/>
                      <w:lang w:val="en-US" w:eastAsia="zh-CN" w:bidi="ar-SA"/>
                    </w:rPr>
                  </w:pPr>
                  <w:r>
                    <w:rPr>
                      <w:rFonts w:ascii="Times New Roman" w:hAnsi="Times New Roman"/>
                      <w:color w:val="auto"/>
                      <w:sz w:val="21"/>
                      <w:szCs w:val="21"/>
                    </w:rPr>
                    <w:t>HYD-200g</w:t>
                  </w:r>
                </w:p>
              </w:tc>
              <w:tc>
                <w:tcPr>
                  <w:tcW w:w="498" w:type="pct"/>
                  <w:noWrap w:val="0"/>
                  <w:tcMar>
                    <w:top w:w="0" w:type="dxa"/>
                    <w:left w:w="0" w:type="dxa"/>
                    <w:bottom w:w="0" w:type="dxa"/>
                    <w:right w:w="0" w:type="dxa"/>
                  </w:tcMar>
                  <w:vAlign w:val="center"/>
                </w:tcPr>
                <w:p w14:paraId="1A4D3D8B">
                  <w:pPr>
                    <w:keepNext w:val="0"/>
                    <w:keepLines w:val="0"/>
                    <w:pageBreakBefore w:val="0"/>
                    <w:kinsoku/>
                    <w:wordWrap/>
                    <w:overflowPunct/>
                    <w:topLinePunct w:val="0"/>
                    <w:bidi w:val="0"/>
                    <w:adjustRightInd w:val="0"/>
                    <w:snapToGrid w:val="0"/>
                    <w:jc w:val="center"/>
                    <w:rPr>
                      <w:rFonts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6788EAF8">
                  <w:pPr>
                    <w:keepNext w:val="0"/>
                    <w:keepLines w:val="0"/>
                    <w:pageBreakBefore w:val="0"/>
                    <w:kinsoku/>
                    <w:wordWrap/>
                    <w:overflowPunct/>
                    <w:topLinePunct w:val="0"/>
                    <w:bidi w:val="0"/>
                    <w:adjustRightInd w:val="0"/>
                    <w:snapToGrid w:val="0"/>
                    <w:jc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7" w:type="pct"/>
                  <w:noWrap w:val="0"/>
                  <w:tcMar>
                    <w:top w:w="0" w:type="dxa"/>
                    <w:left w:w="0" w:type="dxa"/>
                    <w:bottom w:w="0" w:type="dxa"/>
                    <w:right w:w="0" w:type="dxa"/>
                  </w:tcMar>
                  <w:vAlign w:val="center"/>
                </w:tcPr>
                <w:p w14:paraId="0E2BD552">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53FCD72A">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b w:val="0"/>
                      <w:bCs/>
                      <w:color w:val="auto"/>
                      <w:kern w:val="2"/>
                      <w:sz w:val="21"/>
                      <w:szCs w:val="21"/>
                      <w:lang w:val="en-US" w:eastAsia="zh-CN" w:bidi="ar-SA"/>
                    </w:rPr>
                    <w:t>新建</w:t>
                  </w:r>
                </w:p>
              </w:tc>
            </w:tr>
            <w:tr w14:paraId="37A28E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673E44B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29</w:t>
                  </w:r>
                </w:p>
              </w:tc>
              <w:tc>
                <w:tcPr>
                  <w:tcW w:w="303" w:type="pct"/>
                  <w:vMerge w:val="continue"/>
                  <w:noWrap w:val="0"/>
                  <w:tcMar>
                    <w:top w:w="0" w:type="dxa"/>
                    <w:left w:w="0" w:type="dxa"/>
                    <w:bottom w:w="0" w:type="dxa"/>
                    <w:right w:w="0" w:type="dxa"/>
                  </w:tcMar>
                  <w:vAlign w:val="center"/>
                </w:tcPr>
                <w:p w14:paraId="46EACE58">
                  <w:pPr>
                    <w:keepNext w:val="0"/>
                    <w:keepLines w:val="0"/>
                    <w:pageBreakBefore w:val="0"/>
                    <w:kinsoku/>
                    <w:wordWrap/>
                    <w:overflowPunct/>
                    <w:topLinePunct w:val="0"/>
                    <w:autoSpaceDE w:val="0"/>
                    <w:autoSpaceDN w:val="0"/>
                    <w:bidi w:val="0"/>
                    <w:adjustRightInd w:val="0"/>
                    <w:snapToGrid w:val="0"/>
                    <w:jc w:val="center"/>
                    <w:rPr>
                      <w:rFonts w:hint="default" w:ascii="Times New Roman" w:hAnsi="Times New Roman" w:eastAsia="宋体" w:cs="Times New Roman"/>
                      <w:color w:val="auto"/>
                      <w:sz w:val="21"/>
                      <w:szCs w:val="21"/>
                    </w:rPr>
                  </w:pPr>
                </w:p>
              </w:tc>
              <w:tc>
                <w:tcPr>
                  <w:tcW w:w="588" w:type="pct"/>
                  <w:vMerge w:val="continue"/>
                  <w:noWrap w:val="0"/>
                  <w:tcMar>
                    <w:top w:w="0" w:type="dxa"/>
                    <w:left w:w="0" w:type="dxa"/>
                    <w:bottom w:w="0" w:type="dxa"/>
                    <w:right w:w="0" w:type="dxa"/>
                  </w:tcMar>
                  <w:vAlign w:val="center"/>
                </w:tcPr>
                <w:p w14:paraId="36BC7B52">
                  <w:pPr>
                    <w:pStyle w:val="91"/>
                    <w:keepNext w:val="0"/>
                    <w:keepLines w:val="0"/>
                    <w:pageBreakBefore w:val="0"/>
                    <w:kinsoku/>
                    <w:wordWrap/>
                    <w:overflowPunct/>
                    <w:topLinePunct w:val="0"/>
                    <w:bidi w:val="0"/>
                    <w:adjustRightInd w:val="0"/>
                    <w:snapToGrid w:val="0"/>
                    <w:rPr>
                      <w:rFonts w:ascii="Times New Roman" w:hAnsi="Times New Roman" w:eastAsia="宋体"/>
                      <w:b w:val="0"/>
                      <w:bCs/>
                      <w:color w:val="auto"/>
                      <w:sz w:val="21"/>
                      <w:szCs w:val="21"/>
                    </w:rPr>
                  </w:pPr>
                </w:p>
              </w:tc>
              <w:tc>
                <w:tcPr>
                  <w:tcW w:w="1066" w:type="pct"/>
                  <w:noWrap w:val="0"/>
                  <w:tcMar>
                    <w:top w:w="0" w:type="dxa"/>
                    <w:left w:w="0" w:type="dxa"/>
                    <w:bottom w:w="0" w:type="dxa"/>
                    <w:right w:w="0" w:type="dxa"/>
                  </w:tcMar>
                  <w:vAlign w:val="center"/>
                </w:tcPr>
                <w:p w14:paraId="18E4373A">
                  <w:pPr>
                    <w:pStyle w:val="91"/>
                    <w:keepNext w:val="0"/>
                    <w:keepLines w:val="0"/>
                    <w:pageBreakBefore w:val="0"/>
                    <w:kinsoku/>
                    <w:wordWrap/>
                    <w:overflowPunct/>
                    <w:topLinePunct w:val="0"/>
                    <w:bidi w:val="0"/>
                    <w:adjustRightInd w:val="0"/>
                    <w:snapToGrid w:val="0"/>
                    <w:rPr>
                      <w:rFonts w:ascii="Times New Roman" w:hAnsi="Times New Roman" w:eastAsia="宋体"/>
                      <w:b w:val="0"/>
                      <w:bCs/>
                      <w:color w:val="auto"/>
                      <w:kern w:val="2"/>
                      <w:sz w:val="21"/>
                      <w:szCs w:val="21"/>
                      <w:lang w:val="en-US" w:eastAsia="zh-CN" w:bidi="ar-SA"/>
                    </w:rPr>
                  </w:pPr>
                  <w:r>
                    <w:rPr>
                      <w:rFonts w:ascii="Times New Roman" w:hAnsi="Times New Roman" w:eastAsia="宋体"/>
                      <w:b w:val="0"/>
                      <w:bCs/>
                      <w:color w:val="auto"/>
                      <w:sz w:val="21"/>
                      <w:szCs w:val="21"/>
                    </w:rPr>
                    <w:t>烘箱</w:t>
                  </w:r>
                </w:p>
              </w:tc>
              <w:tc>
                <w:tcPr>
                  <w:tcW w:w="792" w:type="pct"/>
                  <w:noWrap w:val="0"/>
                  <w:tcMar>
                    <w:top w:w="0" w:type="dxa"/>
                    <w:left w:w="0" w:type="dxa"/>
                    <w:bottom w:w="0" w:type="dxa"/>
                    <w:right w:w="0" w:type="dxa"/>
                  </w:tcMar>
                  <w:vAlign w:val="center"/>
                </w:tcPr>
                <w:p w14:paraId="7AA5056F">
                  <w:pPr>
                    <w:keepNext w:val="0"/>
                    <w:keepLines w:val="0"/>
                    <w:pageBreakBefore w:val="0"/>
                    <w:widowControl/>
                    <w:kinsoku/>
                    <w:wordWrap/>
                    <w:overflowPunct/>
                    <w:topLinePunct w:val="0"/>
                    <w:bidi w:val="0"/>
                    <w:adjustRightInd w:val="0"/>
                    <w:snapToGrid w:val="0"/>
                    <w:jc w:val="center"/>
                    <w:textAlignment w:val="center"/>
                    <w:rPr>
                      <w:rFonts w:ascii="Times New Roman" w:hAnsi="Times New Roman"/>
                      <w:color w:val="auto"/>
                      <w:kern w:val="2"/>
                      <w:sz w:val="21"/>
                      <w:szCs w:val="21"/>
                      <w:lang w:val="en-US" w:eastAsia="zh-CN" w:bidi="ar-SA"/>
                    </w:rPr>
                  </w:pPr>
                  <w:r>
                    <w:rPr>
                      <w:rFonts w:ascii="Times New Roman" w:hAnsi="Times New Roman"/>
                      <w:color w:val="auto"/>
                      <w:sz w:val="21"/>
                      <w:szCs w:val="21"/>
                    </w:rPr>
                    <w:t>/</w:t>
                  </w:r>
                </w:p>
              </w:tc>
              <w:tc>
                <w:tcPr>
                  <w:tcW w:w="498" w:type="pct"/>
                  <w:noWrap w:val="0"/>
                  <w:tcMar>
                    <w:top w:w="0" w:type="dxa"/>
                    <w:left w:w="0" w:type="dxa"/>
                    <w:bottom w:w="0" w:type="dxa"/>
                    <w:right w:w="0" w:type="dxa"/>
                  </w:tcMar>
                  <w:vAlign w:val="center"/>
                </w:tcPr>
                <w:p w14:paraId="6DFB9A0B">
                  <w:pPr>
                    <w:keepNext w:val="0"/>
                    <w:keepLines w:val="0"/>
                    <w:pageBreakBefore w:val="0"/>
                    <w:kinsoku/>
                    <w:wordWrap/>
                    <w:overflowPunct/>
                    <w:topLinePunct w:val="0"/>
                    <w:bidi w:val="0"/>
                    <w:adjustRightInd w:val="0"/>
                    <w:snapToGrid w:val="0"/>
                    <w:jc w:val="center"/>
                    <w:rPr>
                      <w:rFonts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4" w:type="pct"/>
                  <w:noWrap w:val="0"/>
                  <w:tcMar>
                    <w:top w:w="0" w:type="dxa"/>
                    <w:left w:w="0" w:type="dxa"/>
                    <w:bottom w:w="0" w:type="dxa"/>
                    <w:right w:w="0" w:type="dxa"/>
                  </w:tcMar>
                  <w:vAlign w:val="center"/>
                </w:tcPr>
                <w:p w14:paraId="55307344">
                  <w:pPr>
                    <w:keepNext w:val="0"/>
                    <w:keepLines w:val="0"/>
                    <w:pageBreakBefore w:val="0"/>
                    <w:kinsoku/>
                    <w:wordWrap/>
                    <w:overflowPunct/>
                    <w:topLinePunct w:val="0"/>
                    <w:bidi w:val="0"/>
                    <w:adjustRightInd w:val="0"/>
                    <w:snapToGrid w:val="0"/>
                    <w:jc w:val="center"/>
                    <w:rPr>
                      <w:rFonts w:hint="default" w:ascii="Times New Roman" w:hAnsi="Times New Roman"/>
                      <w:bCs/>
                      <w:color w:val="auto"/>
                      <w:kern w:val="2"/>
                      <w:sz w:val="21"/>
                      <w:szCs w:val="21"/>
                      <w:lang w:val="en-US" w:eastAsia="zh-CN" w:bidi="ar-SA"/>
                    </w:rPr>
                  </w:pPr>
                  <w:r>
                    <w:rPr>
                      <w:rFonts w:ascii="Times New Roman" w:hAnsi="Times New Roman"/>
                      <w:color w:val="auto"/>
                      <w:kern w:val="0"/>
                      <w:sz w:val="21"/>
                      <w:szCs w:val="21"/>
                    </w:rPr>
                    <w:t>1</w:t>
                  </w:r>
                </w:p>
              </w:tc>
              <w:tc>
                <w:tcPr>
                  <w:tcW w:w="437" w:type="pct"/>
                  <w:noWrap w:val="0"/>
                  <w:tcMar>
                    <w:top w:w="0" w:type="dxa"/>
                    <w:left w:w="0" w:type="dxa"/>
                    <w:bottom w:w="0" w:type="dxa"/>
                    <w:right w:w="0" w:type="dxa"/>
                  </w:tcMar>
                  <w:vAlign w:val="center"/>
                </w:tcPr>
                <w:p w14:paraId="1325567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4788F5A4">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b w:val="0"/>
                      <w:bCs/>
                      <w:color w:val="auto"/>
                      <w:kern w:val="2"/>
                      <w:sz w:val="21"/>
                      <w:szCs w:val="21"/>
                      <w:lang w:val="en-US" w:eastAsia="zh-CN" w:bidi="ar-SA"/>
                    </w:rPr>
                    <w:t>新建</w:t>
                  </w:r>
                </w:p>
              </w:tc>
            </w:tr>
            <w:tr w14:paraId="2F3C90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7AB332E2">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30</w:t>
                  </w:r>
                </w:p>
              </w:tc>
              <w:tc>
                <w:tcPr>
                  <w:tcW w:w="303" w:type="pct"/>
                  <w:noWrap w:val="0"/>
                  <w:tcMar>
                    <w:top w:w="0" w:type="dxa"/>
                    <w:left w:w="0" w:type="dxa"/>
                    <w:bottom w:w="0" w:type="dxa"/>
                    <w:right w:w="0" w:type="dxa"/>
                  </w:tcMar>
                  <w:vAlign w:val="center"/>
                </w:tcPr>
                <w:p w14:paraId="468F3813">
                  <w:pPr>
                    <w:pStyle w:val="91"/>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val="0"/>
                      <w:bCs/>
                      <w:color w:val="auto"/>
                      <w:sz w:val="21"/>
                      <w:szCs w:val="21"/>
                      <w:lang w:val="en-US" w:eastAsia="zh-CN"/>
                    </w:rPr>
                  </w:pPr>
                  <w:r>
                    <w:rPr>
                      <w:rFonts w:ascii="Times New Roman" w:hAnsi="Times New Roman" w:eastAsia="宋体" w:cs="Times New Roman"/>
                      <w:b w:val="0"/>
                      <w:bCs/>
                      <w:color w:val="auto"/>
                      <w:sz w:val="21"/>
                      <w:szCs w:val="21"/>
                    </w:rPr>
                    <w:t>辅助设备</w:t>
                  </w:r>
                </w:p>
              </w:tc>
              <w:tc>
                <w:tcPr>
                  <w:tcW w:w="588" w:type="pct"/>
                  <w:noWrap w:val="0"/>
                  <w:tcMar>
                    <w:top w:w="0" w:type="dxa"/>
                    <w:left w:w="0" w:type="dxa"/>
                    <w:bottom w:w="0" w:type="dxa"/>
                    <w:right w:w="0" w:type="dxa"/>
                  </w:tcMar>
                  <w:vAlign w:val="center"/>
                </w:tcPr>
                <w:p w14:paraId="3F98A1CF">
                  <w:pPr>
                    <w:pStyle w:val="91"/>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b w:val="0"/>
                      <w:bCs/>
                      <w:color w:val="auto"/>
                      <w:sz w:val="21"/>
                      <w:szCs w:val="21"/>
                      <w:lang w:val="en-US" w:eastAsia="zh-CN"/>
                    </w:rPr>
                  </w:pPr>
                  <w:r>
                    <w:rPr>
                      <w:rFonts w:ascii="Times New Roman" w:hAnsi="Times New Roman" w:eastAsia="宋体" w:cs="Times New Roman"/>
                      <w:b w:val="0"/>
                      <w:bCs/>
                      <w:color w:val="auto"/>
                      <w:sz w:val="21"/>
                      <w:szCs w:val="21"/>
                    </w:rPr>
                    <w:t>提供动力</w:t>
                  </w:r>
                </w:p>
              </w:tc>
              <w:tc>
                <w:tcPr>
                  <w:tcW w:w="1066" w:type="pct"/>
                  <w:noWrap w:val="0"/>
                  <w:tcMar>
                    <w:top w:w="0" w:type="dxa"/>
                    <w:left w:w="0" w:type="dxa"/>
                    <w:bottom w:w="0" w:type="dxa"/>
                    <w:right w:w="0" w:type="dxa"/>
                  </w:tcMar>
                  <w:vAlign w:val="center"/>
                </w:tcPr>
                <w:p w14:paraId="1BD1BA45">
                  <w:pPr>
                    <w:pStyle w:val="91"/>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b w:val="0"/>
                      <w:bCs/>
                      <w:color w:val="auto"/>
                      <w:sz w:val="21"/>
                      <w:szCs w:val="21"/>
                      <w:lang w:val="en-US" w:eastAsia="zh-CN"/>
                    </w:rPr>
                  </w:pPr>
                  <w:r>
                    <w:rPr>
                      <w:rFonts w:ascii="Times New Roman" w:hAnsi="Times New Roman" w:eastAsia="宋体" w:cs="Times New Roman"/>
                      <w:b w:val="0"/>
                      <w:bCs/>
                      <w:color w:val="auto"/>
                      <w:sz w:val="21"/>
                      <w:szCs w:val="21"/>
                    </w:rPr>
                    <w:t>空压机</w:t>
                  </w:r>
                </w:p>
              </w:tc>
              <w:tc>
                <w:tcPr>
                  <w:tcW w:w="792" w:type="pct"/>
                  <w:noWrap w:val="0"/>
                  <w:tcMar>
                    <w:top w:w="0" w:type="dxa"/>
                    <w:left w:w="0" w:type="dxa"/>
                    <w:bottom w:w="0" w:type="dxa"/>
                    <w:right w:w="0" w:type="dxa"/>
                  </w:tcMar>
                  <w:vAlign w:val="center"/>
                </w:tcPr>
                <w:p w14:paraId="6C88A76A">
                  <w:pPr>
                    <w:pStyle w:val="91"/>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b w:val="0"/>
                      <w:bCs/>
                      <w:color w:val="auto"/>
                      <w:sz w:val="21"/>
                      <w:szCs w:val="21"/>
                      <w:lang w:val="en-US" w:eastAsia="zh-CN"/>
                    </w:rPr>
                  </w:pPr>
                  <w:r>
                    <w:rPr>
                      <w:rFonts w:ascii="Times New Roman" w:hAnsi="Times New Roman" w:eastAsia="宋体" w:cs="Times New Roman"/>
                      <w:b w:val="0"/>
                      <w:bCs/>
                      <w:color w:val="auto"/>
                      <w:sz w:val="21"/>
                      <w:szCs w:val="21"/>
                    </w:rPr>
                    <w:t>/</w:t>
                  </w:r>
                </w:p>
              </w:tc>
              <w:tc>
                <w:tcPr>
                  <w:tcW w:w="498" w:type="pct"/>
                  <w:noWrap w:val="0"/>
                  <w:tcMar>
                    <w:top w:w="0" w:type="dxa"/>
                    <w:left w:w="0" w:type="dxa"/>
                    <w:bottom w:w="0" w:type="dxa"/>
                    <w:right w:w="0" w:type="dxa"/>
                  </w:tcMar>
                  <w:vAlign w:val="center"/>
                </w:tcPr>
                <w:p w14:paraId="66C851E2">
                  <w:pPr>
                    <w:pStyle w:val="91"/>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b w:val="0"/>
                      <w:bCs/>
                      <w:color w:val="auto"/>
                      <w:sz w:val="21"/>
                      <w:szCs w:val="21"/>
                      <w:lang w:val="en-US" w:eastAsia="zh-CN"/>
                    </w:rPr>
                  </w:pPr>
                  <w:r>
                    <w:rPr>
                      <w:rFonts w:ascii="Times New Roman" w:hAnsi="Times New Roman" w:eastAsia="宋体" w:cs="Times New Roman"/>
                      <w:b w:val="0"/>
                      <w:bCs/>
                      <w:color w:val="auto"/>
                      <w:sz w:val="21"/>
                      <w:szCs w:val="21"/>
                    </w:rPr>
                    <w:t>1</w:t>
                  </w:r>
                </w:p>
              </w:tc>
              <w:tc>
                <w:tcPr>
                  <w:tcW w:w="434" w:type="pct"/>
                  <w:noWrap w:val="0"/>
                  <w:tcMar>
                    <w:top w:w="0" w:type="dxa"/>
                    <w:left w:w="0" w:type="dxa"/>
                    <w:bottom w:w="0" w:type="dxa"/>
                    <w:right w:w="0" w:type="dxa"/>
                  </w:tcMar>
                  <w:vAlign w:val="center"/>
                </w:tcPr>
                <w:p w14:paraId="0BE89CF5">
                  <w:pPr>
                    <w:pStyle w:val="91"/>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val="0"/>
                      <w:bCs/>
                      <w:color w:val="auto"/>
                      <w:kern w:val="2"/>
                      <w:sz w:val="21"/>
                      <w:szCs w:val="21"/>
                      <w:lang w:val="en-US" w:eastAsia="zh-CN" w:bidi="ar-SA"/>
                    </w:rPr>
                  </w:pPr>
                  <w:r>
                    <w:rPr>
                      <w:rFonts w:ascii="Times New Roman" w:hAnsi="Times New Roman" w:eastAsia="宋体" w:cs="Times New Roman"/>
                      <w:b w:val="0"/>
                      <w:bCs/>
                      <w:color w:val="auto"/>
                      <w:sz w:val="21"/>
                      <w:szCs w:val="21"/>
                    </w:rPr>
                    <w:t>1</w:t>
                  </w:r>
                </w:p>
              </w:tc>
              <w:tc>
                <w:tcPr>
                  <w:tcW w:w="437" w:type="pct"/>
                  <w:noWrap w:val="0"/>
                  <w:tcMar>
                    <w:top w:w="0" w:type="dxa"/>
                    <w:left w:w="0" w:type="dxa"/>
                    <w:bottom w:w="0" w:type="dxa"/>
                    <w:right w:w="0" w:type="dxa"/>
                  </w:tcMar>
                  <w:vAlign w:val="center"/>
                </w:tcPr>
                <w:p w14:paraId="3BD30DD8">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6B399396">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067AC7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313724F6">
                  <w:pPr>
                    <w:pStyle w:val="91"/>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sz w:val="21"/>
                      <w:szCs w:val="21"/>
                      <w:lang w:val="en-US" w:eastAsia="zh-CN"/>
                    </w:rPr>
                    <w:t>31</w:t>
                  </w:r>
                </w:p>
              </w:tc>
              <w:tc>
                <w:tcPr>
                  <w:tcW w:w="303" w:type="pct"/>
                  <w:vMerge w:val="restart"/>
                  <w:noWrap w:val="0"/>
                  <w:tcMar>
                    <w:top w:w="0" w:type="dxa"/>
                    <w:left w:w="0" w:type="dxa"/>
                    <w:bottom w:w="0" w:type="dxa"/>
                    <w:right w:w="0" w:type="dxa"/>
                  </w:tcMar>
                  <w:vAlign w:val="center"/>
                </w:tcPr>
                <w:p w14:paraId="470D19DB">
                  <w:pPr>
                    <w:pStyle w:val="91"/>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val="0"/>
                      <w:bCs/>
                      <w:color w:val="auto"/>
                      <w:sz w:val="21"/>
                      <w:szCs w:val="21"/>
                      <w:lang w:val="en-US" w:eastAsia="zh-CN"/>
                    </w:rPr>
                  </w:pPr>
                  <w:r>
                    <w:rPr>
                      <w:rFonts w:ascii="Times New Roman" w:hAnsi="Times New Roman" w:eastAsia="宋体" w:cs="Times New Roman"/>
                      <w:b w:val="0"/>
                      <w:bCs/>
                      <w:color w:val="auto"/>
                      <w:sz w:val="21"/>
                      <w:szCs w:val="21"/>
                    </w:rPr>
                    <w:t>环保设备</w:t>
                  </w:r>
                </w:p>
              </w:tc>
              <w:tc>
                <w:tcPr>
                  <w:tcW w:w="588" w:type="pct"/>
                  <w:vMerge w:val="restart"/>
                  <w:noWrap w:val="0"/>
                  <w:tcMar>
                    <w:top w:w="0" w:type="dxa"/>
                    <w:left w:w="0" w:type="dxa"/>
                    <w:bottom w:w="0" w:type="dxa"/>
                    <w:right w:w="0" w:type="dxa"/>
                  </w:tcMar>
                  <w:vAlign w:val="center"/>
                </w:tcPr>
                <w:p w14:paraId="7ED32752">
                  <w:pPr>
                    <w:pStyle w:val="91"/>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b w:val="0"/>
                      <w:bCs/>
                      <w:color w:val="auto"/>
                      <w:sz w:val="21"/>
                      <w:szCs w:val="21"/>
                      <w:lang w:val="en-US" w:eastAsia="zh-CN"/>
                    </w:rPr>
                  </w:pPr>
                  <w:r>
                    <w:rPr>
                      <w:rFonts w:ascii="Times New Roman" w:hAnsi="Times New Roman" w:eastAsia="宋体" w:cs="Times New Roman"/>
                      <w:b w:val="0"/>
                      <w:bCs/>
                      <w:color w:val="auto"/>
                      <w:sz w:val="21"/>
                      <w:szCs w:val="21"/>
                    </w:rPr>
                    <w:t>处理废气</w:t>
                  </w:r>
                </w:p>
              </w:tc>
              <w:tc>
                <w:tcPr>
                  <w:tcW w:w="1066" w:type="pct"/>
                  <w:noWrap w:val="0"/>
                  <w:tcMar>
                    <w:top w:w="0" w:type="dxa"/>
                    <w:left w:w="0" w:type="dxa"/>
                    <w:bottom w:w="0" w:type="dxa"/>
                    <w:right w:w="0" w:type="dxa"/>
                  </w:tcMar>
                  <w:vAlign w:val="center"/>
                </w:tcPr>
                <w:p w14:paraId="70AEBF5A">
                  <w:pPr>
                    <w:pStyle w:val="91"/>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b w:val="0"/>
                      <w:bCs/>
                      <w:color w:val="auto"/>
                      <w:sz w:val="21"/>
                      <w:szCs w:val="21"/>
                      <w:lang w:val="en-US" w:eastAsia="zh-CN"/>
                    </w:rPr>
                  </w:pPr>
                  <w:r>
                    <w:rPr>
                      <w:rFonts w:ascii="Times New Roman" w:hAnsi="Times New Roman" w:eastAsia="宋体" w:cs="Times New Roman"/>
                      <w:b w:val="0"/>
                      <w:bCs/>
                      <w:color w:val="auto"/>
                      <w:sz w:val="21"/>
                      <w:szCs w:val="21"/>
                    </w:rPr>
                    <w:t>布袋除尘器</w:t>
                  </w:r>
                </w:p>
              </w:tc>
              <w:tc>
                <w:tcPr>
                  <w:tcW w:w="792" w:type="pct"/>
                  <w:noWrap w:val="0"/>
                  <w:tcMar>
                    <w:top w:w="0" w:type="dxa"/>
                    <w:left w:w="0" w:type="dxa"/>
                    <w:bottom w:w="0" w:type="dxa"/>
                    <w:right w:w="0" w:type="dxa"/>
                  </w:tcMar>
                  <w:vAlign w:val="center"/>
                </w:tcPr>
                <w:p w14:paraId="39A7F2F9">
                  <w:pPr>
                    <w:pStyle w:val="91"/>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b w:val="0"/>
                      <w:bCs/>
                      <w:color w:val="auto"/>
                      <w:sz w:val="21"/>
                      <w:szCs w:val="21"/>
                      <w:lang w:val="en-US" w:eastAsia="zh-CN"/>
                    </w:rPr>
                  </w:pPr>
                  <w:r>
                    <w:rPr>
                      <w:rFonts w:ascii="Times New Roman" w:hAnsi="Times New Roman" w:eastAsia="宋体" w:cs="Times New Roman"/>
                      <w:b w:val="0"/>
                      <w:bCs/>
                      <w:color w:val="auto"/>
                      <w:sz w:val="21"/>
                      <w:szCs w:val="21"/>
                    </w:rPr>
                    <w:t>/</w:t>
                  </w:r>
                </w:p>
              </w:tc>
              <w:tc>
                <w:tcPr>
                  <w:tcW w:w="498" w:type="pct"/>
                  <w:noWrap w:val="0"/>
                  <w:tcMar>
                    <w:top w:w="0" w:type="dxa"/>
                    <w:left w:w="0" w:type="dxa"/>
                    <w:bottom w:w="0" w:type="dxa"/>
                    <w:right w:w="0" w:type="dxa"/>
                  </w:tcMar>
                  <w:vAlign w:val="center"/>
                </w:tcPr>
                <w:p w14:paraId="7222F58E">
                  <w:pPr>
                    <w:pStyle w:val="91"/>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b w:val="0"/>
                      <w:bCs/>
                      <w:color w:val="auto"/>
                      <w:sz w:val="21"/>
                      <w:szCs w:val="21"/>
                      <w:lang w:val="en-US" w:eastAsia="zh-CN"/>
                    </w:rPr>
                  </w:pPr>
                  <w:r>
                    <w:rPr>
                      <w:rFonts w:ascii="Times New Roman" w:hAnsi="Times New Roman" w:eastAsia="宋体" w:cs="Times New Roman"/>
                      <w:b w:val="0"/>
                      <w:bCs/>
                      <w:color w:val="auto"/>
                      <w:sz w:val="21"/>
                      <w:szCs w:val="21"/>
                    </w:rPr>
                    <w:t>1</w:t>
                  </w:r>
                </w:p>
              </w:tc>
              <w:tc>
                <w:tcPr>
                  <w:tcW w:w="434" w:type="pct"/>
                  <w:noWrap w:val="0"/>
                  <w:tcMar>
                    <w:top w:w="0" w:type="dxa"/>
                    <w:left w:w="0" w:type="dxa"/>
                    <w:bottom w:w="0" w:type="dxa"/>
                    <w:right w:w="0" w:type="dxa"/>
                  </w:tcMar>
                  <w:vAlign w:val="center"/>
                </w:tcPr>
                <w:p w14:paraId="5184885D">
                  <w:pPr>
                    <w:pStyle w:val="91"/>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val="0"/>
                      <w:bCs/>
                      <w:color w:val="auto"/>
                      <w:kern w:val="2"/>
                      <w:sz w:val="21"/>
                      <w:szCs w:val="21"/>
                      <w:lang w:val="en-US" w:eastAsia="zh-CN" w:bidi="ar-SA"/>
                    </w:rPr>
                  </w:pPr>
                  <w:r>
                    <w:rPr>
                      <w:rFonts w:ascii="Times New Roman" w:hAnsi="Times New Roman" w:eastAsia="宋体" w:cs="Times New Roman"/>
                      <w:b w:val="0"/>
                      <w:bCs/>
                      <w:color w:val="auto"/>
                      <w:sz w:val="21"/>
                      <w:szCs w:val="21"/>
                    </w:rPr>
                    <w:t>1</w:t>
                  </w:r>
                </w:p>
              </w:tc>
              <w:tc>
                <w:tcPr>
                  <w:tcW w:w="437" w:type="pct"/>
                  <w:noWrap w:val="0"/>
                  <w:tcMar>
                    <w:top w:w="0" w:type="dxa"/>
                    <w:left w:w="0" w:type="dxa"/>
                    <w:bottom w:w="0" w:type="dxa"/>
                    <w:right w:w="0" w:type="dxa"/>
                  </w:tcMar>
                  <w:vAlign w:val="center"/>
                </w:tcPr>
                <w:p w14:paraId="747E89A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59C6EA26">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r w14:paraId="3295C7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5" w:type="pct"/>
                  <w:shd w:val="clear" w:color="auto" w:fill="auto"/>
                  <w:noWrap w:val="0"/>
                  <w:tcMar>
                    <w:top w:w="0" w:type="dxa"/>
                    <w:left w:w="0" w:type="dxa"/>
                    <w:bottom w:w="0" w:type="dxa"/>
                    <w:right w:w="0" w:type="dxa"/>
                  </w:tcMar>
                  <w:vAlign w:val="center"/>
                </w:tcPr>
                <w:p w14:paraId="056EE0E7">
                  <w:pPr>
                    <w:pStyle w:val="91"/>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sz w:val="21"/>
                      <w:szCs w:val="21"/>
                      <w:lang w:val="en-US" w:eastAsia="zh-CN"/>
                    </w:rPr>
                    <w:t>32</w:t>
                  </w:r>
                </w:p>
              </w:tc>
              <w:tc>
                <w:tcPr>
                  <w:tcW w:w="303" w:type="pct"/>
                  <w:vMerge w:val="continue"/>
                  <w:noWrap w:val="0"/>
                  <w:tcMar>
                    <w:top w:w="0" w:type="dxa"/>
                    <w:left w:w="0" w:type="dxa"/>
                    <w:bottom w:w="0" w:type="dxa"/>
                    <w:right w:w="0" w:type="dxa"/>
                  </w:tcMar>
                  <w:vAlign w:val="center"/>
                </w:tcPr>
                <w:p w14:paraId="7FCCF0C9">
                  <w:pPr>
                    <w:pStyle w:val="91"/>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val="0"/>
                      <w:bCs/>
                      <w:color w:val="auto"/>
                      <w:sz w:val="21"/>
                      <w:szCs w:val="21"/>
                    </w:rPr>
                  </w:pPr>
                </w:p>
              </w:tc>
              <w:tc>
                <w:tcPr>
                  <w:tcW w:w="588" w:type="pct"/>
                  <w:vMerge w:val="continue"/>
                  <w:noWrap w:val="0"/>
                  <w:tcMar>
                    <w:top w:w="0" w:type="dxa"/>
                    <w:left w:w="0" w:type="dxa"/>
                    <w:bottom w:w="0" w:type="dxa"/>
                    <w:right w:w="0" w:type="dxa"/>
                  </w:tcMar>
                  <w:vAlign w:val="center"/>
                </w:tcPr>
                <w:p w14:paraId="2CA3C3A8">
                  <w:pPr>
                    <w:pStyle w:val="91"/>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b w:val="0"/>
                      <w:bCs/>
                      <w:color w:val="auto"/>
                      <w:sz w:val="21"/>
                      <w:szCs w:val="21"/>
                    </w:rPr>
                  </w:pPr>
                </w:p>
              </w:tc>
              <w:tc>
                <w:tcPr>
                  <w:tcW w:w="1066" w:type="pct"/>
                  <w:noWrap w:val="0"/>
                  <w:tcMar>
                    <w:top w:w="0" w:type="dxa"/>
                    <w:left w:w="0" w:type="dxa"/>
                    <w:bottom w:w="0" w:type="dxa"/>
                    <w:right w:w="0" w:type="dxa"/>
                  </w:tcMar>
                  <w:vAlign w:val="center"/>
                </w:tcPr>
                <w:p w14:paraId="1CF522D9">
                  <w:pPr>
                    <w:pStyle w:val="91"/>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水喷淋塔+除湿器+</w:t>
                  </w:r>
                  <w:r>
                    <w:rPr>
                      <w:rFonts w:ascii="Times New Roman" w:hAnsi="Times New Roman" w:eastAsia="宋体" w:cs="Times New Roman"/>
                      <w:b w:val="0"/>
                      <w:bCs/>
                      <w:color w:val="auto"/>
                      <w:sz w:val="21"/>
                      <w:szCs w:val="21"/>
                    </w:rPr>
                    <w:t>二级活性炭吸附</w:t>
                  </w:r>
                </w:p>
              </w:tc>
              <w:tc>
                <w:tcPr>
                  <w:tcW w:w="792" w:type="pct"/>
                  <w:noWrap w:val="0"/>
                  <w:tcMar>
                    <w:top w:w="0" w:type="dxa"/>
                    <w:left w:w="0" w:type="dxa"/>
                    <w:bottom w:w="0" w:type="dxa"/>
                    <w:right w:w="0" w:type="dxa"/>
                  </w:tcMar>
                  <w:vAlign w:val="center"/>
                </w:tcPr>
                <w:p w14:paraId="169CDD19">
                  <w:pPr>
                    <w:pStyle w:val="91"/>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b w:val="0"/>
                      <w:bCs/>
                      <w:color w:val="auto"/>
                      <w:sz w:val="21"/>
                      <w:szCs w:val="21"/>
                      <w:lang w:val="en-US" w:eastAsia="zh-CN"/>
                    </w:rPr>
                  </w:pPr>
                  <w:r>
                    <w:rPr>
                      <w:rFonts w:ascii="Times New Roman" w:hAnsi="Times New Roman" w:eastAsia="宋体" w:cs="Times New Roman"/>
                      <w:b w:val="0"/>
                      <w:bCs/>
                      <w:color w:val="auto"/>
                      <w:sz w:val="21"/>
                      <w:szCs w:val="21"/>
                    </w:rPr>
                    <w:t>/</w:t>
                  </w:r>
                </w:p>
              </w:tc>
              <w:tc>
                <w:tcPr>
                  <w:tcW w:w="498" w:type="pct"/>
                  <w:noWrap w:val="0"/>
                  <w:tcMar>
                    <w:top w:w="0" w:type="dxa"/>
                    <w:left w:w="0" w:type="dxa"/>
                    <w:bottom w:w="0" w:type="dxa"/>
                    <w:right w:w="0" w:type="dxa"/>
                  </w:tcMar>
                  <w:vAlign w:val="center"/>
                </w:tcPr>
                <w:p w14:paraId="085B2A01">
                  <w:pPr>
                    <w:pStyle w:val="91"/>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w:t>
                  </w:r>
                </w:p>
              </w:tc>
              <w:tc>
                <w:tcPr>
                  <w:tcW w:w="434" w:type="pct"/>
                  <w:noWrap w:val="0"/>
                  <w:tcMar>
                    <w:top w:w="0" w:type="dxa"/>
                    <w:left w:w="0" w:type="dxa"/>
                    <w:bottom w:w="0" w:type="dxa"/>
                    <w:right w:w="0" w:type="dxa"/>
                  </w:tcMar>
                  <w:vAlign w:val="center"/>
                </w:tcPr>
                <w:p w14:paraId="4B94A279">
                  <w:pPr>
                    <w:pStyle w:val="91"/>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sz w:val="21"/>
                      <w:szCs w:val="21"/>
                      <w:lang w:val="en-US" w:eastAsia="zh-CN"/>
                    </w:rPr>
                    <w:t>1</w:t>
                  </w:r>
                </w:p>
              </w:tc>
              <w:tc>
                <w:tcPr>
                  <w:tcW w:w="437" w:type="pct"/>
                  <w:noWrap w:val="0"/>
                  <w:tcMar>
                    <w:top w:w="0" w:type="dxa"/>
                    <w:left w:w="0" w:type="dxa"/>
                    <w:bottom w:w="0" w:type="dxa"/>
                    <w:right w:w="0" w:type="dxa"/>
                  </w:tcMar>
                  <w:vAlign w:val="center"/>
                </w:tcPr>
                <w:p w14:paraId="461C73FD">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623" w:type="pct"/>
                  <w:noWrap w:val="0"/>
                  <w:tcMar>
                    <w:top w:w="0" w:type="dxa"/>
                    <w:left w:w="0" w:type="dxa"/>
                    <w:bottom w:w="0" w:type="dxa"/>
                    <w:right w:w="0" w:type="dxa"/>
                  </w:tcMar>
                  <w:vAlign w:val="center"/>
                </w:tcPr>
                <w:p w14:paraId="6DA95B58">
                  <w:pPr>
                    <w:keepNext w:val="0"/>
                    <w:keepLines w:val="0"/>
                    <w:pageBreakBefore w:val="0"/>
                    <w:kinsoku/>
                    <w:wordWrap/>
                    <w:overflowPunct/>
                    <w:topLinePunct w:val="0"/>
                    <w:bidi w:val="0"/>
                    <w:adjustRightInd w:val="0"/>
                    <w:snapToGrid w:val="0"/>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新建</w:t>
                  </w:r>
                </w:p>
              </w:tc>
            </w:tr>
          </w:tbl>
          <w:p w14:paraId="26B928CA">
            <w:pPr>
              <w:spacing w:before="120" w:beforeLines="50" w:line="360" w:lineRule="auto"/>
              <w:ind w:firstLine="422" w:firstLineChars="200"/>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5、原辅材料</w:t>
            </w:r>
          </w:p>
          <w:p w14:paraId="12278943">
            <w:pPr>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建设项目主要原辅材料见表2-4。原辅材料理化性质见表2-5。</w:t>
            </w:r>
          </w:p>
          <w:p w14:paraId="75BA4A71">
            <w:pPr>
              <w:pStyle w:val="8"/>
              <w:keepNext/>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kern w:val="2"/>
                <w:sz w:val="21"/>
                <w:szCs w:val="21"/>
              </w:rPr>
            </w:pPr>
            <w:bookmarkStart w:id="5" w:name="_Ref435018892"/>
            <w:r>
              <w:rPr>
                <w:rFonts w:hint="default" w:ascii="Times New Roman" w:hAnsi="Times New Roman" w:eastAsia="宋体" w:cs="Times New Roman"/>
                <w:color w:val="auto"/>
                <w:kern w:val="2"/>
                <w:sz w:val="21"/>
                <w:szCs w:val="21"/>
              </w:rPr>
              <w:t>表</w:t>
            </w:r>
            <w:bookmarkEnd w:id="5"/>
            <w:r>
              <w:rPr>
                <w:rFonts w:hint="default" w:ascii="Times New Roman" w:hAnsi="Times New Roman" w:eastAsia="宋体" w:cs="Times New Roman"/>
                <w:color w:val="auto"/>
                <w:kern w:val="2"/>
                <w:sz w:val="21"/>
                <w:szCs w:val="21"/>
              </w:rPr>
              <w:t>2-4 主要原辅材料表</w:t>
            </w:r>
          </w:p>
          <w:tbl>
            <w:tblPr>
              <w:tblStyle w:val="28"/>
              <w:tblW w:w="499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7"/>
              <w:gridCol w:w="2297"/>
              <w:gridCol w:w="796"/>
              <w:gridCol w:w="816"/>
              <w:gridCol w:w="653"/>
              <w:gridCol w:w="675"/>
              <w:gridCol w:w="965"/>
              <w:gridCol w:w="486"/>
              <w:gridCol w:w="491"/>
            </w:tblGrid>
            <w:tr w14:paraId="7B9112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8" w:type="pct"/>
                  <w:vMerge w:val="restart"/>
                  <w:noWrap w:val="0"/>
                  <w:tcMar>
                    <w:top w:w="0" w:type="dxa"/>
                    <w:left w:w="0" w:type="dxa"/>
                    <w:bottom w:w="0" w:type="dxa"/>
                    <w:right w:w="0" w:type="dxa"/>
                  </w:tcMar>
                  <w:vAlign w:val="center"/>
                </w:tcPr>
                <w:p w14:paraId="031C49CE">
                  <w:pPr>
                    <w:pStyle w:val="76"/>
                    <w:jc w:val="center"/>
                    <w:rPr>
                      <w:rFonts w:hint="default" w:ascii="Times New Roman" w:hAnsi="Times New Roman" w:eastAsia="宋体" w:cs="Times New Roman"/>
                      <w:b/>
                      <w:color w:val="auto"/>
                    </w:rPr>
                  </w:pPr>
                  <w:r>
                    <w:rPr>
                      <w:rFonts w:hint="default" w:ascii="Times New Roman" w:hAnsi="Times New Roman" w:eastAsia="宋体" w:cs="Times New Roman"/>
                      <w:b/>
                      <w:color w:val="auto"/>
                    </w:rPr>
                    <w:t>名称</w:t>
                  </w:r>
                </w:p>
              </w:tc>
              <w:tc>
                <w:tcPr>
                  <w:tcW w:w="1385" w:type="pct"/>
                  <w:vMerge w:val="restart"/>
                  <w:noWrap w:val="0"/>
                  <w:tcMar>
                    <w:top w:w="0" w:type="dxa"/>
                    <w:left w:w="0" w:type="dxa"/>
                    <w:bottom w:w="0" w:type="dxa"/>
                    <w:right w:w="0" w:type="dxa"/>
                  </w:tcMar>
                  <w:vAlign w:val="center"/>
                </w:tcPr>
                <w:p w14:paraId="1F3FC633">
                  <w:pPr>
                    <w:pStyle w:val="76"/>
                    <w:jc w:val="center"/>
                    <w:rPr>
                      <w:rFonts w:hint="default" w:ascii="Times New Roman" w:hAnsi="Times New Roman" w:eastAsia="宋体" w:cs="Times New Roman"/>
                      <w:b/>
                      <w:color w:val="auto"/>
                    </w:rPr>
                  </w:pPr>
                  <w:r>
                    <w:rPr>
                      <w:rFonts w:hint="default" w:ascii="Times New Roman" w:hAnsi="Times New Roman" w:eastAsia="宋体" w:cs="Times New Roman"/>
                      <w:b/>
                      <w:color w:val="auto"/>
                    </w:rPr>
                    <w:t>重要组分、规格、指标</w:t>
                  </w:r>
                </w:p>
              </w:tc>
              <w:tc>
                <w:tcPr>
                  <w:tcW w:w="1366" w:type="pct"/>
                  <w:gridSpan w:val="3"/>
                  <w:noWrap w:val="0"/>
                  <w:tcMar>
                    <w:top w:w="0" w:type="dxa"/>
                    <w:left w:w="0" w:type="dxa"/>
                    <w:bottom w:w="0" w:type="dxa"/>
                    <w:right w:w="0" w:type="dxa"/>
                  </w:tcMar>
                  <w:vAlign w:val="center"/>
                </w:tcPr>
                <w:p w14:paraId="203705AA">
                  <w:pPr>
                    <w:pStyle w:val="76"/>
                    <w:jc w:val="center"/>
                    <w:rPr>
                      <w:rFonts w:hint="default" w:ascii="Times New Roman" w:hAnsi="Times New Roman" w:eastAsia="宋体" w:cs="Times New Roman"/>
                      <w:b/>
                      <w:color w:val="auto"/>
                    </w:rPr>
                  </w:pPr>
                  <w:r>
                    <w:rPr>
                      <w:rFonts w:hint="default" w:ascii="Times New Roman" w:hAnsi="Times New Roman" w:eastAsia="宋体" w:cs="Times New Roman"/>
                      <w:b/>
                      <w:color w:val="auto"/>
                    </w:rPr>
                    <w:t>年耗量</w:t>
                  </w:r>
                </w:p>
              </w:tc>
              <w:tc>
                <w:tcPr>
                  <w:tcW w:w="407" w:type="pct"/>
                  <w:vMerge w:val="restart"/>
                  <w:noWrap w:val="0"/>
                  <w:tcMar>
                    <w:top w:w="0" w:type="dxa"/>
                    <w:left w:w="0" w:type="dxa"/>
                    <w:bottom w:w="0" w:type="dxa"/>
                    <w:right w:w="0" w:type="dxa"/>
                  </w:tcMar>
                  <w:vAlign w:val="center"/>
                </w:tcPr>
                <w:p w14:paraId="03A3CCA2">
                  <w:pPr>
                    <w:pStyle w:val="76"/>
                    <w:jc w:val="center"/>
                    <w:rPr>
                      <w:rFonts w:hint="default" w:ascii="Times New Roman" w:hAnsi="Times New Roman" w:eastAsia="宋体" w:cs="Times New Roman"/>
                      <w:b/>
                      <w:color w:val="auto"/>
                    </w:rPr>
                  </w:pPr>
                  <w:r>
                    <w:rPr>
                      <w:rFonts w:hint="default" w:ascii="Times New Roman" w:hAnsi="Times New Roman" w:eastAsia="宋体" w:cs="Times New Roman"/>
                      <w:b/>
                      <w:color w:val="auto"/>
                    </w:rPr>
                    <w:t>最大储存量</w:t>
                  </w:r>
                </w:p>
              </w:tc>
              <w:tc>
                <w:tcPr>
                  <w:tcW w:w="582" w:type="pct"/>
                  <w:vMerge w:val="restart"/>
                  <w:noWrap w:val="0"/>
                  <w:tcMar>
                    <w:top w:w="0" w:type="dxa"/>
                    <w:left w:w="0" w:type="dxa"/>
                    <w:bottom w:w="0" w:type="dxa"/>
                    <w:right w:w="0" w:type="dxa"/>
                  </w:tcMar>
                  <w:vAlign w:val="center"/>
                </w:tcPr>
                <w:p w14:paraId="2991C070">
                  <w:pPr>
                    <w:pStyle w:val="76"/>
                    <w:jc w:val="center"/>
                    <w:rPr>
                      <w:rFonts w:hint="default" w:ascii="Times New Roman" w:hAnsi="Times New Roman" w:eastAsia="宋体" w:cs="Times New Roman"/>
                      <w:b/>
                      <w:color w:val="auto"/>
                    </w:rPr>
                  </w:pPr>
                  <w:r>
                    <w:rPr>
                      <w:rFonts w:hint="default" w:ascii="Times New Roman" w:hAnsi="Times New Roman" w:eastAsia="宋体" w:cs="Times New Roman"/>
                      <w:b/>
                      <w:color w:val="auto"/>
                    </w:rPr>
                    <w:t>包装规格</w:t>
                  </w:r>
                </w:p>
              </w:tc>
              <w:tc>
                <w:tcPr>
                  <w:tcW w:w="293" w:type="pct"/>
                  <w:vMerge w:val="restart"/>
                  <w:noWrap w:val="0"/>
                  <w:tcMar>
                    <w:top w:w="0" w:type="dxa"/>
                    <w:left w:w="0" w:type="dxa"/>
                    <w:bottom w:w="0" w:type="dxa"/>
                    <w:right w:w="0" w:type="dxa"/>
                  </w:tcMar>
                  <w:vAlign w:val="center"/>
                </w:tcPr>
                <w:p w14:paraId="43F8DD8A">
                  <w:pPr>
                    <w:spacing w:line="280" w:lineRule="exact"/>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sz w:val="21"/>
                      <w:szCs w:val="21"/>
                    </w:rPr>
                    <w:t>储存位置</w:t>
                  </w:r>
                </w:p>
              </w:tc>
              <w:tc>
                <w:tcPr>
                  <w:tcW w:w="296" w:type="pct"/>
                  <w:vMerge w:val="restart"/>
                  <w:noWrap w:val="0"/>
                  <w:tcMar>
                    <w:top w:w="0" w:type="dxa"/>
                    <w:left w:w="0" w:type="dxa"/>
                    <w:bottom w:w="0" w:type="dxa"/>
                    <w:right w:w="0" w:type="dxa"/>
                  </w:tcMar>
                  <w:vAlign w:val="center"/>
                </w:tcPr>
                <w:p w14:paraId="1EE405E7">
                  <w:pPr>
                    <w:spacing w:line="280" w:lineRule="exact"/>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sz w:val="21"/>
                      <w:szCs w:val="21"/>
                    </w:rPr>
                    <w:t>运输方式</w:t>
                  </w:r>
                </w:p>
              </w:tc>
            </w:tr>
            <w:tr w14:paraId="7E0768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8" w:type="pct"/>
                  <w:vMerge w:val="continue"/>
                  <w:noWrap w:val="0"/>
                  <w:tcMar>
                    <w:top w:w="0" w:type="dxa"/>
                    <w:left w:w="0" w:type="dxa"/>
                    <w:bottom w:w="0" w:type="dxa"/>
                    <w:right w:w="0" w:type="dxa"/>
                  </w:tcMar>
                  <w:vAlign w:val="center"/>
                </w:tcPr>
                <w:p w14:paraId="6A96CEEE">
                  <w:pPr>
                    <w:pStyle w:val="76"/>
                    <w:jc w:val="center"/>
                    <w:rPr>
                      <w:rFonts w:hint="default" w:ascii="Times New Roman" w:hAnsi="Times New Roman" w:eastAsia="宋体" w:cs="Times New Roman"/>
                      <w:b/>
                      <w:color w:val="auto"/>
                    </w:rPr>
                  </w:pPr>
                </w:p>
              </w:tc>
              <w:tc>
                <w:tcPr>
                  <w:tcW w:w="1385" w:type="pct"/>
                  <w:vMerge w:val="continue"/>
                  <w:noWrap w:val="0"/>
                  <w:tcMar>
                    <w:top w:w="0" w:type="dxa"/>
                    <w:left w:w="0" w:type="dxa"/>
                    <w:bottom w:w="0" w:type="dxa"/>
                    <w:right w:w="0" w:type="dxa"/>
                  </w:tcMar>
                  <w:vAlign w:val="center"/>
                </w:tcPr>
                <w:p w14:paraId="0B6E797E">
                  <w:pPr>
                    <w:pStyle w:val="76"/>
                    <w:jc w:val="center"/>
                    <w:rPr>
                      <w:rFonts w:hint="default" w:ascii="Times New Roman" w:hAnsi="Times New Roman" w:eastAsia="宋体" w:cs="Times New Roman"/>
                      <w:b/>
                      <w:color w:val="auto"/>
                    </w:rPr>
                  </w:pPr>
                </w:p>
              </w:tc>
              <w:tc>
                <w:tcPr>
                  <w:tcW w:w="480" w:type="pct"/>
                  <w:noWrap w:val="0"/>
                  <w:tcMar>
                    <w:top w:w="0" w:type="dxa"/>
                    <w:left w:w="0" w:type="dxa"/>
                    <w:bottom w:w="0" w:type="dxa"/>
                    <w:right w:w="0" w:type="dxa"/>
                  </w:tcMar>
                  <w:vAlign w:val="center"/>
                </w:tcPr>
                <w:p w14:paraId="7A4F3599">
                  <w:pPr>
                    <w:pStyle w:val="76"/>
                    <w:jc w:val="center"/>
                    <w:rPr>
                      <w:rFonts w:hint="default" w:ascii="Times New Roman" w:hAnsi="Times New Roman" w:eastAsia="宋体" w:cs="Times New Roman"/>
                      <w:b/>
                      <w:color w:val="auto"/>
                    </w:rPr>
                  </w:pPr>
                  <w:r>
                    <w:rPr>
                      <w:rFonts w:hint="default" w:ascii="Times New Roman" w:hAnsi="Times New Roman" w:eastAsia="宋体" w:cs="Times New Roman"/>
                      <w:b/>
                      <w:color w:val="auto"/>
                    </w:rPr>
                    <w:t>扩建前</w:t>
                  </w:r>
                </w:p>
              </w:tc>
              <w:tc>
                <w:tcPr>
                  <w:tcW w:w="492" w:type="pct"/>
                  <w:noWrap w:val="0"/>
                  <w:tcMar>
                    <w:top w:w="0" w:type="dxa"/>
                    <w:left w:w="0" w:type="dxa"/>
                    <w:bottom w:w="0" w:type="dxa"/>
                    <w:right w:w="0" w:type="dxa"/>
                  </w:tcMar>
                  <w:vAlign w:val="center"/>
                </w:tcPr>
                <w:p w14:paraId="72F78BFE">
                  <w:pPr>
                    <w:pStyle w:val="76"/>
                    <w:jc w:val="center"/>
                    <w:rPr>
                      <w:rFonts w:hint="default" w:ascii="Times New Roman" w:hAnsi="Times New Roman" w:eastAsia="宋体" w:cs="Times New Roman"/>
                      <w:b/>
                      <w:color w:val="auto"/>
                    </w:rPr>
                  </w:pPr>
                  <w:r>
                    <w:rPr>
                      <w:rFonts w:hint="default" w:ascii="Times New Roman" w:hAnsi="Times New Roman" w:eastAsia="宋体" w:cs="Times New Roman"/>
                      <w:b/>
                      <w:color w:val="auto"/>
                    </w:rPr>
                    <w:t>扩建后</w:t>
                  </w:r>
                </w:p>
              </w:tc>
              <w:tc>
                <w:tcPr>
                  <w:tcW w:w="394" w:type="pct"/>
                  <w:noWrap w:val="0"/>
                  <w:tcMar>
                    <w:top w:w="0" w:type="dxa"/>
                    <w:left w:w="0" w:type="dxa"/>
                    <w:bottom w:w="0" w:type="dxa"/>
                    <w:right w:w="0" w:type="dxa"/>
                  </w:tcMar>
                  <w:vAlign w:val="center"/>
                </w:tcPr>
                <w:p w14:paraId="12C2E36D">
                  <w:pPr>
                    <w:pStyle w:val="76"/>
                    <w:jc w:val="center"/>
                    <w:rPr>
                      <w:rFonts w:hint="default" w:ascii="Times New Roman" w:hAnsi="Times New Roman" w:eastAsia="宋体" w:cs="Times New Roman"/>
                      <w:b/>
                      <w:color w:val="auto"/>
                    </w:rPr>
                  </w:pPr>
                  <w:r>
                    <w:rPr>
                      <w:rFonts w:hint="default" w:ascii="Times New Roman" w:hAnsi="Times New Roman" w:eastAsia="宋体" w:cs="Times New Roman"/>
                      <w:b/>
                      <w:color w:val="auto"/>
                    </w:rPr>
                    <w:t>增量</w:t>
                  </w:r>
                </w:p>
              </w:tc>
              <w:tc>
                <w:tcPr>
                  <w:tcW w:w="407" w:type="pct"/>
                  <w:vMerge w:val="continue"/>
                  <w:noWrap w:val="0"/>
                  <w:tcMar>
                    <w:top w:w="0" w:type="dxa"/>
                    <w:left w:w="0" w:type="dxa"/>
                    <w:bottom w:w="0" w:type="dxa"/>
                    <w:right w:w="0" w:type="dxa"/>
                  </w:tcMar>
                  <w:vAlign w:val="center"/>
                </w:tcPr>
                <w:p w14:paraId="751BF6F2">
                  <w:pPr>
                    <w:pStyle w:val="76"/>
                    <w:jc w:val="center"/>
                    <w:rPr>
                      <w:rFonts w:hint="default" w:ascii="Times New Roman" w:hAnsi="Times New Roman" w:eastAsia="宋体" w:cs="Times New Roman"/>
                      <w:b/>
                      <w:color w:val="auto"/>
                    </w:rPr>
                  </w:pPr>
                </w:p>
              </w:tc>
              <w:tc>
                <w:tcPr>
                  <w:tcW w:w="582" w:type="pct"/>
                  <w:vMerge w:val="continue"/>
                  <w:noWrap w:val="0"/>
                  <w:tcMar>
                    <w:top w:w="0" w:type="dxa"/>
                    <w:left w:w="0" w:type="dxa"/>
                    <w:bottom w:w="0" w:type="dxa"/>
                    <w:right w:w="0" w:type="dxa"/>
                  </w:tcMar>
                  <w:vAlign w:val="center"/>
                </w:tcPr>
                <w:p w14:paraId="0F30390A">
                  <w:pPr>
                    <w:pStyle w:val="76"/>
                    <w:jc w:val="center"/>
                    <w:rPr>
                      <w:rFonts w:hint="default" w:ascii="Times New Roman" w:hAnsi="Times New Roman" w:eastAsia="宋体" w:cs="Times New Roman"/>
                      <w:b/>
                      <w:color w:val="auto"/>
                    </w:rPr>
                  </w:pPr>
                </w:p>
              </w:tc>
              <w:tc>
                <w:tcPr>
                  <w:tcW w:w="293" w:type="pct"/>
                  <w:vMerge w:val="continue"/>
                  <w:noWrap w:val="0"/>
                  <w:tcMar>
                    <w:top w:w="0" w:type="dxa"/>
                    <w:left w:w="0" w:type="dxa"/>
                    <w:bottom w:w="0" w:type="dxa"/>
                    <w:right w:w="0" w:type="dxa"/>
                  </w:tcMar>
                  <w:vAlign w:val="center"/>
                </w:tcPr>
                <w:p w14:paraId="3F486FBD">
                  <w:pPr>
                    <w:pStyle w:val="76"/>
                    <w:jc w:val="center"/>
                    <w:rPr>
                      <w:rFonts w:hint="default" w:ascii="Times New Roman" w:hAnsi="Times New Roman" w:eastAsia="宋体" w:cs="Times New Roman"/>
                      <w:b/>
                      <w:color w:val="auto"/>
                    </w:rPr>
                  </w:pPr>
                </w:p>
              </w:tc>
              <w:tc>
                <w:tcPr>
                  <w:tcW w:w="296" w:type="pct"/>
                  <w:vMerge w:val="continue"/>
                  <w:noWrap w:val="0"/>
                  <w:tcMar>
                    <w:top w:w="0" w:type="dxa"/>
                    <w:left w:w="0" w:type="dxa"/>
                    <w:bottom w:w="0" w:type="dxa"/>
                    <w:right w:w="0" w:type="dxa"/>
                  </w:tcMar>
                  <w:vAlign w:val="center"/>
                </w:tcPr>
                <w:p w14:paraId="2588C7C3">
                  <w:pPr>
                    <w:pStyle w:val="76"/>
                    <w:jc w:val="center"/>
                    <w:rPr>
                      <w:rFonts w:hint="default" w:ascii="Times New Roman" w:hAnsi="Times New Roman" w:eastAsia="宋体" w:cs="Times New Roman"/>
                      <w:b/>
                      <w:color w:val="auto"/>
                    </w:rPr>
                  </w:pPr>
                </w:p>
              </w:tc>
            </w:tr>
            <w:tr w14:paraId="7CC1B2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 w:hRule="atLeast"/>
                <w:jc w:val="center"/>
              </w:trPr>
              <w:tc>
                <w:tcPr>
                  <w:tcW w:w="668" w:type="pct"/>
                  <w:noWrap w:val="0"/>
                  <w:tcMar>
                    <w:top w:w="0" w:type="dxa"/>
                    <w:left w:w="0" w:type="dxa"/>
                    <w:bottom w:w="0" w:type="dxa"/>
                    <w:right w:w="0" w:type="dxa"/>
                  </w:tcMar>
                  <w:vAlign w:val="center"/>
                </w:tcPr>
                <w:p w14:paraId="0ADD7E2D">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聚丙烯</w:t>
                  </w:r>
                </w:p>
              </w:tc>
              <w:tc>
                <w:tcPr>
                  <w:tcW w:w="1385" w:type="pct"/>
                  <w:noWrap w:val="0"/>
                  <w:tcMar>
                    <w:top w:w="0" w:type="dxa"/>
                    <w:left w:w="0" w:type="dxa"/>
                    <w:bottom w:w="0" w:type="dxa"/>
                    <w:right w:w="0" w:type="dxa"/>
                  </w:tcMar>
                  <w:vAlign w:val="center"/>
                </w:tcPr>
                <w:p w14:paraId="0072410D">
                  <w:pPr>
                    <w:jc w:val="center"/>
                    <w:rPr>
                      <w:rFonts w:hint="eastAsia" w:ascii="Times New Roman" w:hAnsi="Times New Roman" w:eastAsia="宋体" w:cs="Times New Roman"/>
                      <w:color w:val="auto"/>
                      <w:kern w:val="2"/>
                      <w:sz w:val="21"/>
                      <w:szCs w:val="21"/>
                      <w:lang w:val="en-US" w:eastAsia="zh-CN" w:bidi="ar-SA"/>
                    </w:rPr>
                  </w:pPr>
                  <w:r>
                    <w:rPr>
                      <w:rFonts w:ascii="Times New Roman" w:hAnsi="Times New Roman"/>
                      <w:color w:val="auto"/>
                      <w:szCs w:val="21"/>
                    </w:rPr>
                    <w:t>PP，固态</w:t>
                  </w:r>
                  <w:r>
                    <w:rPr>
                      <w:rFonts w:hint="eastAsia" w:ascii="Times New Roman" w:hAnsi="Times New Roman"/>
                      <w:color w:val="auto"/>
                      <w:szCs w:val="21"/>
                      <w:lang w:val="en-US" w:eastAsia="zh-CN"/>
                    </w:rPr>
                    <w:t>颗粒</w:t>
                  </w:r>
                </w:p>
              </w:tc>
              <w:tc>
                <w:tcPr>
                  <w:tcW w:w="480" w:type="pct"/>
                  <w:noWrap w:val="0"/>
                  <w:tcMar>
                    <w:top w:w="0" w:type="dxa"/>
                    <w:left w:w="0" w:type="dxa"/>
                    <w:bottom w:w="0" w:type="dxa"/>
                    <w:right w:w="0" w:type="dxa"/>
                  </w:tcMar>
                  <w:vAlign w:val="center"/>
                </w:tcPr>
                <w:p w14:paraId="4AA36D07">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830t</w:t>
                  </w:r>
                </w:p>
              </w:tc>
              <w:tc>
                <w:tcPr>
                  <w:tcW w:w="492" w:type="pct"/>
                  <w:noWrap w:val="0"/>
                  <w:tcMar>
                    <w:top w:w="0" w:type="dxa"/>
                    <w:left w:w="0" w:type="dxa"/>
                    <w:bottom w:w="0" w:type="dxa"/>
                    <w:right w:w="0" w:type="dxa"/>
                  </w:tcMar>
                  <w:vAlign w:val="center"/>
                </w:tcPr>
                <w:p w14:paraId="2FF97CF7">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840</w:t>
                  </w:r>
                  <w:r>
                    <w:rPr>
                      <w:rFonts w:ascii="Times New Roman" w:hAnsi="Times New Roman"/>
                      <w:color w:val="auto"/>
                      <w:szCs w:val="21"/>
                    </w:rPr>
                    <w:t>t</w:t>
                  </w:r>
                </w:p>
              </w:tc>
              <w:tc>
                <w:tcPr>
                  <w:tcW w:w="394" w:type="pct"/>
                  <w:noWrap w:val="0"/>
                  <w:tcMar>
                    <w:top w:w="0" w:type="dxa"/>
                    <w:left w:w="0" w:type="dxa"/>
                    <w:bottom w:w="0" w:type="dxa"/>
                    <w:right w:w="0" w:type="dxa"/>
                  </w:tcMar>
                  <w:vAlign w:val="center"/>
                </w:tcPr>
                <w:p w14:paraId="08832482">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+10t</w:t>
                  </w:r>
                </w:p>
              </w:tc>
              <w:tc>
                <w:tcPr>
                  <w:tcW w:w="407" w:type="pct"/>
                  <w:noWrap w:val="0"/>
                  <w:tcMar>
                    <w:top w:w="0" w:type="dxa"/>
                    <w:left w:w="0" w:type="dxa"/>
                    <w:bottom w:w="0" w:type="dxa"/>
                    <w:right w:w="0" w:type="dxa"/>
                  </w:tcMar>
                  <w:vAlign w:val="center"/>
                </w:tcPr>
                <w:p w14:paraId="6D96E25C">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33t</w:t>
                  </w:r>
                </w:p>
              </w:tc>
              <w:tc>
                <w:tcPr>
                  <w:tcW w:w="582" w:type="pct"/>
                  <w:noWrap w:val="0"/>
                  <w:tcMar>
                    <w:top w:w="0" w:type="dxa"/>
                    <w:left w:w="0" w:type="dxa"/>
                    <w:bottom w:w="0" w:type="dxa"/>
                    <w:right w:w="0" w:type="dxa"/>
                  </w:tcMar>
                  <w:vAlign w:val="center"/>
                </w:tcPr>
                <w:p w14:paraId="050F3C42">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25kg/袋</w:t>
                  </w:r>
                </w:p>
              </w:tc>
              <w:tc>
                <w:tcPr>
                  <w:tcW w:w="293" w:type="pct"/>
                  <w:vMerge w:val="restart"/>
                  <w:noWrap w:val="0"/>
                  <w:tcMar>
                    <w:top w:w="0" w:type="dxa"/>
                    <w:left w:w="0" w:type="dxa"/>
                    <w:bottom w:w="0" w:type="dxa"/>
                    <w:right w:w="0" w:type="dxa"/>
                  </w:tcMar>
                  <w:vAlign w:val="center"/>
                </w:tcPr>
                <w:p w14:paraId="5DB05402">
                  <w:pPr>
                    <w:spacing w:line="280" w:lineRule="exact"/>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原料</w:t>
                  </w:r>
                  <w:r>
                    <w:rPr>
                      <w:rFonts w:hint="default" w:ascii="Times New Roman" w:hAnsi="Times New Roman" w:eastAsia="宋体" w:cs="Times New Roman"/>
                      <w:color w:val="auto"/>
                      <w:sz w:val="21"/>
                      <w:szCs w:val="21"/>
                    </w:rPr>
                    <w:t>仓库</w:t>
                  </w:r>
                </w:p>
              </w:tc>
              <w:tc>
                <w:tcPr>
                  <w:tcW w:w="296" w:type="pct"/>
                  <w:vMerge w:val="restart"/>
                  <w:noWrap w:val="0"/>
                  <w:tcMar>
                    <w:top w:w="0" w:type="dxa"/>
                    <w:left w:w="0" w:type="dxa"/>
                    <w:bottom w:w="0" w:type="dxa"/>
                    <w:right w:w="0" w:type="dxa"/>
                  </w:tcMar>
                  <w:vAlign w:val="center"/>
                </w:tcPr>
                <w:p w14:paraId="5B074A8A">
                  <w:pPr>
                    <w:spacing w:line="280" w:lineRule="exact"/>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汽运</w:t>
                  </w:r>
                </w:p>
              </w:tc>
            </w:tr>
            <w:tr w14:paraId="22E5B4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8" w:type="pct"/>
                  <w:noWrap w:val="0"/>
                  <w:tcMar>
                    <w:top w:w="0" w:type="dxa"/>
                    <w:left w:w="0" w:type="dxa"/>
                    <w:bottom w:w="0" w:type="dxa"/>
                    <w:right w:w="0" w:type="dxa"/>
                  </w:tcMar>
                  <w:vAlign w:val="center"/>
                </w:tcPr>
                <w:p w14:paraId="689D0385">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三元乙丙橡胶</w:t>
                  </w:r>
                </w:p>
              </w:tc>
              <w:tc>
                <w:tcPr>
                  <w:tcW w:w="1385" w:type="pct"/>
                  <w:noWrap w:val="0"/>
                  <w:tcMar>
                    <w:top w:w="0" w:type="dxa"/>
                    <w:left w:w="0" w:type="dxa"/>
                    <w:bottom w:w="0" w:type="dxa"/>
                    <w:right w:w="0" w:type="dxa"/>
                  </w:tcMar>
                  <w:vAlign w:val="center"/>
                </w:tcPr>
                <w:p w14:paraId="16013693">
                  <w:pPr>
                    <w:jc w:val="center"/>
                    <w:rPr>
                      <w:rFonts w:hint="eastAsia" w:ascii="Times New Roman" w:hAnsi="Times New Roman" w:eastAsia="宋体" w:cs="Times New Roman"/>
                      <w:color w:val="auto"/>
                      <w:kern w:val="2"/>
                      <w:sz w:val="21"/>
                      <w:szCs w:val="21"/>
                      <w:lang w:val="en-US" w:eastAsia="zh-CN" w:bidi="ar-SA"/>
                    </w:rPr>
                  </w:pPr>
                  <w:r>
                    <w:rPr>
                      <w:rFonts w:ascii="Times New Roman" w:hAnsi="Times New Roman"/>
                      <w:color w:val="auto"/>
                      <w:szCs w:val="21"/>
                    </w:rPr>
                    <w:t>三元乙丙橡胶，固态</w:t>
                  </w:r>
                  <w:r>
                    <w:rPr>
                      <w:rFonts w:hint="eastAsia" w:ascii="Times New Roman" w:hAnsi="Times New Roman"/>
                      <w:color w:val="auto"/>
                      <w:szCs w:val="21"/>
                      <w:lang w:val="en-US" w:eastAsia="zh-CN"/>
                    </w:rPr>
                    <w:t>粉末</w:t>
                  </w:r>
                </w:p>
              </w:tc>
              <w:tc>
                <w:tcPr>
                  <w:tcW w:w="480" w:type="pct"/>
                  <w:noWrap w:val="0"/>
                  <w:tcMar>
                    <w:top w:w="0" w:type="dxa"/>
                    <w:left w:w="0" w:type="dxa"/>
                    <w:bottom w:w="0" w:type="dxa"/>
                    <w:right w:w="0" w:type="dxa"/>
                  </w:tcMar>
                  <w:vAlign w:val="center"/>
                </w:tcPr>
                <w:p w14:paraId="0ABA7A35">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780t</w:t>
                  </w:r>
                </w:p>
              </w:tc>
              <w:tc>
                <w:tcPr>
                  <w:tcW w:w="492" w:type="pct"/>
                  <w:noWrap w:val="0"/>
                  <w:tcMar>
                    <w:top w:w="0" w:type="dxa"/>
                    <w:left w:w="0" w:type="dxa"/>
                    <w:bottom w:w="0" w:type="dxa"/>
                    <w:right w:w="0" w:type="dxa"/>
                  </w:tcMar>
                  <w:vAlign w:val="center"/>
                </w:tcPr>
                <w:p w14:paraId="5F2E49FC">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790</w:t>
                  </w:r>
                  <w:r>
                    <w:rPr>
                      <w:rFonts w:ascii="Times New Roman" w:hAnsi="Times New Roman"/>
                      <w:color w:val="auto"/>
                      <w:szCs w:val="21"/>
                    </w:rPr>
                    <w:t>t</w:t>
                  </w:r>
                </w:p>
              </w:tc>
              <w:tc>
                <w:tcPr>
                  <w:tcW w:w="394" w:type="pct"/>
                  <w:noWrap w:val="0"/>
                  <w:tcMar>
                    <w:top w:w="0" w:type="dxa"/>
                    <w:left w:w="0" w:type="dxa"/>
                    <w:bottom w:w="0" w:type="dxa"/>
                    <w:right w:w="0" w:type="dxa"/>
                  </w:tcMar>
                  <w:vAlign w:val="center"/>
                </w:tcPr>
                <w:p w14:paraId="70E952C2">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+10t</w:t>
                  </w:r>
                </w:p>
              </w:tc>
              <w:tc>
                <w:tcPr>
                  <w:tcW w:w="407" w:type="pct"/>
                  <w:noWrap w:val="0"/>
                  <w:tcMar>
                    <w:top w:w="0" w:type="dxa"/>
                    <w:left w:w="0" w:type="dxa"/>
                    <w:bottom w:w="0" w:type="dxa"/>
                    <w:right w:w="0" w:type="dxa"/>
                  </w:tcMar>
                  <w:vAlign w:val="center"/>
                </w:tcPr>
                <w:p w14:paraId="00B4EEB8">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75t</w:t>
                  </w:r>
                </w:p>
              </w:tc>
              <w:tc>
                <w:tcPr>
                  <w:tcW w:w="582" w:type="pct"/>
                  <w:noWrap w:val="0"/>
                  <w:tcMar>
                    <w:top w:w="0" w:type="dxa"/>
                    <w:left w:w="0" w:type="dxa"/>
                    <w:bottom w:w="0" w:type="dxa"/>
                    <w:right w:w="0" w:type="dxa"/>
                  </w:tcMar>
                  <w:vAlign w:val="center"/>
                </w:tcPr>
                <w:p w14:paraId="147E3603">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25kg/袋</w:t>
                  </w:r>
                </w:p>
              </w:tc>
              <w:tc>
                <w:tcPr>
                  <w:tcW w:w="293" w:type="pct"/>
                  <w:vMerge w:val="continue"/>
                  <w:noWrap w:val="0"/>
                  <w:tcMar>
                    <w:top w:w="0" w:type="dxa"/>
                    <w:left w:w="0" w:type="dxa"/>
                    <w:bottom w:w="0" w:type="dxa"/>
                    <w:right w:w="0" w:type="dxa"/>
                  </w:tcMar>
                  <w:vAlign w:val="center"/>
                </w:tcPr>
                <w:p w14:paraId="2BB7A907">
                  <w:pPr>
                    <w:jc w:val="center"/>
                    <w:rPr>
                      <w:rFonts w:hint="default" w:ascii="Times New Roman" w:hAnsi="Times New Roman" w:eastAsia="宋体" w:cs="Times New Roman"/>
                      <w:color w:val="auto"/>
                      <w:kern w:val="2"/>
                      <w:sz w:val="21"/>
                      <w:szCs w:val="21"/>
                      <w:lang w:val="en-US" w:eastAsia="zh-CN" w:bidi="ar-SA"/>
                    </w:rPr>
                  </w:pPr>
                </w:p>
              </w:tc>
              <w:tc>
                <w:tcPr>
                  <w:tcW w:w="296" w:type="pct"/>
                  <w:vMerge w:val="continue"/>
                  <w:noWrap w:val="0"/>
                  <w:tcMar>
                    <w:top w:w="0" w:type="dxa"/>
                    <w:left w:w="0" w:type="dxa"/>
                    <w:bottom w:w="0" w:type="dxa"/>
                    <w:right w:w="0" w:type="dxa"/>
                  </w:tcMar>
                  <w:vAlign w:val="center"/>
                </w:tcPr>
                <w:p w14:paraId="19EA81E9">
                  <w:pPr>
                    <w:jc w:val="center"/>
                    <w:rPr>
                      <w:rFonts w:hint="default" w:ascii="Times New Roman" w:hAnsi="Times New Roman" w:eastAsia="宋体" w:cs="Times New Roman"/>
                      <w:color w:val="auto"/>
                      <w:kern w:val="2"/>
                      <w:sz w:val="21"/>
                      <w:szCs w:val="21"/>
                      <w:lang w:val="en-US" w:eastAsia="zh-CN" w:bidi="ar-SA"/>
                    </w:rPr>
                  </w:pPr>
                </w:p>
              </w:tc>
            </w:tr>
            <w:tr w14:paraId="76CBE1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8" w:type="pct"/>
                  <w:noWrap w:val="0"/>
                  <w:tcMar>
                    <w:top w:w="0" w:type="dxa"/>
                    <w:left w:w="0" w:type="dxa"/>
                    <w:bottom w:w="0" w:type="dxa"/>
                    <w:right w:w="0" w:type="dxa"/>
                  </w:tcMar>
                  <w:vAlign w:val="center"/>
                </w:tcPr>
                <w:p w14:paraId="0C55E6E7">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滑石粉</w:t>
                  </w:r>
                </w:p>
              </w:tc>
              <w:tc>
                <w:tcPr>
                  <w:tcW w:w="1385" w:type="pct"/>
                  <w:noWrap w:val="0"/>
                  <w:tcMar>
                    <w:top w:w="0" w:type="dxa"/>
                    <w:left w:w="0" w:type="dxa"/>
                    <w:bottom w:w="0" w:type="dxa"/>
                    <w:right w:w="0" w:type="dxa"/>
                  </w:tcMar>
                  <w:vAlign w:val="center"/>
                </w:tcPr>
                <w:p w14:paraId="61C3C50F">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硅酸镁盐类矿物滑石族滑石，主要成分为含水硅酸镁，固态粉末</w:t>
                  </w:r>
                </w:p>
              </w:tc>
              <w:tc>
                <w:tcPr>
                  <w:tcW w:w="480" w:type="pct"/>
                  <w:noWrap w:val="0"/>
                  <w:tcMar>
                    <w:top w:w="0" w:type="dxa"/>
                    <w:left w:w="0" w:type="dxa"/>
                    <w:bottom w:w="0" w:type="dxa"/>
                    <w:right w:w="0" w:type="dxa"/>
                  </w:tcMar>
                  <w:vAlign w:val="center"/>
                </w:tcPr>
                <w:p w14:paraId="6A4CDA89">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200t</w:t>
                  </w:r>
                </w:p>
              </w:tc>
              <w:tc>
                <w:tcPr>
                  <w:tcW w:w="492" w:type="pct"/>
                  <w:noWrap w:val="0"/>
                  <w:tcMar>
                    <w:top w:w="0" w:type="dxa"/>
                    <w:left w:w="0" w:type="dxa"/>
                    <w:bottom w:w="0" w:type="dxa"/>
                    <w:right w:w="0" w:type="dxa"/>
                  </w:tcMar>
                  <w:vAlign w:val="center"/>
                </w:tcPr>
                <w:p w14:paraId="7548492A">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205</w:t>
                  </w:r>
                  <w:r>
                    <w:rPr>
                      <w:rFonts w:ascii="Times New Roman" w:hAnsi="Times New Roman"/>
                      <w:color w:val="auto"/>
                      <w:szCs w:val="21"/>
                    </w:rPr>
                    <w:t>t</w:t>
                  </w:r>
                </w:p>
              </w:tc>
              <w:tc>
                <w:tcPr>
                  <w:tcW w:w="394" w:type="pct"/>
                  <w:noWrap w:val="0"/>
                  <w:tcMar>
                    <w:top w:w="0" w:type="dxa"/>
                    <w:left w:w="0" w:type="dxa"/>
                    <w:bottom w:w="0" w:type="dxa"/>
                    <w:right w:w="0" w:type="dxa"/>
                  </w:tcMar>
                  <w:vAlign w:val="center"/>
                </w:tcPr>
                <w:p w14:paraId="5593ACBF">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+5t</w:t>
                  </w:r>
                </w:p>
              </w:tc>
              <w:tc>
                <w:tcPr>
                  <w:tcW w:w="407" w:type="pct"/>
                  <w:noWrap w:val="0"/>
                  <w:tcMar>
                    <w:top w:w="0" w:type="dxa"/>
                    <w:left w:w="0" w:type="dxa"/>
                    <w:bottom w:w="0" w:type="dxa"/>
                    <w:right w:w="0" w:type="dxa"/>
                  </w:tcMar>
                  <w:vAlign w:val="center"/>
                </w:tcPr>
                <w:p w14:paraId="0535A4D7">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10t</w:t>
                  </w:r>
                </w:p>
              </w:tc>
              <w:tc>
                <w:tcPr>
                  <w:tcW w:w="582" w:type="pct"/>
                  <w:noWrap w:val="0"/>
                  <w:tcMar>
                    <w:top w:w="0" w:type="dxa"/>
                    <w:left w:w="0" w:type="dxa"/>
                    <w:bottom w:w="0" w:type="dxa"/>
                    <w:right w:w="0" w:type="dxa"/>
                  </w:tcMar>
                  <w:vAlign w:val="center"/>
                </w:tcPr>
                <w:p w14:paraId="15B7BB92">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25kg/袋</w:t>
                  </w:r>
                </w:p>
              </w:tc>
              <w:tc>
                <w:tcPr>
                  <w:tcW w:w="293" w:type="pct"/>
                  <w:vMerge w:val="continue"/>
                  <w:noWrap w:val="0"/>
                  <w:tcMar>
                    <w:top w:w="0" w:type="dxa"/>
                    <w:left w:w="0" w:type="dxa"/>
                    <w:bottom w:w="0" w:type="dxa"/>
                    <w:right w:w="0" w:type="dxa"/>
                  </w:tcMar>
                  <w:vAlign w:val="center"/>
                </w:tcPr>
                <w:p w14:paraId="4551E058">
                  <w:pPr>
                    <w:jc w:val="center"/>
                    <w:rPr>
                      <w:rFonts w:hint="default" w:ascii="Times New Roman" w:hAnsi="Times New Roman" w:eastAsia="宋体" w:cs="Times New Roman"/>
                      <w:color w:val="auto"/>
                      <w:kern w:val="2"/>
                      <w:sz w:val="21"/>
                      <w:szCs w:val="21"/>
                      <w:lang w:val="en-US" w:eastAsia="zh-CN" w:bidi="ar-SA"/>
                    </w:rPr>
                  </w:pPr>
                </w:p>
              </w:tc>
              <w:tc>
                <w:tcPr>
                  <w:tcW w:w="296" w:type="pct"/>
                  <w:vMerge w:val="continue"/>
                  <w:noWrap w:val="0"/>
                  <w:tcMar>
                    <w:top w:w="0" w:type="dxa"/>
                    <w:left w:w="0" w:type="dxa"/>
                    <w:bottom w:w="0" w:type="dxa"/>
                    <w:right w:w="0" w:type="dxa"/>
                  </w:tcMar>
                  <w:vAlign w:val="center"/>
                </w:tcPr>
                <w:p w14:paraId="547F46E0">
                  <w:pPr>
                    <w:jc w:val="center"/>
                    <w:rPr>
                      <w:rFonts w:hint="default" w:ascii="Times New Roman" w:hAnsi="Times New Roman" w:eastAsia="宋体" w:cs="Times New Roman"/>
                      <w:color w:val="auto"/>
                      <w:kern w:val="2"/>
                      <w:sz w:val="21"/>
                      <w:szCs w:val="21"/>
                      <w:lang w:val="en-US" w:eastAsia="zh-CN" w:bidi="ar-SA"/>
                    </w:rPr>
                  </w:pPr>
                </w:p>
              </w:tc>
            </w:tr>
            <w:tr w14:paraId="40950F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8" w:type="pct"/>
                  <w:noWrap w:val="0"/>
                  <w:tcMar>
                    <w:top w:w="0" w:type="dxa"/>
                    <w:left w:w="0" w:type="dxa"/>
                    <w:bottom w:w="0" w:type="dxa"/>
                    <w:right w:w="0" w:type="dxa"/>
                  </w:tcMar>
                  <w:vAlign w:val="center"/>
                </w:tcPr>
                <w:p w14:paraId="2D56016C">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环保增塑剂</w:t>
                  </w:r>
                </w:p>
              </w:tc>
              <w:tc>
                <w:tcPr>
                  <w:tcW w:w="1385" w:type="pct"/>
                  <w:noWrap w:val="0"/>
                  <w:tcMar>
                    <w:top w:w="0" w:type="dxa"/>
                    <w:left w:w="0" w:type="dxa"/>
                    <w:bottom w:w="0" w:type="dxa"/>
                    <w:right w:w="0" w:type="dxa"/>
                  </w:tcMar>
                  <w:vAlign w:val="center"/>
                </w:tcPr>
                <w:p w14:paraId="7C1956DA">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石蜡油，液态</w:t>
                  </w:r>
                </w:p>
              </w:tc>
              <w:tc>
                <w:tcPr>
                  <w:tcW w:w="480" w:type="pct"/>
                  <w:noWrap w:val="0"/>
                  <w:tcMar>
                    <w:top w:w="0" w:type="dxa"/>
                    <w:left w:w="0" w:type="dxa"/>
                    <w:bottom w:w="0" w:type="dxa"/>
                    <w:right w:w="0" w:type="dxa"/>
                  </w:tcMar>
                  <w:vAlign w:val="center"/>
                </w:tcPr>
                <w:p w14:paraId="076B3892">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200t</w:t>
                  </w:r>
                </w:p>
              </w:tc>
              <w:tc>
                <w:tcPr>
                  <w:tcW w:w="492" w:type="pct"/>
                  <w:noWrap w:val="0"/>
                  <w:tcMar>
                    <w:top w:w="0" w:type="dxa"/>
                    <w:left w:w="0" w:type="dxa"/>
                    <w:bottom w:w="0" w:type="dxa"/>
                    <w:right w:w="0" w:type="dxa"/>
                  </w:tcMar>
                  <w:vAlign w:val="center"/>
                </w:tcPr>
                <w:p w14:paraId="26A0151D">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205</w:t>
                  </w:r>
                  <w:r>
                    <w:rPr>
                      <w:rFonts w:ascii="Times New Roman" w:hAnsi="Times New Roman"/>
                      <w:color w:val="auto"/>
                      <w:szCs w:val="21"/>
                    </w:rPr>
                    <w:t>t</w:t>
                  </w:r>
                </w:p>
              </w:tc>
              <w:tc>
                <w:tcPr>
                  <w:tcW w:w="394" w:type="pct"/>
                  <w:noWrap w:val="0"/>
                  <w:tcMar>
                    <w:top w:w="0" w:type="dxa"/>
                    <w:left w:w="0" w:type="dxa"/>
                    <w:bottom w:w="0" w:type="dxa"/>
                    <w:right w:w="0" w:type="dxa"/>
                  </w:tcMar>
                  <w:vAlign w:val="center"/>
                </w:tcPr>
                <w:p w14:paraId="122C6B01">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+5t</w:t>
                  </w:r>
                </w:p>
              </w:tc>
              <w:tc>
                <w:tcPr>
                  <w:tcW w:w="407" w:type="pct"/>
                  <w:noWrap w:val="0"/>
                  <w:tcMar>
                    <w:top w:w="0" w:type="dxa"/>
                    <w:left w:w="0" w:type="dxa"/>
                    <w:bottom w:w="0" w:type="dxa"/>
                    <w:right w:w="0" w:type="dxa"/>
                  </w:tcMar>
                  <w:vAlign w:val="center"/>
                </w:tcPr>
                <w:p w14:paraId="2BE23E18">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10t</w:t>
                  </w:r>
                </w:p>
              </w:tc>
              <w:tc>
                <w:tcPr>
                  <w:tcW w:w="582" w:type="pct"/>
                  <w:noWrap w:val="0"/>
                  <w:tcMar>
                    <w:top w:w="0" w:type="dxa"/>
                    <w:left w:w="0" w:type="dxa"/>
                    <w:bottom w:w="0" w:type="dxa"/>
                    <w:right w:w="0" w:type="dxa"/>
                  </w:tcMar>
                  <w:vAlign w:val="center"/>
                </w:tcPr>
                <w:p w14:paraId="3A15F45F">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175kg/桶</w:t>
                  </w:r>
                </w:p>
              </w:tc>
              <w:tc>
                <w:tcPr>
                  <w:tcW w:w="293" w:type="pct"/>
                  <w:vMerge w:val="continue"/>
                  <w:noWrap w:val="0"/>
                  <w:tcMar>
                    <w:top w:w="0" w:type="dxa"/>
                    <w:left w:w="0" w:type="dxa"/>
                    <w:bottom w:w="0" w:type="dxa"/>
                    <w:right w:w="0" w:type="dxa"/>
                  </w:tcMar>
                  <w:vAlign w:val="center"/>
                </w:tcPr>
                <w:p w14:paraId="3799B5A1">
                  <w:pPr>
                    <w:jc w:val="center"/>
                    <w:rPr>
                      <w:rFonts w:hint="default" w:ascii="Times New Roman" w:hAnsi="Times New Roman" w:eastAsia="宋体" w:cs="Times New Roman"/>
                      <w:color w:val="auto"/>
                      <w:kern w:val="2"/>
                      <w:sz w:val="21"/>
                      <w:szCs w:val="21"/>
                      <w:lang w:val="en-US" w:eastAsia="zh-CN" w:bidi="ar-SA"/>
                    </w:rPr>
                  </w:pPr>
                </w:p>
              </w:tc>
              <w:tc>
                <w:tcPr>
                  <w:tcW w:w="296" w:type="pct"/>
                  <w:vMerge w:val="continue"/>
                  <w:noWrap w:val="0"/>
                  <w:tcMar>
                    <w:top w:w="0" w:type="dxa"/>
                    <w:left w:w="0" w:type="dxa"/>
                    <w:bottom w:w="0" w:type="dxa"/>
                    <w:right w:w="0" w:type="dxa"/>
                  </w:tcMar>
                  <w:vAlign w:val="center"/>
                </w:tcPr>
                <w:p w14:paraId="54E04562">
                  <w:pPr>
                    <w:jc w:val="center"/>
                    <w:rPr>
                      <w:rFonts w:hint="default" w:ascii="Times New Roman" w:hAnsi="Times New Roman" w:eastAsia="宋体" w:cs="Times New Roman"/>
                      <w:color w:val="auto"/>
                      <w:kern w:val="2"/>
                      <w:sz w:val="21"/>
                      <w:szCs w:val="21"/>
                      <w:lang w:val="en-US" w:eastAsia="zh-CN" w:bidi="ar-SA"/>
                    </w:rPr>
                  </w:pPr>
                </w:p>
              </w:tc>
            </w:tr>
            <w:tr w14:paraId="7180A5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8" w:type="pct"/>
                  <w:noWrap w:val="0"/>
                  <w:tcMar>
                    <w:top w:w="0" w:type="dxa"/>
                    <w:left w:w="0" w:type="dxa"/>
                    <w:bottom w:w="0" w:type="dxa"/>
                    <w:right w:w="0" w:type="dxa"/>
                  </w:tcMar>
                  <w:vAlign w:val="center"/>
                </w:tcPr>
                <w:p w14:paraId="14CE3642">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抗氧剂</w:t>
                  </w:r>
                </w:p>
              </w:tc>
              <w:tc>
                <w:tcPr>
                  <w:tcW w:w="1385" w:type="pct"/>
                  <w:noWrap w:val="0"/>
                  <w:tcMar>
                    <w:top w:w="0" w:type="dxa"/>
                    <w:left w:w="0" w:type="dxa"/>
                    <w:bottom w:w="0" w:type="dxa"/>
                    <w:right w:w="0" w:type="dxa"/>
                  </w:tcMar>
                  <w:vAlign w:val="center"/>
                </w:tcPr>
                <w:p w14:paraId="2DDE8DA9">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季戊四醇酯，液态</w:t>
                  </w:r>
                </w:p>
              </w:tc>
              <w:tc>
                <w:tcPr>
                  <w:tcW w:w="480" w:type="pct"/>
                  <w:noWrap w:val="0"/>
                  <w:tcMar>
                    <w:top w:w="0" w:type="dxa"/>
                    <w:left w:w="0" w:type="dxa"/>
                    <w:bottom w:w="0" w:type="dxa"/>
                    <w:right w:w="0" w:type="dxa"/>
                  </w:tcMar>
                  <w:vAlign w:val="center"/>
                </w:tcPr>
                <w:p w14:paraId="3370BE09">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2t</w:t>
                  </w:r>
                </w:p>
              </w:tc>
              <w:tc>
                <w:tcPr>
                  <w:tcW w:w="492" w:type="pct"/>
                  <w:noWrap w:val="0"/>
                  <w:tcMar>
                    <w:top w:w="0" w:type="dxa"/>
                    <w:left w:w="0" w:type="dxa"/>
                    <w:bottom w:w="0" w:type="dxa"/>
                    <w:right w:w="0" w:type="dxa"/>
                  </w:tcMar>
                  <w:vAlign w:val="center"/>
                </w:tcPr>
                <w:p w14:paraId="05A7FCE2">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2</w:t>
                  </w:r>
                  <w:r>
                    <w:rPr>
                      <w:rFonts w:ascii="Times New Roman" w:hAnsi="Times New Roman"/>
                      <w:color w:val="auto"/>
                      <w:szCs w:val="21"/>
                    </w:rPr>
                    <w:t>t</w:t>
                  </w:r>
                </w:p>
              </w:tc>
              <w:tc>
                <w:tcPr>
                  <w:tcW w:w="394" w:type="pct"/>
                  <w:noWrap w:val="0"/>
                  <w:tcMar>
                    <w:top w:w="0" w:type="dxa"/>
                    <w:left w:w="0" w:type="dxa"/>
                    <w:bottom w:w="0" w:type="dxa"/>
                    <w:right w:w="0" w:type="dxa"/>
                  </w:tcMar>
                  <w:vAlign w:val="center"/>
                </w:tcPr>
                <w:p w14:paraId="3D34B5AF">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+0t</w:t>
                  </w:r>
                </w:p>
              </w:tc>
              <w:tc>
                <w:tcPr>
                  <w:tcW w:w="407" w:type="pct"/>
                  <w:noWrap w:val="0"/>
                  <w:tcMar>
                    <w:top w:w="0" w:type="dxa"/>
                    <w:left w:w="0" w:type="dxa"/>
                    <w:bottom w:w="0" w:type="dxa"/>
                    <w:right w:w="0" w:type="dxa"/>
                  </w:tcMar>
                  <w:vAlign w:val="center"/>
                </w:tcPr>
                <w:p w14:paraId="483EE9C4">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0.1t</w:t>
                  </w:r>
                </w:p>
              </w:tc>
              <w:tc>
                <w:tcPr>
                  <w:tcW w:w="582" w:type="pct"/>
                  <w:noWrap w:val="0"/>
                  <w:tcMar>
                    <w:top w:w="0" w:type="dxa"/>
                    <w:left w:w="0" w:type="dxa"/>
                    <w:bottom w:w="0" w:type="dxa"/>
                    <w:right w:w="0" w:type="dxa"/>
                  </w:tcMar>
                  <w:vAlign w:val="center"/>
                </w:tcPr>
                <w:p w14:paraId="6708A927">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25kg/袋</w:t>
                  </w:r>
                </w:p>
              </w:tc>
              <w:tc>
                <w:tcPr>
                  <w:tcW w:w="293" w:type="pct"/>
                  <w:vMerge w:val="continue"/>
                  <w:noWrap w:val="0"/>
                  <w:tcMar>
                    <w:top w:w="0" w:type="dxa"/>
                    <w:left w:w="0" w:type="dxa"/>
                    <w:bottom w:w="0" w:type="dxa"/>
                    <w:right w:w="0" w:type="dxa"/>
                  </w:tcMar>
                  <w:vAlign w:val="center"/>
                </w:tcPr>
                <w:p w14:paraId="004D2F38">
                  <w:pPr>
                    <w:jc w:val="center"/>
                    <w:rPr>
                      <w:rFonts w:hint="default" w:ascii="Times New Roman" w:hAnsi="Times New Roman" w:eastAsia="宋体" w:cs="Times New Roman"/>
                      <w:color w:val="auto"/>
                      <w:kern w:val="2"/>
                      <w:sz w:val="21"/>
                      <w:szCs w:val="21"/>
                      <w:lang w:val="en-US" w:eastAsia="zh-CN" w:bidi="ar-SA"/>
                    </w:rPr>
                  </w:pPr>
                </w:p>
              </w:tc>
              <w:tc>
                <w:tcPr>
                  <w:tcW w:w="296" w:type="pct"/>
                  <w:vMerge w:val="continue"/>
                  <w:noWrap w:val="0"/>
                  <w:tcMar>
                    <w:top w:w="0" w:type="dxa"/>
                    <w:left w:w="0" w:type="dxa"/>
                    <w:bottom w:w="0" w:type="dxa"/>
                    <w:right w:w="0" w:type="dxa"/>
                  </w:tcMar>
                  <w:vAlign w:val="center"/>
                </w:tcPr>
                <w:p w14:paraId="03FA027A">
                  <w:pPr>
                    <w:jc w:val="center"/>
                    <w:rPr>
                      <w:rFonts w:hint="default" w:ascii="Times New Roman" w:hAnsi="Times New Roman" w:eastAsia="宋体" w:cs="Times New Roman"/>
                      <w:color w:val="auto"/>
                      <w:kern w:val="2"/>
                      <w:sz w:val="21"/>
                      <w:szCs w:val="21"/>
                      <w:lang w:val="en-US" w:eastAsia="zh-CN" w:bidi="ar-SA"/>
                    </w:rPr>
                  </w:pPr>
                </w:p>
              </w:tc>
            </w:tr>
            <w:tr w14:paraId="0224D2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8" w:type="pct"/>
                  <w:noWrap w:val="0"/>
                  <w:tcMar>
                    <w:top w:w="0" w:type="dxa"/>
                    <w:left w:w="0" w:type="dxa"/>
                    <w:bottom w:w="0" w:type="dxa"/>
                    <w:right w:w="0" w:type="dxa"/>
                  </w:tcMar>
                  <w:vAlign w:val="center"/>
                </w:tcPr>
                <w:p w14:paraId="515E1E3F">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色母粒</w:t>
                  </w:r>
                </w:p>
              </w:tc>
              <w:tc>
                <w:tcPr>
                  <w:tcW w:w="1385" w:type="pct"/>
                  <w:noWrap w:val="0"/>
                  <w:tcMar>
                    <w:top w:w="0" w:type="dxa"/>
                    <w:left w:w="0" w:type="dxa"/>
                    <w:bottom w:w="0" w:type="dxa"/>
                    <w:right w:w="0" w:type="dxa"/>
                  </w:tcMar>
                  <w:vAlign w:val="center"/>
                </w:tcPr>
                <w:p w14:paraId="544C2B89">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PP，固态</w:t>
                  </w:r>
                  <w:r>
                    <w:rPr>
                      <w:rFonts w:hint="eastAsia" w:ascii="Times New Roman" w:hAnsi="Times New Roman"/>
                      <w:color w:val="auto"/>
                      <w:szCs w:val="21"/>
                      <w:lang w:val="en-US" w:eastAsia="zh-CN"/>
                    </w:rPr>
                    <w:t>颗粒</w:t>
                  </w:r>
                </w:p>
              </w:tc>
              <w:tc>
                <w:tcPr>
                  <w:tcW w:w="480" w:type="pct"/>
                  <w:noWrap w:val="0"/>
                  <w:tcMar>
                    <w:top w:w="0" w:type="dxa"/>
                    <w:left w:w="0" w:type="dxa"/>
                    <w:bottom w:w="0" w:type="dxa"/>
                    <w:right w:w="0" w:type="dxa"/>
                  </w:tcMar>
                  <w:vAlign w:val="center"/>
                </w:tcPr>
                <w:p w14:paraId="6214E5C5">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9t</w:t>
                  </w:r>
                </w:p>
              </w:tc>
              <w:tc>
                <w:tcPr>
                  <w:tcW w:w="492" w:type="pct"/>
                  <w:noWrap w:val="0"/>
                  <w:tcMar>
                    <w:top w:w="0" w:type="dxa"/>
                    <w:left w:w="0" w:type="dxa"/>
                    <w:bottom w:w="0" w:type="dxa"/>
                    <w:right w:w="0" w:type="dxa"/>
                  </w:tcMar>
                  <w:vAlign w:val="center"/>
                </w:tcPr>
                <w:p w14:paraId="542CF1D4">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10</w:t>
                  </w:r>
                  <w:r>
                    <w:rPr>
                      <w:rFonts w:ascii="Times New Roman" w:hAnsi="Times New Roman"/>
                      <w:color w:val="auto"/>
                      <w:szCs w:val="21"/>
                    </w:rPr>
                    <w:t>t</w:t>
                  </w:r>
                </w:p>
              </w:tc>
              <w:tc>
                <w:tcPr>
                  <w:tcW w:w="394" w:type="pct"/>
                  <w:noWrap w:val="0"/>
                  <w:tcMar>
                    <w:top w:w="0" w:type="dxa"/>
                    <w:left w:w="0" w:type="dxa"/>
                    <w:bottom w:w="0" w:type="dxa"/>
                    <w:right w:w="0" w:type="dxa"/>
                  </w:tcMar>
                  <w:vAlign w:val="center"/>
                </w:tcPr>
                <w:p w14:paraId="2083510C">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+1t</w:t>
                  </w:r>
                </w:p>
              </w:tc>
              <w:tc>
                <w:tcPr>
                  <w:tcW w:w="407" w:type="pct"/>
                  <w:noWrap w:val="0"/>
                  <w:tcMar>
                    <w:top w:w="0" w:type="dxa"/>
                    <w:left w:w="0" w:type="dxa"/>
                    <w:bottom w:w="0" w:type="dxa"/>
                    <w:right w:w="0" w:type="dxa"/>
                  </w:tcMar>
                  <w:vAlign w:val="center"/>
                </w:tcPr>
                <w:p w14:paraId="623AF106">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1t</w:t>
                  </w:r>
                </w:p>
              </w:tc>
              <w:tc>
                <w:tcPr>
                  <w:tcW w:w="582" w:type="pct"/>
                  <w:noWrap w:val="0"/>
                  <w:tcMar>
                    <w:top w:w="0" w:type="dxa"/>
                    <w:left w:w="0" w:type="dxa"/>
                    <w:bottom w:w="0" w:type="dxa"/>
                    <w:right w:w="0" w:type="dxa"/>
                  </w:tcMar>
                  <w:vAlign w:val="center"/>
                </w:tcPr>
                <w:p w14:paraId="327F6924">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25kg/袋</w:t>
                  </w:r>
                </w:p>
              </w:tc>
              <w:tc>
                <w:tcPr>
                  <w:tcW w:w="293" w:type="pct"/>
                  <w:vMerge w:val="continue"/>
                  <w:noWrap w:val="0"/>
                  <w:tcMar>
                    <w:top w:w="0" w:type="dxa"/>
                    <w:left w:w="0" w:type="dxa"/>
                    <w:bottom w:w="0" w:type="dxa"/>
                    <w:right w:w="0" w:type="dxa"/>
                  </w:tcMar>
                  <w:vAlign w:val="center"/>
                </w:tcPr>
                <w:p w14:paraId="17DA854C">
                  <w:pPr>
                    <w:jc w:val="center"/>
                    <w:rPr>
                      <w:rFonts w:hint="default" w:ascii="Times New Roman" w:hAnsi="Times New Roman" w:eastAsia="宋体" w:cs="Times New Roman"/>
                      <w:color w:val="auto"/>
                      <w:kern w:val="2"/>
                      <w:sz w:val="21"/>
                      <w:szCs w:val="21"/>
                      <w:lang w:val="en-US" w:eastAsia="zh-CN" w:bidi="ar-SA"/>
                    </w:rPr>
                  </w:pPr>
                </w:p>
              </w:tc>
              <w:tc>
                <w:tcPr>
                  <w:tcW w:w="296" w:type="pct"/>
                  <w:vMerge w:val="continue"/>
                  <w:noWrap w:val="0"/>
                  <w:tcMar>
                    <w:top w:w="0" w:type="dxa"/>
                    <w:left w:w="0" w:type="dxa"/>
                    <w:bottom w:w="0" w:type="dxa"/>
                    <w:right w:w="0" w:type="dxa"/>
                  </w:tcMar>
                  <w:vAlign w:val="center"/>
                </w:tcPr>
                <w:p w14:paraId="3422E8AC">
                  <w:pPr>
                    <w:jc w:val="center"/>
                    <w:rPr>
                      <w:rFonts w:hint="default" w:ascii="Times New Roman" w:hAnsi="Times New Roman" w:eastAsia="宋体" w:cs="Times New Roman"/>
                      <w:color w:val="auto"/>
                      <w:kern w:val="2"/>
                      <w:sz w:val="21"/>
                      <w:szCs w:val="21"/>
                      <w:lang w:val="en-US" w:eastAsia="zh-CN" w:bidi="ar-SA"/>
                    </w:rPr>
                  </w:pPr>
                </w:p>
              </w:tc>
            </w:tr>
            <w:tr w14:paraId="4531E6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8" w:type="pct"/>
                  <w:noWrap w:val="0"/>
                  <w:tcMar>
                    <w:top w:w="0" w:type="dxa"/>
                    <w:left w:w="0" w:type="dxa"/>
                    <w:bottom w:w="0" w:type="dxa"/>
                    <w:right w:w="0" w:type="dxa"/>
                  </w:tcMar>
                  <w:vAlign w:val="center"/>
                </w:tcPr>
                <w:p w14:paraId="40028C21">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热塑性弹性体TPE</w:t>
                  </w:r>
                </w:p>
              </w:tc>
              <w:tc>
                <w:tcPr>
                  <w:tcW w:w="1385" w:type="pct"/>
                  <w:noWrap w:val="0"/>
                  <w:tcMar>
                    <w:top w:w="0" w:type="dxa"/>
                    <w:left w:w="0" w:type="dxa"/>
                    <w:bottom w:w="0" w:type="dxa"/>
                    <w:right w:w="0" w:type="dxa"/>
                  </w:tcMar>
                  <w:vAlign w:val="center"/>
                </w:tcPr>
                <w:p w14:paraId="4FDEE5F4">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PP/三元乙丙橡胶共混物</w:t>
                  </w:r>
                </w:p>
              </w:tc>
              <w:tc>
                <w:tcPr>
                  <w:tcW w:w="480" w:type="pct"/>
                  <w:noWrap w:val="0"/>
                  <w:tcMar>
                    <w:top w:w="0" w:type="dxa"/>
                    <w:left w:w="0" w:type="dxa"/>
                    <w:bottom w:w="0" w:type="dxa"/>
                    <w:right w:w="0" w:type="dxa"/>
                  </w:tcMar>
                  <w:vAlign w:val="center"/>
                </w:tcPr>
                <w:p w14:paraId="6517C322">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30.3</w:t>
                  </w:r>
                </w:p>
              </w:tc>
              <w:tc>
                <w:tcPr>
                  <w:tcW w:w="492" w:type="pct"/>
                  <w:noWrap w:val="0"/>
                  <w:tcMar>
                    <w:top w:w="0" w:type="dxa"/>
                    <w:left w:w="0" w:type="dxa"/>
                    <w:bottom w:w="0" w:type="dxa"/>
                    <w:right w:w="0" w:type="dxa"/>
                  </w:tcMar>
                  <w:vAlign w:val="center"/>
                </w:tcPr>
                <w:p w14:paraId="1C1608B7">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0t</w:t>
                  </w:r>
                </w:p>
              </w:tc>
              <w:tc>
                <w:tcPr>
                  <w:tcW w:w="394" w:type="pct"/>
                  <w:noWrap w:val="0"/>
                  <w:tcMar>
                    <w:top w:w="0" w:type="dxa"/>
                    <w:left w:w="0" w:type="dxa"/>
                    <w:bottom w:w="0" w:type="dxa"/>
                    <w:right w:w="0" w:type="dxa"/>
                  </w:tcMar>
                  <w:vAlign w:val="center"/>
                </w:tcPr>
                <w:p w14:paraId="765758E7">
                  <w:pPr>
                    <w:jc w:val="center"/>
                    <w:rPr>
                      <w:rFonts w:hint="default" w:ascii="Times New Roman" w:hAnsi="Times New Roman"/>
                      <w:color w:val="auto"/>
                      <w:kern w:val="2"/>
                      <w:sz w:val="21"/>
                      <w:szCs w:val="21"/>
                      <w:lang w:val="en-US" w:eastAsia="zh-CN" w:bidi="ar-SA"/>
                    </w:rPr>
                  </w:pPr>
                  <w:r>
                    <w:rPr>
                      <w:rFonts w:hint="eastAsia" w:ascii="Times New Roman" w:hAnsi="Times New Roman"/>
                      <w:color w:val="auto"/>
                      <w:kern w:val="2"/>
                      <w:sz w:val="21"/>
                      <w:szCs w:val="21"/>
                      <w:lang w:val="en-US" w:eastAsia="zh-CN" w:bidi="ar-SA"/>
                    </w:rPr>
                    <w:t>-30.3t</w:t>
                  </w:r>
                </w:p>
              </w:tc>
              <w:tc>
                <w:tcPr>
                  <w:tcW w:w="407" w:type="pct"/>
                  <w:noWrap w:val="0"/>
                  <w:tcMar>
                    <w:top w:w="0" w:type="dxa"/>
                    <w:left w:w="0" w:type="dxa"/>
                    <w:bottom w:w="0" w:type="dxa"/>
                    <w:right w:w="0" w:type="dxa"/>
                  </w:tcMar>
                  <w:vAlign w:val="center"/>
                </w:tcPr>
                <w:p w14:paraId="4A0F6490">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2.5t</w:t>
                  </w:r>
                </w:p>
              </w:tc>
              <w:tc>
                <w:tcPr>
                  <w:tcW w:w="582" w:type="pct"/>
                  <w:noWrap w:val="0"/>
                  <w:tcMar>
                    <w:top w:w="0" w:type="dxa"/>
                    <w:left w:w="0" w:type="dxa"/>
                    <w:bottom w:w="0" w:type="dxa"/>
                    <w:right w:w="0" w:type="dxa"/>
                  </w:tcMar>
                  <w:vAlign w:val="center"/>
                </w:tcPr>
                <w:p w14:paraId="4A400CDF">
                  <w:pPr>
                    <w:jc w:val="center"/>
                    <w:rPr>
                      <w:rFonts w:hint="default" w:ascii="Times New Roman" w:hAnsi="Times New Roman"/>
                      <w:color w:val="auto"/>
                      <w:kern w:val="2"/>
                      <w:sz w:val="21"/>
                      <w:szCs w:val="21"/>
                      <w:lang w:val="en-US" w:eastAsia="zh-CN" w:bidi="ar-SA"/>
                    </w:rPr>
                  </w:pPr>
                  <w:r>
                    <w:rPr>
                      <w:rFonts w:ascii="Times New Roman" w:hAnsi="Times New Roman"/>
                      <w:color w:val="auto"/>
                      <w:szCs w:val="21"/>
                    </w:rPr>
                    <w:t>25kg/袋</w:t>
                  </w:r>
                </w:p>
              </w:tc>
              <w:tc>
                <w:tcPr>
                  <w:tcW w:w="293" w:type="pct"/>
                  <w:vMerge w:val="continue"/>
                  <w:noWrap w:val="0"/>
                  <w:tcMar>
                    <w:top w:w="0" w:type="dxa"/>
                    <w:left w:w="0" w:type="dxa"/>
                    <w:bottom w:w="0" w:type="dxa"/>
                    <w:right w:w="0" w:type="dxa"/>
                  </w:tcMar>
                  <w:vAlign w:val="center"/>
                </w:tcPr>
                <w:p w14:paraId="6E0351BB">
                  <w:pPr>
                    <w:jc w:val="center"/>
                    <w:rPr>
                      <w:rFonts w:hint="default" w:ascii="Times New Roman" w:hAnsi="Times New Roman" w:eastAsia="宋体" w:cs="Times New Roman"/>
                      <w:color w:val="auto"/>
                      <w:kern w:val="2"/>
                      <w:sz w:val="21"/>
                      <w:szCs w:val="21"/>
                      <w:lang w:val="en-US" w:eastAsia="zh-CN" w:bidi="ar-SA"/>
                    </w:rPr>
                  </w:pPr>
                </w:p>
              </w:tc>
              <w:tc>
                <w:tcPr>
                  <w:tcW w:w="296" w:type="pct"/>
                  <w:vMerge w:val="continue"/>
                  <w:noWrap w:val="0"/>
                  <w:tcMar>
                    <w:top w:w="0" w:type="dxa"/>
                    <w:left w:w="0" w:type="dxa"/>
                    <w:bottom w:w="0" w:type="dxa"/>
                    <w:right w:w="0" w:type="dxa"/>
                  </w:tcMar>
                  <w:vAlign w:val="center"/>
                </w:tcPr>
                <w:p w14:paraId="2E37FC11">
                  <w:pPr>
                    <w:jc w:val="center"/>
                    <w:rPr>
                      <w:rFonts w:hint="default" w:ascii="Times New Roman" w:hAnsi="Times New Roman" w:eastAsia="宋体" w:cs="Times New Roman"/>
                      <w:color w:val="auto"/>
                      <w:kern w:val="2"/>
                      <w:sz w:val="21"/>
                      <w:szCs w:val="21"/>
                      <w:lang w:val="en-US" w:eastAsia="zh-CN" w:bidi="ar-SA"/>
                    </w:rPr>
                  </w:pPr>
                </w:p>
              </w:tc>
            </w:tr>
            <w:tr w14:paraId="4C3FC5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68" w:type="pct"/>
                  <w:noWrap w:val="0"/>
                  <w:tcMar>
                    <w:top w:w="0" w:type="dxa"/>
                    <w:left w:w="0" w:type="dxa"/>
                    <w:bottom w:w="0" w:type="dxa"/>
                    <w:right w:w="0" w:type="dxa"/>
                  </w:tcMar>
                  <w:vAlign w:val="center"/>
                </w:tcPr>
                <w:p w14:paraId="3EBBA88B">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kern w:val="0"/>
                      <w:szCs w:val="21"/>
                    </w:rPr>
                    <w:t>润滑油</w:t>
                  </w:r>
                </w:p>
              </w:tc>
              <w:tc>
                <w:tcPr>
                  <w:tcW w:w="1385" w:type="pct"/>
                  <w:noWrap w:val="0"/>
                  <w:tcMar>
                    <w:top w:w="0" w:type="dxa"/>
                    <w:left w:w="0" w:type="dxa"/>
                    <w:bottom w:w="0" w:type="dxa"/>
                    <w:right w:w="0" w:type="dxa"/>
                  </w:tcMar>
                  <w:vAlign w:val="center"/>
                </w:tcPr>
                <w:p w14:paraId="2893A827">
                  <w:pPr>
                    <w:pStyle w:val="91"/>
                    <w:rPr>
                      <w:rFonts w:hint="default" w:ascii="Times New Roman" w:hAnsi="Times New Roman" w:eastAsia="宋体" w:cs="Times New Roman"/>
                      <w:b/>
                      <w:color w:val="auto"/>
                      <w:kern w:val="2"/>
                      <w:sz w:val="21"/>
                      <w:szCs w:val="21"/>
                      <w:lang w:val="en-US" w:eastAsia="zh-CN" w:bidi="ar-SA"/>
                    </w:rPr>
                  </w:pPr>
                  <w:r>
                    <w:rPr>
                      <w:rFonts w:ascii="Times New Roman" w:hAnsi="Times New Roman" w:eastAsia="宋体"/>
                      <w:b w:val="0"/>
                      <w:bCs/>
                      <w:color w:val="auto"/>
                    </w:rPr>
                    <w:t>矿物油</w:t>
                  </w:r>
                </w:p>
              </w:tc>
              <w:tc>
                <w:tcPr>
                  <w:tcW w:w="480" w:type="pct"/>
                  <w:noWrap w:val="0"/>
                  <w:tcMar>
                    <w:top w:w="0" w:type="dxa"/>
                    <w:left w:w="0" w:type="dxa"/>
                    <w:bottom w:w="0" w:type="dxa"/>
                    <w:right w:w="0" w:type="dxa"/>
                  </w:tcMar>
                  <w:vAlign w:val="center"/>
                </w:tcPr>
                <w:p w14:paraId="0D10DF62">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492" w:type="pct"/>
                  <w:noWrap w:val="0"/>
                  <w:tcMar>
                    <w:top w:w="0" w:type="dxa"/>
                    <w:left w:w="0" w:type="dxa"/>
                    <w:bottom w:w="0" w:type="dxa"/>
                    <w:right w:w="0" w:type="dxa"/>
                  </w:tcMar>
                  <w:vAlign w:val="center"/>
                </w:tcPr>
                <w:p w14:paraId="285FE95C">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1.25t</w:t>
                  </w:r>
                </w:p>
              </w:tc>
              <w:tc>
                <w:tcPr>
                  <w:tcW w:w="394" w:type="pct"/>
                  <w:noWrap w:val="0"/>
                  <w:tcMar>
                    <w:top w:w="0" w:type="dxa"/>
                    <w:left w:w="0" w:type="dxa"/>
                    <w:bottom w:w="0" w:type="dxa"/>
                    <w:right w:w="0" w:type="dxa"/>
                  </w:tcMar>
                  <w:vAlign w:val="center"/>
                </w:tcPr>
                <w:p w14:paraId="1E26C75B">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+0.25t</w:t>
                  </w:r>
                </w:p>
              </w:tc>
              <w:tc>
                <w:tcPr>
                  <w:tcW w:w="407" w:type="pct"/>
                  <w:noWrap w:val="0"/>
                  <w:tcMar>
                    <w:top w:w="0" w:type="dxa"/>
                    <w:left w:w="0" w:type="dxa"/>
                    <w:bottom w:w="0" w:type="dxa"/>
                    <w:right w:w="0" w:type="dxa"/>
                  </w:tcMar>
                  <w:vAlign w:val="center"/>
                </w:tcPr>
                <w:p w14:paraId="1AD22DD0">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0.025t</w:t>
                  </w:r>
                </w:p>
              </w:tc>
              <w:tc>
                <w:tcPr>
                  <w:tcW w:w="582" w:type="pct"/>
                  <w:noWrap w:val="0"/>
                  <w:tcMar>
                    <w:top w:w="0" w:type="dxa"/>
                    <w:left w:w="0" w:type="dxa"/>
                    <w:bottom w:w="0" w:type="dxa"/>
                    <w:right w:w="0" w:type="dxa"/>
                  </w:tcMar>
                  <w:vAlign w:val="center"/>
                </w:tcPr>
                <w:p w14:paraId="6EBFAE90">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25kg/桶</w:t>
                  </w:r>
                </w:p>
              </w:tc>
              <w:tc>
                <w:tcPr>
                  <w:tcW w:w="293" w:type="pct"/>
                  <w:vMerge w:val="continue"/>
                  <w:noWrap w:val="0"/>
                  <w:tcMar>
                    <w:top w:w="0" w:type="dxa"/>
                    <w:left w:w="0" w:type="dxa"/>
                    <w:bottom w:w="0" w:type="dxa"/>
                    <w:right w:w="0" w:type="dxa"/>
                  </w:tcMar>
                  <w:vAlign w:val="center"/>
                </w:tcPr>
                <w:p w14:paraId="4543325B">
                  <w:pPr>
                    <w:jc w:val="center"/>
                    <w:rPr>
                      <w:rFonts w:hint="default" w:ascii="Times New Roman" w:hAnsi="Times New Roman" w:eastAsia="宋体" w:cs="Times New Roman"/>
                      <w:color w:val="auto"/>
                      <w:kern w:val="2"/>
                      <w:sz w:val="21"/>
                      <w:szCs w:val="21"/>
                      <w:lang w:val="en-US" w:eastAsia="zh-CN" w:bidi="ar-SA"/>
                    </w:rPr>
                  </w:pPr>
                </w:p>
              </w:tc>
              <w:tc>
                <w:tcPr>
                  <w:tcW w:w="296" w:type="pct"/>
                  <w:vMerge w:val="continue"/>
                  <w:noWrap w:val="0"/>
                  <w:tcMar>
                    <w:top w:w="0" w:type="dxa"/>
                    <w:left w:w="0" w:type="dxa"/>
                    <w:bottom w:w="0" w:type="dxa"/>
                    <w:right w:w="0" w:type="dxa"/>
                  </w:tcMar>
                  <w:vAlign w:val="center"/>
                </w:tcPr>
                <w:p w14:paraId="435503B5">
                  <w:pPr>
                    <w:jc w:val="center"/>
                    <w:rPr>
                      <w:rFonts w:hint="default" w:ascii="Times New Roman" w:hAnsi="Times New Roman" w:eastAsia="宋体" w:cs="Times New Roman"/>
                      <w:color w:val="auto"/>
                      <w:kern w:val="2"/>
                      <w:sz w:val="21"/>
                      <w:szCs w:val="21"/>
                      <w:lang w:val="en-US" w:eastAsia="zh-CN" w:bidi="ar-SA"/>
                    </w:rPr>
                  </w:pPr>
                </w:p>
              </w:tc>
            </w:tr>
          </w:tbl>
          <w:p w14:paraId="1496D76C">
            <w:pPr>
              <w:pStyle w:val="7"/>
              <w:spacing w:before="120" w:beforeLines="50"/>
              <w:ind w:firstLine="0" w:firstLineChars="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表2-5 主要原辅料理化性质表</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80"/>
              <w:gridCol w:w="4891"/>
              <w:gridCol w:w="760"/>
              <w:gridCol w:w="1260"/>
            </w:tblGrid>
            <w:tr w14:paraId="44436C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32" w:type="pct"/>
                  <w:noWrap w:val="0"/>
                  <w:tcMar>
                    <w:top w:w="0" w:type="dxa"/>
                    <w:left w:w="0" w:type="dxa"/>
                    <w:bottom w:w="0" w:type="dxa"/>
                    <w:right w:w="0" w:type="dxa"/>
                  </w:tcMar>
                  <w:vAlign w:val="center"/>
                </w:tcPr>
                <w:p w14:paraId="610AEDBE">
                  <w:pPr>
                    <w:pStyle w:val="91"/>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eastAsia="宋体"/>
                      <w:color w:val="auto"/>
                    </w:rPr>
                  </w:pPr>
                  <w:r>
                    <w:rPr>
                      <w:rFonts w:ascii="Times New Roman" w:hAnsi="Times New Roman" w:eastAsia="宋体"/>
                      <w:color w:val="auto"/>
                    </w:rPr>
                    <w:t>原料名称</w:t>
                  </w:r>
                </w:p>
              </w:tc>
              <w:tc>
                <w:tcPr>
                  <w:tcW w:w="2949" w:type="pct"/>
                  <w:noWrap w:val="0"/>
                  <w:tcMar>
                    <w:top w:w="0" w:type="dxa"/>
                    <w:left w:w="0" w:type="dxa"/>
                    <w:bottom w:w="0" w:type="dxa"/>
                    <w:right w:w="0" w:type="dxa"/>
                  </w:tcMar>
                  <w:vAlign w:val="center"/>
                </w:tcPr>
                <w:p w14:paraId="47B1517A">
                  <w:pPr>
                    <w:pStyle w:val="91"/>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eastAsia="宋体"/>
                      <w:color w:val="auto"/>
                    </w:rPr>
                  </w:pPr>
                  <w:r>
                    <w:rPr>
                      <w:rFonts w:ascii="Times New Roman" w:hAnsi="Times New Roman" w:eastAsia="宋体"/>
                      <w:color w:val="auto"/>
                    </w:rPr>
                    <w:t>理化特性</w:t>
                  </w:r>
                </w:p>
              </w:tc>
              <w:tc>
                <w:tcPr>
                  <w:tcW w:w="458" w:type="pct"/>
                  <w:noWrap w:val="0"/>
                  <w:tcMar>
                    <w:top w:w="0" w:type="dxa"/>
                    <w:left w:w="0" w:type="dxa"/>
                    <w:bottom w:w="0" w:type="dxa"/>
                    <w:right w:w="0" w:type="dxa"/>
                  </w:tcMar>
                  <w:vAlign w:val="center"/>
                </w:tcPr>
                <w:p w14:paraId="2DAEEBC8">
                  <w:pPr>
                    <w:pStyle w:val="91"/>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eastAsia="宋体"/>
                      <w:color w:val="auto"/>
                    </w:rPr>
                  </w:pPr>
                  <w:r>
                    <w:rPr>
                      <w:rFonts w:ascii="Times New Roman" w:hAnsi="Times New Roman" w:eastAsia="宋体"/>
                      <w:color w:val="auto"/>
                    </w:rPr>
                    <w:t>燃烧爆炸性</w:t>
                  </w:r>
                </w:p>
              </w:tc>
              <w:tc>
                <w:tcPr>
                  <w:tcW w:w="759" w:type="pct"/>
                  <w:noWrap w:val="0"/>
                  <w:tcMar>
                    <w:top w:w="0" w:type="dxa"/>
                    <w:left w:w="0" w:type="dxa"/>
                    <w:bottom w:w="0" w:type="dxa"/>
                    <w:right w:w="0" w:type="dxa"/>
                  </w:tcMar>
                  <w:vAlign w:val="center"/>
                </w:tcPr>
                <w:p w14:paraId="661CA565">
                  <w:pPr>
                    <w:pStyle w:val="91"/>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eastAsia="宋体"/>
                      <w:color w:val="auto"/>
                    </w:rPr>
                  </w:pPr>
                  <w:r>
                    <w:rPr>
                      <w:rFonts w:ascii="Times New Roman" w:hAnsi="Times New Roman" w:eastAsia="宋体"/>
                      <w:color w:val="auto"/>
                    </w:rPr>
                    <w:t>毒性</w:t>
                  </w:r>
                </w:p>
              </w:tc>
            </w:tr>
            <w:tr w14:paraId="5F1D93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32" w:type="pct"/>
                  <w:noWrap w:val="0"/>
                  <w:tcMar>
                    <w:top w:w="0" w:type="dxa"/>
                    <w:left w:w="0" w:type="dxa"/>
                    <w:bottom w:w="0" w:type="dxa"/>
                    <w:right w:w="0" w:type="dxa"/>
                  </w:tcMar>
                  <w:vAlign w:val="center"/>
                </w:tcPr>
                <w:p w14:paraId="2ADB66BB">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聚丙烯</w:t>
                  </w:r>
                </w:p>
                <w:p w14:paraId="1D938927">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[C</w:t>
                  </w:r>
                  <w:r>
                    <w:rPr>
                      <w:rFonts w:ascii="Times New Roman" w:hAnsi="Times New Roman"/>
                      <w:color w:val="auto"/>
                      <w:szCs w:val="21"/>
                      <w:vertAlign w:val="subscript"/>
                    </w:rPr>
                    <w:t>3</w:t>
                  </w:r>
                  <w:r>
                    <w:rPr>
                      <w:rFonts w:ascii="Times New Roman" w:hAnsi="Times New Roman"/>
                      <w:color w:val="auto"/>
                      <w:szCs w:val="21"/>
                    </w:rPr>
                    <w:t>H</w:t>
                  </w:r>
                  <w:r>
                    <w:rPr>
                      <w:rFonts w:ascii="Times New Roman" w:hAnsi="Times New Roman"/>
                      <w:color w:val="auto"/>
                      <w:szCs w:val="21"/>
                      <w:vertAlign w:val="subscript"/>
                    </w:rPr>
                    <w:t>6]</w:t>
                  </w:r>
                  <w:r>
                    <w:rPr>
                      <w:rFonts w:ascii="Times New Roman" w:hAnsi="Times New Roman"/>
                      <w:color w:val="auto"/>
                      <w:szCs w:val="21"/>
                    </w:rPr>
                    <w:t>n</w:t>
                  </w:r>
                </w:p>
              </w:tc>
              <w:tc>
                <w:tcPr>
                  <w:tcW w:w="2949" w:type="pct"/>
                  <w:noWrap w:val="0"/>
                  <w:tcMar>
                    <w:top w:w="0" w:type="dxa"/>
                    <w:left w:w="0" w:type="dxa"/>
                    <w:bottom w:w="0" w:type="dxa"/>
                    <w:right w:w="0" w:type="dxa"/>
                  </w:tcMar>
                  <w:vAlign w:val="center"/>
                </w:tcPr>
                <w:p w14:paraId="1135D815">
                  <w:pPr>
                    <w:keepNext w:val="0"/>
                    <w:keepLines w:val="0"/>
                    <w:pageBreakBefore w:val="0"/>
                    <w:widowControl w:val="0"/>
                    <w:kinsoku/>
                    <w:wordWrap/>
                    <w:overflowPunct/>
                    <w:topLinePunct w:val="0"/>
                    <w:autoSpaceDE/>
                    <w:autoSpaceDN/>
                    <w:bidi w:val="0"/>
                    <w:adjustRightInd w:val="0"/>
                    <w:snapToGrid w:val="0"/>
                    <w:jc w:val="center"/>
                    <w:rPr>
                      <w:rFonts w:hint="eastAsia" w:ascii="Times New Roman" w:hAnsi="Times New Roman" w:eastAsia="宋体"/>
                      <w:color w:val="auto"/>
                      <w:szCs w:val="21"/>
                      <w:lang w:eastAsia="zh-CN"/>
                    </w:rPr>
                  </w:pPr>
                  <w:r>
                    <w:rPr>
                      <w:rFonts w:ascii="Times New Roman" w:hAnsi="Times New Roman"/>
                      <w:color w:val="auto"/>
                      <w:szCs w:val="21"/>
                    </w:rPr>
                    <w:t>无色、无臭、无毒、半透明固体颗粒，聚丙烯是丙烯加聚反应而成的聚合物。系白色蜡状材料，外观透明而轻。密度为0.89～0.91g/cm</w:t>
                  </w:r>
                  <w:r>
                    <w:rPr>
                      <w:rFonts w:ascii="Times New Roman" w:hAnsi="Times New Roman"/>
                      <w:color w:val="auto"/>
                      <w:szCs w:val="21"/>
                      <w:vertAlign w:val="superscript"/>
                    </w:rPr>
                    <w:t>3</w:t>
                  </w:r>
                  <w:r>
                    <w:rPr>
                      <w:rFonts w:ascii="Times New Roman" w:hAnsi="Times New Roman"/>
                      <w:color w:val="auto"/>
                      <w:szCs w:val="21"/>
                    </w:rPr>
                    <w:t>，易燃，熔点165℃，在155℃左右软化，使用温度范围为-30～140℃。在80℃以下能耐酸、碱、盐液及多种有机溶剂的腐蚀，能在高温和氧化作用下分解</w:t>
                  </w:r>
                  <w:r>
                    <w:rPr>
                      <w:rFonts w:hint="eastAsia" w:ascii="Times New Roman" w:hAnsi="Times New Roman"/>
                      <w:color w:val="auto"/>
                      <w:szCs w:val="21"/>
                      <w:lang w:eastAsia="zh-CN"/>
                    </w:rPr>
                    <w:t>。</w:t>
                  </w:r>
                </w:p>
              </w:tc>
              <w:tc>
                <w:tcPr>
                  <w:tcW w:w="458" w:type="pct"/>
                  <w:noWrap w:val="0"/>
                  <w:tcMar>
                    <w:top w:w="0" w:type="dxa"/>
                    <w:left w:w="0" w:type="dxa"/>
                    <w:bottom w:w="0" w:type="dxa"/>
                    <w:right w:w="0" w:type="dxa"/>
                  </w:tcMar>
                  <w:vAlign w:val="center"/>
                </w:tcPr>
                <w:p w14:paraId="5D540A11">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易燃</w:t>
                  </w:r>
                </w:p>
              </w:tc>
              <w:tc>
                <w:tcPr>
                  <w:tcW w:w="759" w:type="pct"/>
                  <w:noWrap w:val="0"/>
                  <w:tcMar>
                    <w:top w:w="0" w:type="dxa"/>
                    <w:left w:w="0" w:type="dxa"/>
                    <w:bottom w:w="0" w:type="dxa"/>
                    <w:right w:w="0" w:type="dxa"/>
                  </w:tcMar>
                  <w:vAlign w:val="center"/>
                </w:tcPr>
                <w:p w14:paraId="7FDEFBDD">
                  <w:pPr>
                    <w:pStyle w:val="93"/>
                    <w:keepNext w:val="0"/>
                    <w:keepLines w:val="0"/>
                    <w:pageBreakBefore w:val="0"/>
                    <w:widowControl w:val="0"/>
                    <w:kinsoku/>
                    <w:wordWrap/>
                    <w:overflowPunct/>
                    <w:topLinePunct w:val="0"/>
                    <w:autoSpaceDE/>
                    <w:autoSpaceDN/>
                    <w:bidi w:val="0"/>
                    <w:adjustRightInd w:val="0"/>
                    <w:snapToGrid w:val="0"/>
                    <w:spacing w:line="240" w:lineRule="auto"/>
                    <w:jc w:val="center"/>
                    <w:rPr>
                      <w:rFonts w:ascii="Times New Roman" w:hAnsi="Times New Roman" w:eastAsia="宋体"/>
                      <w:color w:val="auto"/>
                      <w:szCs w:val="21"/>
                    </w:rPr>
                  </w:pPr>
                  <w:r>
                    <w:rPr>
                      <w:rFonts w:ascii="Times New Roman" w:hAnsi="Times New Roman" w:eastAsia="宋体"/>
                      <w:color w:val="auto"/>
                      <w:szCs w:val="21"/>
                    </w:rPr>
                    <w:t>无毒</w:t>
                  </w:r>
                </w:p>
              </w:tc>
            </w:tr>
            <w:tr w14:paraId="4BD7D1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32" w:type="pct"/>
                  <w:noWrap w:val="0"/>
                  <w:tcMar>
                    <w:top w:w="0" w:type="dxa"/>
                    <w:left w:w="0" w:type="dxa"/>
                    <w:bottom w:w="0" w:type="dxa"/>
                    <w:right w:w="0" w:type="dxa"/>
                  </w:tcMar>
                  <w:vAlign w:val="center"/>
                </w:tcPr>
                <w:p w14:paraId="07248049">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三元乙丙橡胶</w:t>
                  </w:r>
                </w:p>
              </w:tc>
              <w:tc>
                <w:tcPr>
                  <w:tcW w:w="2949" w:type="pct"/>
                  <w:noWrap w:val="0"/>
                  <w:tcMar>
                    <w:top w:w="0" w:type="dxa"/>
                    <w:left w:w="0" w:type="dxa"/>
                    <w:bottom w:w="0" w:type="dxa"/>
                    <w:right w:w="0" w:type="dxa"/>
                  </w:tcMar>
                  <w:vAlign w:val="center"/>
                </w:tcPr>
                <w:p w14:paraId="28C7BB15">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hint="eastAsia" w:ascii="Times New Roman" w:hAnsi="Times New Roman"/>
                      <w:color w:val="auto"/>
                      <w:szCs w:val="21"/>
                    </w:rPr>
                    <w:t>乙烯-丙烯-非共轭二烯烃共聚物</w:t>
                  </w:r>
                  <w:r>
                    <w:rPr>
                      <w:rFonts w:ascii="Times New Roman" w:hAnsi="Times New Roman"/>
                      <w:color w:val="auto"/>
                      <w:szCs w:val="21"/>
                    </w:rPr>
                    <w:t>。其具有高度饱和的碳链主体结构，不含极性取代基，分子链极为柔顺，同时具有优异的绝缘、耐腐蚀、耐臭氧、耐老化和耐低温性能。</w:t>
                  </w:r>
                  <w:r>
                    <w:rPr>
                      <w:rFonts w:hint="eastAsia"/>
                      <w:color w:val="auto"/>
                      <w:szCs w:val="21"/>
                      <w:lang w:val="en-US" w:eastAsia="zh-CN"/>
                    </w:rPr>
                    <w:t>闪点</w:t>
                  </w:r>
                  <w:r>
                    <w:rPr>
                      <w:rFonts w:hint="eastAsia" w:ascii="Times New Roman" w:hAnsi="Times New Roman"/>
                      <w:color w:val="auto"/>
                      <w:szCs w:val="21"/>
                    </w:rPr>
                    <w:t>360℃</w:t>
                  </w:r>
                  <w:r>
                    <w:rPr>
                      <w:rFonts w:ascii="Times New Roman" w:hAnsi="Times New Roman"/>
                      <w:color w:val="auto"/>
                      <w:szCs w:val="21"/>
                    </w:rPr>
                    <w:t>，</w:t>
                  </w:r>
                  <w:r>
                    <w:rPr>
                      <w:rFonts w:hint="eastAsia"/>
                      <w:color w:val="auto"/>
                      <w:szCs w:val="21"/>
                      <w:lang w:val="en-US" w:eastAsia="zh-CN"/>
                    </w:rPr>
                    <w:t>自燃温度370℃</w:t>
                  </w:r>
                  <w:r>
                    <w:rPr>
                      <w:rFonts w:ascii="Times New Roman" w:hAnsi="Times New Roman"/>
                      <w:color w:val="auto"/>
                      <w:szCs w:val="21"/>
                    </w:rPr>
                    <w:t>。</w:t>
                  </w:r>
                </w:p>
              </w:tc>
              <w:tc>
                <w:tcPr>
                  <w:tcW w:w="458" w:type="pct"/>
                  <w:shd w:val="clear" w:color="auto" w:fill="auto"/>
                  <w:noWrap w:val="0"/>
                  <w:tcMar>
                    <w:top w:w="0" w:type="dxa"/>
                    <w:left w:w="0" w:type="dxa"/>
                    <w:bottom w:w="0" w:type="dxa"/>
                    <w:right w:w="0" w:type="dxa"/>
                  </w:tcMar>
                  <w:vAlign w:val="center"/>
                </w:tcPr>
                <w:p w14:paraId="2E66EED3">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color w:val="auto"/>
                      <w:szCs w:val="21"/>
                    </w:rPr>
                    <w:t>可燃</w:t>
                  </w:r>
                </w:p>
              </w:tc>
              <w:tc>
                <w:tcPr>
                  <w:tcW w:w="759" w:type="pct"/>
                  <w:shd w:val="clear" w:color="auto" w:fill="auto"/>
                  <w:noWrap w:val="0"/>
                  <w:tcMar>
                    <w:top w:w="0" w:type="dxa"/>
                    <w:left w:w="0" w:type="dxa"/>
                    <w:bottom w:w="0" w:type="dxa"/>
                    <w:right w:w="0" w:type="dxa"/>
                  </w:tcMar>
                  <w:vAlign w:val="center"/>
                </w:tcPr>
                <w:p w14:paraId="1B068B96">
                  <w:pPr>
                    <w:pStyle w:val="93"/>
                    <w:keepNext w:val="0"/>
                    <w:keepLines w:val="0"/>
                    <w:pageBreakBefore w:val="0"/>
                    <w:widowControl w:val="0"/>
                    <w:kinsoku/>
                    <w:wordWrap/>
                    <w:overflowPunct/>
                    <w:topLinePunct w:val="0"/>
                    <w:autoSpaceDE/>
                    <w:autoSpaceDN/>
                    <w:bidi w:val="0"/>
                    <w:adjustRightInd w:val="0"/>
                    <w:snapToGrid w:val="0"/>
                    <w:spacing w:line="240" w:lineRule="auto"/>
                    <w:jc w:val="center"/>
                    <w:rPr>
                      <w:rFonts w:ascii="Times New Roman" w:hAnsi="Times New Roman" w:eastAsia="宋体" w:cs="Times New Roman"/>
                      <w:color w:val="auto"/>
                      <w:spacing w:val="-10"/>
                      <w:kern w:val="0"/>
                      <w:sz w:val="21"/>
                      <w:szCs w:val="21"/>
                      <w:lang w:val="en-US" w:eastAsia="zh-CN" w:bidi="ar-SA"/>
                    </w:rPr>
                  </w:pPr>
                  <w:r>
                    <w:rPr>
                      <w:rFonts w:ascii="Times New Roman" w:hAnsi="Times New Roman" w:eastAsia="宋体"/>
                      <w:color w:val="auto"/>
                      <w:szCs w:val="21"/>
                    </w:rPr>
                    <w:t>无毒</w:t>
                  </w:r>
                </w:p>
              </w:tc>
            </w:tr>
            <w:tr w14:paraId="77319D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2" w:type="pct"/>
                  <w:noWrap w:val="0"/>
                  <w:tcMar>
                    <w:top w:w="0" w:type="dxa"/>
                    <w:left w:w="0" w:type="dxa"/>
                    <w:bottom w:w="0" w:type="dxa"/>
                    <w:right w:w="0" w:type="dxa"/>
                  </w:tcMar>
                  <w:vAlign w:val="center"/>
                </w:tcPr>
                <w:p w14:paraId="03C8303C">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滑石粉</w:t>
                  </w:r>
                </w:p>
              </w:tc>
              <w:tc>
                <w:tcPr>
                  <w:tcW w:w="2949" w:type="pct"/>
                  <w:noWrap w:val="0"/>
                  <w:tcMar>
                    <w:top w:w="0" w:type="dxa"/>
                    <w:left w:w="0" w:type="dxa"/>
                    <w:bottom w:w="0" w:type="dxa"/>
                    <w:right w:w="0" w:type="dxa"/>
                  </w:tcMar>
                  <w:vAlign w:val="center"/>
                </w:tcPr>
                <w:p w14:paraId="652CA1F7">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硅酸镁盐类矿物滑石族滑石，主要成分为含水硅酸镁，经粉碎后，用盐酸处理，水洗，干燥而成。</w:t>
                  </w:r>
                </w:p>
              </w:tc>
              <w:tc>
                <w:tcPr>
                  <w:tcW w:w="458" w:type="pct"/>
                  <w:noWrap w:val="0"/>
                  <w:tcMar>
                    <w:top w:w="0" w:type="dxa"/>
                    <w:left w:w="0" w:type="dxa"/>
                    <w:bottom w:w="0" w:type="dxa"/>
                    <w:right w:w="0" w:type="dxa"/>
                  </w:tcMar>
                  <w:vAlign w:val="center"/>
                </w:tcPr>
                <w:p w14:paraId="71EF0E30">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不燃</w:t>
                  </w:r>
                </w:p>
              </w:tc>
              <w:tc>
                <w:tcPr>
                  <w:tcW w:w="759" w:type="pct"/>
                  <w:noWrap w:val="0"/>
                  <w:tcMar>
                    <w:top w:w="0" w:type="dxa"/>
                    <w:left w:w="0" w:type="dxa"/>
                    <w:bottom w:w="0" w:type="dxa"/>
                    <w:right w:w="0" w:type="dxa"/>
                  </w:tcMar>
                  <w:vAlign w:val="center"/>
                </w:tcPr>
                <w:p w14:paraId="3E89541A">
                  <w:pPr>
                    <w:pStyle w:val="93"/>
                    <w:keepNext w:val="0"/>
                    <w:keepLines w:val="0"/>
                    <w:pageBreakBefore w:val="0"/>
                    <w:widowControl w:val="0"/>
                    <w:kinsoku/>
                    <w:wordWrap/>
                    <w:overflowPunct/>
                    <w:topLinePunct w:val="0"/>
                    <w:autoSpaceDE/>
                    <w:autoSpaceDN/>
                    <w:bidi w:val="0"/>
                    <w:adjustRightInd w:val="0"/>
                    <w:snapToGrid w:val="0"/>
                    <w:spacing w:line="240" w:lineRule="auto"/>
                    <w:jc w:val="center"/>
                    <w:rPr>
                      <w:rFonts w:ascii="Times New Roman" w:hAnsi="Times New Roman" w:eastAsia="宋体"/>
                      <w:color w:val="auto"/>
                      <w:szCs w:val="21"/>
                    </w:rPr>
                  </w:pPr>
                  <w:r>
                    <w:rPr>
                      <w:rFonts w:ascii="Times New Roman" w:hAnsi="Times New Roman" w:eastAsia="宋体"/>
                      <w:color w:val="auto"/>
                      <w:szCs w:val="21"/>
                    </w:rPr>
                    <w:t>无毒</w:t>
                  </w:r>
                </w:p>
              </w:tc>
            </w:tr>
            <w:tr w14:paraId="4C06F2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2" w:type="pct"/>
                  <w:noWrap w:val="0"/>
                  <w:tcMar>
                    <w:top w:w="0" w:type="dxa"/>
                    <w:left w:w="0" w:type="dxa"/>
                    <w:bottom w:w="0" w:type="dxa"/>
                    <w:right w:w="0" w:type="dxa"/>
                  </w:tcMar>
                  <w:vAlign w:val="center"/>
                </w:tcPr>
                <w:p w14:paraId="42EE741E">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硅酸镁MgSiO</w:t>
                  </w:r>
                  <w:r>
                    <w:rPr>
                      <w:rFonts w:ascii="Times New Roman" w:hAnsi="Times New Roman"/>
                      <w:color w:val="auto"/>
                      <w:szCs w:val="21"/>
                      <w:vertAlign w:val="subscript"/>
                    </w:rPr>
                    <w:t>3</w:t>
                  </w:r>
                </w:p>
              </w:tc>
              <w:tc>
                <w:tcPr>
                  <w:tcW w:w="2949" w:type="pct"/>
                  <w:noWrap w:val="0"/>
                  <w:tcMar>
                    <w:top w:w="0" w:type="dxa"/>
                    <w:left w:w="0" w:type="dxa"/>
                    <w:bottom w:w="0" w:type="dxa"/>
                    <w:right w:w="0" w:type="dxa"/>
                  </w:tcMar>
                  <w:vAlign w:val="center"/>
                </w:tcPr>
                <w:p w14:paraId="2ED44654">
                  <w:pPr>
                    <w:keepNext w:val="0"/>
                    <w:keepLines w:val="0"/>
                    <w:pageBreakBefore w:val="0"/>
                    <w:widowControl w:val="0"/>
                    <w:kinsoku/>
                    <w:wordWrap/>
                    <w:overflowPunct/>
                    <w:topLinePunct w:val="0"/>
                    <w:autoSpaceDE/>
                    <w:autoSpaceDN/>
                    <w:bidi w:val="0"/>
                    <w:adjustRightInd w:val="0"/>
                    <w:snapToGrid w:val="0"/>
                    <w:jc w:val="center"/>
                    <w:rPr>
                      <w:rFonts w:hint="eastAsia"/>
                      <w:color w:val="auto"/>
                      <w:lang w:eastAsia="zh-CN"/>
                    </w:rPr>
                  </w:pPr>
                  <w:r>
                    <w:rPr>
                      <w:rFonts w:ascii="Times New Roman" w:hAnsi="Times New Roman"/>
                      <w:color w:val="auto"/>
                      <w:szCs w:val="21"/>
                      <w:shd w:val="clear" w:color="auto" w:fill="FFFFFF"/>
                    </w:rPr>
                    <w:t>白色至灰白色细粉末，分子量：100.3887，密度3.21g/cm</w:t>
                  </w:r>
                  <w:r>
                    <w:rPr>
                      <w:rFonts w:ascii="Times New Roman" w:hAnsi="Times New Roman"/>
                      <w:color w:val="auto"/>
                      <w:szCs w:val="21"/>
                      <w:shd w:val="clear" w:color="auto" w:fill="FFFFFF"/>
                      <w:vertAlign w:val="superscript"/>
                    </w:rPr>
                    <w:t>3</w:t>
                  </w:r>
                  <w:r>
                    <w:rPr>
                      <w:rFonts w:ascii="Times New Roman" w:hAnsi="Times New Roman"/>
                      <w:color w:val="auto"/>
                      <w:szCs w:val="21"/>
                      <w:shd w:val="clear" w:color="auto" w:fill="FFFFFF"/>
                    </w:rPr>
                    <w:t>，熔点1890℃</w:t>
                  </w:r>
                  <w:r>
                    <w:rPr>
                      <w:rFonts w:hint="eastAsia" w:ascii="Times New Roman" w:hAnsi="Times New Roman"/>
                      <w:color w:val="auto"/>
                      <w:szCs w:val="21"/>
                      <w:shd w:val="clear" w:color="auto" w:fill="FFFFFF"/>
                      <w:lang w:eastAsia="zh-CN"/>
                    </w:rPr>
                    <w:t>。</w:t>
                  </w:r>
                </w:p>
              </w:tc>
              <w:tc>
                <w:tcPr>
                  <w:tcW w:w="458" w:type="pct"/>
                  <w:noWrap w:val="0"/>
                  <w:tcMar>
                    <w:top w:w="0" w:type="dxa"/>
                    <w:left w:w="0" w:type="dxa"/>
                    <w:bottom w:w="0" w:type="dxa"/>
                    <w:right w:w="0" w:type="dxa"/>
                  </w:tcMar>
                  <w:vAlign w:val="center"/>
                </w:tcPr>
                <w:p w14:paraId="3F5B1A24">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不燃</w:t>
                  </w:r>
                </w:p>
              </w:tc>
              <w:tc>
                <w:tcPr>
                  <w:tcW w:w="759" w:type="pct"/>
                  <w:noWrap w:val="0"/>
                  <w:tcMar>
                    <w:top w:w="0" w:type="dxa"/>
                    <w:left w:w="0" w:type="dxa"/>
                    <w:bottom w:w="0" w:type="dxa"/>
                    <w:right w:w="0" w:type="dxa"/>
                  </w:tcMar>
                  <w:vAlign w:val="center"/>
                </w:tcPr>
                <w:p w14:paraId="562BFA95">
                  <w:pPr>
                    <w:pStyle w:val="93"/>
                    <w:keepNext w:val="0"/>
                    <w:keepLines w:val="0"/>
                    <w:pageBreakBefore w:val="0"/>
                    <w:widowControl w:val="0"/>
                    <w:kinsoku/>
                    <w:wordWrap/>
                    <w:overflowPunct/>
                    <w:topLinePunct w:val="0"/>
                    <w:autoSpaceDE/>
                    <w:autoSpaceDN/>
                    <w:bidi w:val="0"/>
                    <w:adjustRightInd w:val="0"/>
                    <w:snapToGrid w:val="0"/>
                    <w:spacing w:line="240" w:lineRule="auto"/>
                    <w:jc w:val="center"/>
                    <w:rPr>
                      <w:rFonts w:ascii="Times New Roman" w:hAnsi="Times New Roman" w:eastAsia="宋体"/>
                      <w:color w:val="auto"/>
                      <w:szCs w:val="21"/>
                    </w:rPr>
                  </w:pPr>
                  <w:r>
                    <w:rPr>
                      <w:rFonts w:ascii="Times New Roman" w:hAnsi="Times New Roman" w:eastAsia="宋体"/>
                      <w:color w:val="auto"/>
                      <w:szCs w:val="21"/>
                    </w:rPr>
                    <w:t>无毒</w:t>
                  </w:r>
                </w:p>
              </w:tc>
            </w:tr>
            <w:tr w14:paraId="391548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2" w:type="pct"/>
                  <w:noWrap w:val="0"/>
                  <w:tcMar>
                    <w:top w:w="0" w:type="dxa"/>
                    <w:left w:w="0" w:type="dxa"/>
                    <w:bottom w:w="0" w:type="dxa"/>
                    <w:right w:w="0" w:type="dxa"/>
                  </w:tcMar>
                  <w:vAlign w:val="center"/>
                </w:tcPr>
                <w:p w14:paraId="525587D0">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季戊四醇酯C(CH</w:t>
                  </w:r>
                  <w:r>
                    <w:rPr>
                      <w:rFonts w:ascii="Times New Roman" w:hAnsi="Times New Roman"/>
                      <w:color w:val="auto"/>
                      <w:szCs w:val="21"/>
                      <w:vertAlign w:val="subscript"/>
                    </w:rPr>
                    <w:t>2</w:t>
                  </w:r>
                  <w:r>
                    <w:rPr>
                      <w:rFonts w:ascii="Times New Roman" w:hAnsi="Times New Roman"/>
                      <w:color w:val="auto"/>
                      <w:szCs w:val="21"/>
                    </w:rPr>
                    <w:t>OOCC</w:t>
                  </w:r>
                  <w:r>
                    <w:rPr>
                      <w:rFonts w:ascii="Times New Roman" w:hAnsi="Times New Roman"/>
                      <w:color w:val="auto"/>
                      <w:szCs w:val="21"/>
                      <w:vertAlign w:val="subscript"/>
                    </w:rPr>
                    <w:t>17</w:t>
                  </w:r>
                  <w:r>
                    <w:rPr>
                      <w:rFonts w:ascii="Times New Roman" w:hAnsi="Times New Roman"/>
                      <w:color w:val="auto"/>
                      <w:szCs w:val="21"/>
                    </w:rPr>
                    <w:t>H</w:t>
                  </w:r>
                  <w:r>
                    <w:rPr>
                      <w:rFonts w:ascii="Times New Roman" w:hAnsi="Times New Roman"/>
                      <w:color w:val="auto"/>
                      <w:szCs w:val="21"/>
                      <w:vertAlign w:val="subscript"/>
                    </w:rPr>
                    <w:t>33</w:t>
                  </w:r>
                  <w:r>
                    <w:rPr>
                      <w:rFonts w:ascii="Times New Roman" w:hAnsi="Times New Roman"/>
                      <w:color w:val="auto"/>
                      <w:szCs w:val="21"/>
                    </w:rPr>
                    <w:t>)</w:t>
                  </w:r>
                  <w:r>
                    <w:rPr>
                      <w:rFonts w:ascii="Times New Roman" w:hAnsi="Times New Roman"/>
                      <w:color w:val="auto"/>
                      <w:szCs w:val="21"/>
                      <w:vertAlign w:val="subscript"/>
                    </w:rPr>
                    <w:t>4</w:t>
                  </w:r>
                </w:p>
              </w:tc>
              <w:tc>
                <w:tcPr>
                  <w:tcW w:w="2949" w:type="pct"/>
                  <w:noWrap w:val="0"/>
                  <w:tcMar>
                    <w:top w:w="0" w:type="dxa"/>
                    <w:left w:w="0" w:type="dxa"/>
                    <w:bottom w:w="0" w:type="dxa"/>
                    <w:right w:w="0" w:type="dxa"/>
                  </w:tcMar>
                  <w:vAlign w:val="center"/>
                </w:tcPr>
                <w:p w14:paraId="20FF830D">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shd w:val="clear" w:color="auto" w:fill="FFFFFF"/>
                    </w:rPr>
                  </w:pPr>
                  <w:r>
                    <w:rPr>
                      <w:rFonts w:ascii="Times New Roman" w:hAnsi="Times New Roman"/>
                      <w:color w:val="auto"/>
                      <w:szCs w:val="21"/>
                      <w:shd w:val="clear" w:color="auto" w:fill="FFFFFF"/>
                    </w:rPr>
                    <w:t>无色或黄色透明液体，季戊四醇酯具有优异的润滑性能、粘度指数高、抗燃性好，生物降解率达90％以上，是68号合成酯型抗燃液压油理想的基础油；可用于调配要求环保的液压油、链锯油和水上游艇用发动机油；作为油性剂在钢板冷轧制液、钢管拉拔油及其它金属加工液中广泛使用。</w:t>
                  </w:r>
                </w:p>
              </w:tc>
              <w:tc>
                <w:tcPr>
                  <w:tcW w:w="458" w:type="pct"/>
                  <w:noWrap w:val="0"/>
                  <w:tcMar>
                    <w:top w:w="0" w:type="dxa"/>
                    <w:left w:w="0" w:type="dxa"/>
                    <w:bottom w:w="0" w:type="dxa"/>
                    <w:right w:w="0" w:type="dxa"/>
                  </w:tcMar>
                  <w:vAlign w:val="center"/>
                </w:tcPr>
                <w:p w14:paraId="3110C87A">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可燃</w:t>
                  </w:r>
                </w:p>
              </w:tc>
              <w:tc>
                <w:tcPr>
                  <w:tcW w:w="759" w:type="pct"/>
                  <w:noWrap w:val="0"/>
                  <w:tcMar>
                    <w:top w:w="0" w:type="dxa"/>
                    <w:left w:w="0" w:type="dxa"/>
                    <w:bottom w:w="0" w:type="dxa"/>
                    <w:right w:w="0" w:type="dxa"/>
                  </w:tcMar>
                  <w:vAlign w:val="center"/>
                </w:tcPr>
                <w:p w14:paraId="3A376E1B">
                  <w:pPr>
                    <w:pStyle w:val="93"/>
                    <w:keepNext w:val="0"/>
                    <w:keepLines w:val="0"/>
                    <w:pageBreakBefore w:val="0"/>
                    <w:widowControl w:val="0"/>
                    <w:kinsoku/>
                    <w:wordWrap/>
                    <w:overflowPunct/>
                    <w:topLinePunct w:val="0"/>
                    <w:autoSpaceDE/>
                    <w:autoSpaceDN/>
                    <w:bidi w:val="0"/>
                    <w:adjustRightInd w:val="0"/>
                    <w:snapToGrid w:val="0"/>
                    <w:spacing w:line="240" w:lineRule="auto"/>
                    <w:jc w:val="center"/>
                    <w:rPr>
                      <w:rFonts w:ascii="Times New Roman" w:hAnsi="Times New Roman" w:eastAsia="宋体"/>
                      <w:color w:val="auto"/>
                      <w:szCs w:val="21"/>
                    </w:rPr>
                  </w:pPr>
                  <w:r>
                    <w:rPr>
                      <w:rFonts w:ascii="Times New Roman" w:hAnsi="Times New Roman" w:eastAsia="宋体"/>
                      <w:color w:val="auto"/>
                      <w:szCs w:val="21"/>
                    </w:rPr>
                    <w:t>无毒</w:t>
                  </w:r>
                </w:p>
              </w:tc>
            </w:tr>
            <w:tr w14:paraId="39E64C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2" w:type="pct"/>
                  <w:noWrap w:val="0"/>
                  <w:tcMar>
                    <w:top w:w="0" w:type="dxa"/>
                    <w:left w:w="0" w:type="dxa"/>
                    <w:bottom w:w="0" w:type="dxa"/>
                    <w:right w:w="0" w:type="dxa"/>
                  </w:tcMar>
                  <w:vAlign w:val="center"/>
                </w:tcPr>
                <w:p w14:paraId="70EA1960">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石蜡油</w:t>
                  </w:r>
                </w:p>
              </w:tc>
              <w:tc>
                <w:tcPr>
                  <w:tcW w:w="2949" w:type="pct"/>
                  <w:noWrap w:val="0"/>
                  <w:tcMar>
                    <w:top w:w="0" w:type="dxa"/>
                    <w:left w:w="0" w:type="dxa"/>
                    <w:bottom w:w="0" w:type="dxa"/>
                    <w:right w:w="0" w:type="dxa"/>
                  </w:tcMar>
                  <w:vAlign w:val="center"/>
                </w:tcPr>
                <w:p w14:paraId="7B725B6D">
                  <w:pPr>
                    <w:keepNext w:val="0"/>
                    <w:keepLines w:val="0"/>
                    <w:pageBreakBefore w:val="0"/>
                    <w:widowControl w:val="0"/>
                    <w:kinsoku/>
                    <w:wordWrap/>
                    <w:overflowPunct/>
                    <w:topLinePunct w:val="0"/>
                    <w:autoSpaceDE/>
                    <w:autoSpaceDN/>
                    <w:bidi w:val="0"/>
                    <w:adjustRightInd w:val="0"/>
                    <w:snapToGrid w:val="0"/>
                    <w:jc w:val="center"/>
                    <w:rPr>
                      <w:rFonts w:ascii="Times New Roman" w:hAnsi="Times New Roman"/>
                      <w:color w:val="auto"/>
                      <w:szCs w:val="21"/>
                    </w:rPr>
                  </w:pPr>
                  <w:r>
                    <w:rPr>
                      <w:rFonts w:ascii="Times New Roman" w:hAnsi="Times New Roman"/>
                      <w:color w:val="auto"/>
                      <w:szCs w:val="21"/>
                    </w:rPr>
                    <w:t>石油产品的一种。无色、无臭、无味，并无荧光的油状液体。密度0.87-0.98g/cm</w:t>
                  </w:r>
                  <w:r>
                    <w:rPr>
                      <w:rFonts w:ascii="Times New Roman" w:hAnsi="Times New Roman"/>
                      <w:color w:val="auto"/>
                      <w:szCs w:val="21"/>
                      <w:vertAlign w:val="superscript"/>
                    </w:rPr>
                    <w:t>3</w:t>
                  </w:r>
                  <w:r>
                    <w:rPr>
                      <w:rFonts w:ascii="Times New Roman" w:hAnsi="Times New Roman"/>
                      <w:color w:val="auto"/>
                      <w:szCs w:val="21"/>
                    </w:rPr>
                    <w:t>，闪点：230摄氏度，凝点-20~112℃按用途分为医药用和化妆品用两种。由重油经减压蒸馏所得的中等粘度润滑油馏分，再经加工精制而成。</w:t>
                  </w:r>
                </w:p>
              </w:tc>
              <w:tc>
                <w:tcPr>
                  <w:tcW w:w="458" w:type="pct"/>
                  <w:noWrap w:val="0"/>
                  <w:tcMar>
                    <w:top w:w="0" w:type="dxa"/>
                    <w:left w:w="0" w:type="dxa"/>
                    <w:bottom w:w="0" w:type="dxa"/>
                    <w:right w:w="0" w:type="dxa"/>
                  </w:tcMar>
                  <w:vAlign w:val="center"/>
                </w:tcPr>
                <w:p w14:paraId="00F07B31">
                  <w:pPr>
                    <w:pStyle w:val="93"/>
                    <w:keepNext w:val="0"/>
                    <w:keepLines w:val="0"/>
                    <w:pageBreakBefore w:val="0"/>
                    <w:widowControl w:val="0"/>
                    <w:kinsoku/>
                    <w:wordWrap/>
                    <w:overflowPunct/>
                    <w:topLinePunct w:val="0"/>
                    <w:autoSpaceDE/>
                    <w:autoSpaceDN/>
                    <w:bidi w:val="0"/>
                    <w:adjustRightInd w:val="0"/>
                    <w:snapToGrid w:val="0"/>
                    <w:spacing w:line="240" w:lineRule="auto"/>
                    <w:jc w:val="center"/>
                    <w:rPr>
                      <w:rFonts w:ascii="Times New Roman" w:hAnsi="Times New Roman" w:eastAsia="宋体"/>
                      <w:color w:val="auto"/>
                      <w:szCs w:val="21"/>
                    </w:rPr>
                  </w:pPr>
                  <w:r>
                    <w:rPr>
                      <w:rFonts w:ascii="Times New Roman" w:hAnsi="Times New Roman" w:eastAsia="宋体"/>
                      <w:color w:val="auto"/>
                      <w:szCs w:val="21"/>
                    </w:rPr>
                    <w:t>可燃</w:t>
                  </w:r>
                </w:p>
              </w:tc>
              <w:tc>
                <w:tcPr>
                  <w:tcW w:w="759" w:type="pct"/>
                  <w:noWrap w:val="0"/>
                  <w:tcMar>
                    <w:top w:w="0" w:type="dxa"/>
                    <w:left w:w="0" w:type="dxa"/>
                    <w:bottom w:w="0" w:type="dxa"/>
                    <w:right w:w="0" w:type="dxa"/>
                  </w:tcMar>
                  <w:vAlign w:val="center"/>
                </w:tcPr>
                <w:p w14:paraId="583DA579">
                  <w:pPr>
                    <w:pStyle w:val="93"/>
                    <w:keepNext w:val="0"/>
                    <w:keepLines w:val="0"/>
                    <w:pageBreakBefore w:val="0"/>
                    <w:widowControl w:val="0"/>
                    <w:kinsoku/>
                    <w:wordWrap/>
                    <w:overflowPunct/>
                    <w:topLinePunct w:val="0"/>
                    <w:autoSpaceDE/>
                    <w:autoSpaceDN/>
                    <w:bidi w:val="0"/>
                    <w:adjustRightInd w:val="0"/>
                    <w:snapToGrid w:val="0"/>
                    <w:spacing w:line="240" w:lineRule="auto"/>
                    <w:jc w:val="center"/>
                    <w:rPr>
                      <w:rFonts w:ascii="Times New Roman" w:hAnsi="Times New Roman" w:eastAsia="宋体"/>
                      <w:color w:val="auto"/>
                      <w:szCs w:val="21"/>
                    </w:rPr>
                  </w:pPr>
                  <w:r>
                    <w:rPr>
                      <w:rFonts w:ascii="Times New Roman" w:hAnsi="Times New Roman" w:eastAsia="宋体"/>
                      <w:color w:val="auto"/>
                      <w:szCs w:val="21"/>
                    </w:rPr>
                    <w:t>微毒</w:t>
                  </w:r>
                </w:p>
              </w:tc>
            </w:tr>
          </w:tbl>
          <w:p w14:paraId="42CB8304">
            <w:pPr>
              <w:pStyle w:val="7"/>
              <w:spacing w:before="120" w:beforeLines="50" w:line="360" w:lineRule="auto"/>
              <w:ind w:firstLine="422"/>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6、项目水平衡分析</w:t>
            </w:r>
          </w:p>
          <w:p w14:paraId="5CDCE2F8">
            <w:pPr>
              <w:pStyle w:val="11"/>
              <w:spacing w:line="360" w:lineRule="auto"/>
              <w:ind w:left="0" w:leftChars="0" w:right="0" w:rightChars="0" w:firstLine="422"/>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①给水：</w:t>
            </w:r>
            <w:r>
              <w:rPr>
                <w:rFonts w:hint="default" w:ascii="Times New Roman" w:hAnsi="Times New Roman" w:eastAsia="宋体" w:cs="Times New Roman"/>
                <w:color w:val="auto"/>
                <w:sz w:val="21"/>
                <w:szCs w:val="21"/>
              </w:rPr>
              <w:t>本项目用水为员工的生活用水</w:t>
            </w:r>
            <w:r>
              <w:rPr>
                <w:rFonts w:hint="eastAsia" w:ascii="Times New Roman" w:hAnsi="Times New Roman" w:eastAsia="宋体" w:cs="Times New Roman"/>
                <w:color w:val="auto"/>
                <w:sz w:val="21"/>
                <w:szCs w:val="21"/>
                <w:lang w:eastAsia="zh-CN"/>
              </w:rPr>
              <w:t>、冷却用水、</w:t>
            </w:r>
            <w:r>
              <w:rPr>
                <w:rFonts w:hint="eastAsia" w:ascii="Times New Roman" w:hAnsi="Times New Roman" w:eastAsia="宋体" w:cs="Times New Roman"/>
                <w:color w:val="auto"/>
                <w:sz w:val="21"/>
                <w:szCs w:val="21"/>
                <w:lang w:val="en-US" w:eastAsia="zh-CN"/>
              </w:rPr>
              <w:t>喷淋塔用水</w:t>
            </w:r>
            <w:r>
              <w:rPr>
                <w:rFonts w:hint="default" w:ascii="Times New Roman" w:hAnsi="Times New Roman" w:eastAsia="宋体" w:cs="Times New Roman"/>
                <w:color w:val="auto"/>
                <w:sz w:val="21"/>
                <w:szCs w:val="21"/>
              </w:rPr>
              <w:t>。</w:t>
            </w:r>
          </w:p>
          <w:p w14:paraId="34B14F9B">
            <w:pPr>
              <w:spacing w:line="360" w:lineRule="auto"/>
              <w:ind w:firstLine="422" w:firstLineChars="200"/>
              <w:rPr>
                <w:rFonts w:hint="default" w:ascii="Times New Roman" w:hAnsi="Times New Roman" w:eastAsia="宋体" w:cs="Times New Roman"/>
                <w:color w:val="auto"/>
                <w:szCs w:val="21"/>
              </w:rPr>
            </w:pPr>
            <w:r>
              <w:rPr>
                <w:rFonts w:hint="default" w:ascii="Times New Roman" w:hAnsi="Times New Roman" w:eastAsia="宋体" w:cs="Times New Roman"/>
                <w:b/>
                <w:bCs/>
                <w:color w:val="auto"/>
                <w:szCs w:val="21"/>
              </w:rPr>
              <w:t>生活用水</w:t>
            </w:r>
            <w:r>
              <w:rPr>
                <w:rFonts w:hint="eastAsia" w:ascii="Times New Roman" w:hAnsi="Times New Roman" w:eastAsia="宋体" w:cs="Times New Roman"/>
                <w:b/>
                <w:bCs/>
                <w:color w:val="auto"/>
                <w:szCs w:val="21"/>
                <w:lang w:eastAsia="zh-CN"/>
              </w:rPr>
              <w:t>（</w:t>
            </w:r>
            <w:r>
              <w:rPr>
                <w:rFonts w:hint="eastAsia" w:ascii="Times New Roman" w:hAnsi="Times New Roman" w:eastAsia="宋体" w:cs="Times New Roman"/>
                <w:b/>
                <w:bCs/>
                <w:color w:val="auto"/>
                <w:szCs w:val="21"/>
                <w:lang w:val="en-US" w:eastAsia="zh-CN"/>
              </w:rPr>
              <w:t>自来水</w:t>
            </w:r>
            <w:r>
              <w:rPr>
                <w:rFonts w:hint="eastAsia" w:ascii="Times New Roman" w:hAnsi="Times New Roman" w:eastAsia="宋体" w:cs="Times New Roman"/>
                <w:b/>
                <w:bCs/>
                <w:color w:val="auto"/>
                <w:szCs w:val="21"/>
                <w:lang w:eastAsia="zh-CN"/>
              </w:rPr>
              <w:t>）</w:t>
            </w:r>
            <w:r>
              <w:rPr>
                <w:rFonts w:hint="default" w:ascii="Times New Roman" w:hAnsi="Times New Roman" w:eastAsia="宋体" w:cs="Times New Roman"/>
                <w:b/>
                <w:bCs/>
                <w:color w:val="auto"/>
                <w:szCs w:val="21"/>
              </w:rPr>
              <w:t>：</w:t>
            </w:r>
            <w:r>
              <w:rPr>
                <w:rFonts w:hint="default" w:ascii="Times New Roman" w:hAnsi="Times New Roman" w:eastAsia="宋体" w:cs="Times New Roman"/>
                <w:color w:val="auto"/>
                <w:szCs w:val="21"/>
              </w:rPr>
              <w:t>本项目新增员工人数</w:t>
            </w:r>
            <w:r>
              <w:rPr>
                <w:rFonts w:hint="eastAsia" w:ascii="Times New Roman" w:hAnsi="Times New Roman" w:eastAsia="宋体" w:cs="Times New Roman"/>
                <w:color w:val="auto"/>
                <w:szCs w:val="21"/>
                <w:lang w:val="en-US" w:eastAsia="zh-CN"/>
              </w:rPr>
              <w:t>6</w:t>
            </w:r>
            <w:r>
              <w:rPr>
                <w:rFonts w:hint="default" w:ascii="Times New Roman" w:hAnsi="Times New Roman" w:eastAsia="宋体" w:cs="Times New Roman"/>
                <w:color w:val="auto"/>
                <w:szCs w:val="21"/>
              </w:rPr>
              <w:t>人，年工作300天，员工用水量按</w:t>
            </w:r>
            <w:r>
              <w:rPr>
                <w:rFonts w:hint="eastAsia" w:ascii="Times New Roman" w:hAnsi="Times New Roman" w:eastAsia="宋体" w:cs="Times New Roman"/>
                <w:color w:val="auto"/>
                <w:szCs w:val="21"/>
                <w:lang w:val="en-US" w:eastAsia="zh-CN"/>
              </w:rPr>
              <w:t>10</w:t>
            </w:r>
            <w:r>
              <w:rPr>
                <w:rFonts w:hint="default" w:ascii="Times New Roman" w:hAnsi="Times New Roman" w:eastAsia="宋体" w:cs="Times New Roman"/>
                <w:color w:val="auto"/>
                <w:szCs w:val="21"/>
              </w:rPr>
              <w:t>0L/人·d计，可知员工年用水量为</w:t>
            </w:r>
            <w:r>
              <w:rPr>
                <w:rFonts w:hint="eastAsia" w:ascii="Times New Roman" w:hAnsi="Times New Roman" w:eastAsia="宋体" w:cs="Times New Roman"/>
                <w:color w:val="auto"/>
                <w:szCs w:val="21"/>
                <w:lang w:val="en-US" w:eastAsia="zh-CN"/>
              </w:rPr>
              <w:t>180</w:t>
            </w:r>
            <w:r>
              <w:rPr>
                <w:rFonts w:hint="default" w:ascii="Times New Roman" w:hAnsi="Times New Roman" w:eastAsia="宋体" w:cs="Times New Roman"/>
                <w:color w:val="auto"/>
                <w:szCs w:val="21"/>
              </w:rPr>
              <w:t>t/a。</w:t>
            </w:r>
          </w:p>
          <w:p w14:paraId="79C17950">
            <w:pPr>
              <w:spacing w:line="360" w:lineRule="auto"/>
              <w:ind w:firstLine="422" w:firstLineChars="200"/>
              <w:rPr>
                <w:rFonts w:hint="default" w:ascii="Times New Roman" w:hAnsi="Times New Roman" w:eastAsia="宋体" w:cs="Times New Roman"/>
                <w:b/>
                <w:color w:val="auto"/>
                <w:szCs w:val="21"/>
                <w:lang w:val="en-US" w:eastAsia="zh-CN"/>
              </w:rPr>
            </w:pPr>
            <w:r>
              <w:rPr>
                <w:rFonts w:ascii="Times New Roman" w:hAnsi="Times New Roman" w:eastAsia="宋体"/>
                <w:b/>
                <w:bCs/>
                <w:color w:val="auto"/>
              </w:rPr>
              <w:t>切粒冷却用水：</w:t>
            </w:r>
            <w:r>
              <w:rPr>
                <w:rFonts w:ascii="Times New Roman" w:hAnsi="Times New Roman" w:eastAsia="宋体"/>
                <w:color w:val="auto"/>
              </w:rPr>
              <w:t>刚从挤出机挤出的热塑性材料为熔融状，在挤出口进行水下切粒，通过网板分离产品和冷却水，切粒过程产生粒径太小的边角料进入冷却水中。</w:t>
            </w:r>
            <w:r>
              <w:rPr>
                <w:rFonts w:hint="eastAsia" w:ascii="Times New Roman" w:hAnsi="Times New Roman" w:eastAsia="宋体"/>
                <w:color w:val="auto"/>
                <w:lang w:val="en-US" w:eastAsia="zh-CN"/>
              </w:rPr>
              <w:t>建设单位提供资料，项目</w:t>
            </w:r>
            <w:r>
              <w:rPr>
                <w:rFonts w:ascii="Times New Roman" w:hAnsi="Times New Roman" w:eastAsia="宋体"/>
                <w:color w:val="auto"/>
              </w:rPr>
              <w:t>设有</w:t>
            </w:r>
            <w:r>
              <w:rPr>
                <w:rFonts w:hint="eastAsia" w:ascii="Times New Roman" w:hAnsi="Times New Roman" w:eastAsia="宋体"/>
                <w:color w:val="auto"/>
                <w:lang w:val="en-US" w:eastAsia="zh-CN"/>
              </w:rPr>
              <w:t>2</w:t>
            </w:r>
            <w:r>
              <w:rPr>
                <w:rFonts w:ascii="Times New Roman" w:hAnsi="Times New Roman" w:eastAsia="宋体"/>
                <w:color w:val="auto"/>
              </w:rPr>
              <w:t>个水</w:t>
            </w:r>
            <w:r>
              <w:rPr>
                <w:rFonts w:hint="eastAsia" w:ascii="Times New Roman" w:hAnsi="Times New Roman" w:eastAsia="宋体"/>
                <w:color w:val="auto"/>
                <w:lang w:val="en-US" w:eastAsia="zh-CN"/>
              </w:rPr>
              <w:t>槽</w:t>
            </w:r>
            <w:r>
              <w:rPr>
                <w:rFonts w:ascii="Times New Roman" w:hAnsi="Times New Roman" w:eastAsia="宋体"/>
                <w:color w:val="auto"/>
              </w:rPr>
              <w:t>（</w:t>
            </w:r>
            <w:r>
              <w:rPr>
                <w:rFonts w:hint="eastAsia" w:ascii="Times New Roman" w:hAnsi="Times New Roman" w:eastAsia="宋体"/>
                <w:color w:val="auto"/>
                <w:lang w:val="en-US" w:eastAsia="zh-CN"/>
              </w:rPr>
              <w:t>1</w:t>
            </w:r>
            <w:r>
              <w:rPr>
                <w:rFonts w:ascii="Times New Roman" w:hAnsi="Times New Roman" w:eastAsia="宋体"/>
                <w:color w:val="auto"/>
              </w:rPr>
              <w:t>m</w:t>
            </w:r>
            <w:r>
              <w:rPr>
                <w:rFonts w:ascii="Times New Roman" w:hAnsi="Times New Roman" w:eastAsia="宋体"/>
                <w:color w:val="auto"/>
                <w:vertAlign w:val="superscript"/>
              </w:rPr>
              <w:t>3</w:t>
            </w:r>
            <w:r>
              <w:rPr>
                <w:rFonts w:hint="eastAsia" w:ascii="Times New Roman" w:hAnsi="Times New Roman" w:eastAsia="宋体"/>
                <w:color w:val="auto"/>
                <w:vertAlign w:val="baseline"/>
                <w:lang w:val="en-US" w:eastAsia="zh-CN"/>
              </w:rPr>
              <w:t>/个</w:t>
            </w:r>
            <w:r>
              <w:rPr>
                <w:rFonts w:ascii="Times New Roman" w:hAnsi="Times New Roman" w:eastAsia="宋体"/>
                <w:color w:val="auto"/>
              </w:rPr>
              <w:t>），在水箱中边角料经过格栅网隔离，冷却水循环使用</w:t>
            </w:r>
            <w:r>
              <w:rPr>
                <w:rFonts w:hint="eastAsia" w:ascii="Times New Roman" w:hAnsi="Times New Roman" w:eastAsia="宋体"/>
                <w:color w:val="auto"/>
                <w:lang w:val="en-US" w:eastAsia="zh-CN"/>
              </w:rPr>
              <w:t>不排放</w:t>
            </w:r>
            <w:r>
              <w:rPr>
                <w:rFonts w:ascii="Times New Roman" w:hAnsi="Times New Roman" w:eastAsia="宋体"/>
                <w:color w:val="auto"/>
              </w:rPr>
              <w:t>，总循环水量约为</w:t>
            </w:r>
            <w:r>
              <w:rPr>
                <w:rFonts w:hint="eastAsia" w:ascii="Times New Roman" w:hAnsi="Times New Roman" w:eastAsia="宋体"/>
                <w:color w:val="auto"/>
                <w:lang w:val="en-US" w:eastAsia="zh-CN"/>
              </w:rPr>
              <w:t>2</w:t>
            </w:r>
            <w:r>
              <w:rPr>
                <w:rFonts w:ascii="Times New Roman" w:hAnsi="Times New Roman" w:eastAsia="宋体"/>
                <w:color w:val="auto"/>
              </w:rPr>
              <w:t>m</w:t>
            </w:r>
            <w:r>
              <w:rPr>
                <w:rFonts w:ascii="Times New Roman" w:hAnsi="Times New Roman" w:eastAsia="宋体"/>
                <w:color w:val="auto"/>
                <w:vertAlign w:val="superscript"/>
              </w:rPr>
              <w:t>3</w:t>
            </w:r>
            <w:r>
              <w:rPr>
                <w:rFonts w:ascii="Times New Roman" w:hAnsi="Times New Roman" w:eastAsia="宋体"/>
                <w:color w:val="auto"/>
              </w:rPr>
              <w:t>/h</w:t>
            </w:r>
            <w:r>
              <w:rPr>
                <w:rFonts w:hint="eastAsia" w:ascii="Times New Roman" w:hAnsi="Times New Roman" w:eastAsia="宋体"/>
                <w:color w:val="auto"/>
                <w:lang w:eastAsia="zh-CN"/>
              </w:rPr>
              <w:t>（</w:t>
            </w:r>
            <w:r>
              <w:rPr>
                <w:rFonts w:hint="eastAsia" w:ascii="Times New Roman" w:hAnsi="Times New Roman" w:eastAsia="宋体"/>
                <w:color w:val="auto"/>
                <w:lang w:val="en-US" w:eastAsia="zh-CN"/>
              </w:rPr>
              <w:t>4800</w:t>
            </w:r>
            <w:r>
              <w:rPr>
                <w:rFonts w:ascii="Times New Roman" w:hAnsi="Times New Roman" w:eastAsia="宋体"/>
                <w:color w:val="auto"/>
              </w:rPr>
              <w:t>m</w:t>
            </w:r>
            <w:r>
              <w:rPr>
                <w:rFonts w:ascii="Times New Roman" w:hAnsi="Times New Roman" w:eastAsia="宋体"/>
                <w:color w:val="auto"/>
                <w:vertAlign w:val="superscript"/>
              </w:rPr>
              <w:t>3</w:t>
            </w:r>
            <w:r>
              <w:rPr>
                <w:rFonts w:ascii="Times New Roman" w:hAnsi="Times New Roman" w:eastAsia="宋体"/>
                <w:color w:val="auto"/>
              </w:rPr>
              <w:t>/</w:t>
            </w:r>
            <w:r>
              <w:rPr>
                <w:rFonts w:hint="eastAsia" w:ascii="Times New Roman" w:hAnsi="Times New Roman" w:eastAsia="宋体"/>
                <w:color w:val="auto"/>
                <w:lang w:val="en-US" w:eastAsia="zh-CN"/>
              </w:rPr>
              <w:t>a</w:t>
            </w:r>
            <w:r>
              <w:rPr>
                <w:rFonts w:hint="eastAsia" w:ascii="Times New Roman" w:hAnsi="Times New Roman" w:eastAsia="宋体"/>
                <w:color w:val="auto"/>
                <w:lang w:eastAsia="zh-CN"/>
              </w:rPr>
              <w:t>）</w:t>
            </w:r>
            <w:r>
              <w:rPr>
                <w:rFonts w:ascii="Times New Roman" w:hAnsi="Times New Roman" w:eastAsia="宋体"/>
                <w:color w:val="auto"/>
              </w:rPr>
              <w:t>，切粒冷却用水损耗率极小，损耗量约</w:t>
            </w:r>
            <w:r>
              <w:rPr>
                <w:rFonts w:hint="eastAsia" w:ascii="Times New Roman" w:hAnsi="Times New Roman" w:eastAsia="宋体"/>
                <w:color w:val="auto"/>
                <w:lang w:val="en-US" w:eastAsia="zh-CN"/>
              </w:rPr>
              <w:t>10</w:t>
            </w:r>
            <w:r>
              <w:rPr>
                <w:rFonts w:ascii="Times New Roman" w:hAnsi="Times New Roman" w:eastAsia="宋体"/>
                <w:color w:val="auto"/>
              </w:rPr>
              <w:t>%，定期增添，年添量为</w:t>
            </w:r>
            <w:r>
              <w:rPr>
                <w:rFonts w:hint="eastAsia" w:ascii="Times New Roman" w:hAnsi="Times New Roman" w:eastAsia="宋体"/>
                <w:color w:val="auto"/>
                <w:lang w:val="en-US" w:eastAsia="zh-CN"/>
              </w:rPr>
              <w:t>480</w:t>
            </w:r>
            <w:r>
              <w:rPr>
                <w:rFonts w:ascii="Times New Roman" w:hAnsi="Times New Roman" w:eastAsia="宋体"/>
                <w:color w:val="auto"/>
              </w:rPr>
              <w:t>t/a</w:t>
            </w:r>
            <w:r>
              <w:rPr>
                <w:rFonts w:hint="eastAsia" w:ascii="Times New Roman" w:hAnsi="Times New Roman" w:eastAsia="宋体" w:cs="Times New Roman"/>
                <w:b w:val="0"/>
                <w:bCs/>
                <w:color w:val="auto"/>
                <w:szCs w:val="21"/>
                <w:lang w:val="en-US" w:eastAsia="zh-CN"/>
              </w:rPr>
              <w:t>。</w:t>
            </w:r>
          </w:p>
          <w:p w14:paraId="5264932C">
            <w:pPr>
              <w:spacing w:line="360" w:lineRule="auto"/>
              <w:ind w:firstLine="422" w:firstLineChars="200"/>
              <w:rPr>
                <w:rFonts w:hint="default" w:ascii="Times New Roman" w:hAnsi="Times New Roman" w:eastAsia="宋体" w:cs="Times New Roman"/>
                <w:b/>
                <w:color w:val="auto"/>
                <w:szCs w:val="21"/>
                <w:lang w:val="en-US" w:eastAsia="zh-CN"/>
              </w:rPr>
            </w:pPr>
            <w:r>
              <w:rPr>
                <w:rFonts w:hint="default" w:ascii="Times New Roman" w:hAnsi="Times New Roman" w:eastAsia="宋体" w:cs="Times New Roman"/>
                <w:b/>
                <w:color w:val="auto"/>
                <w:szCs w:val="21"/>
                <w:lang w:val="en-US" w:eastAsia="zh-CN"/>
              </w:rPr>
              <w:t>设备冷却</w:t>
            </w:r>
            <w:r>
              <w:rPr>
                <w:rFonts w:ascii="Times New Roman" w:hAnsi="Times New Roman" w:eastAsia="宋体"/>
                <w:b/>
                <w:bCs/>
                <w:color w:val="auto"/>
              </w:rPr>
              <w:t>用</w:t>
            </w:r>
            <w:r>
              <w:rPr>
                <w:rFonts w:hint="default" w:ascii="Times New Roman" w:hAnsi="Times New Roman" w:eastAsia="宋体" w:cs="Times New Roman"/>
                <w:b/>
                <w:color w:val="auto"/>
                <w:szCs w:val="21"/>
                <w:lang w:val="en-US" w:eastAsia="zh-CN"/>
              </w:rPr>
              <w:t>水</w:t>
            </w:r>
            <w:r>
              <w:rPr>
                <w:rFonts w:hint="default" w:ascii="Times New Roman" w:hAnsi="Times New Roman" w:eastAsia="宋体" w:cs="Times New Roman"/>
                <w:b w:val="0"/>
                <w:bCs/>
                <w:color w:val="auto"/>
                <w:szCs w:val="21"/>
                <w:lang w:val="en-US" w:eastAsia="zh-CN"/>
              </w:rPr>
              <w:t>：这股冷却水主要为挤出机、开炼机、成型机等冷却，以及切粒冷却水热交换，不与产品直接接触。车间内设有一个水箱，屋顶设有一个冷却水塔，设备冷却水经过水箱和冷却水塔冷却后循环使用，循环水量约为10m</w:t>
            </w:r>
            <w:r>
              <w:rPr>
                <w:rFonts w:hint="default" w:ascii="Times New Roman" w:hAnsi="Times New Roman" w:eastAsia="宋体" w:cs="Times New Roman"/>
                <w:b w:val="0"/>
                <w:bCs/>
                <w:color w:val="auto"/>
                <w:szCs w:val="21"/>
                <w:vertAlign w:val="superscript"/>
                <w:lang w:val="en-US" w:eastAsia="zh-CN"/>
              </w:rPr>
              <w:t>3</w:t>
            </w:r>
            <w:r>
              <w:rPr>
                <w:rFonts w:hint="default" w:ascii="Times New Roman" w:hAnsi="Times New Roman" w:eastAsia="宋体" w:cs="Times New Roman"/>
                <w:b w:val="0"/>
                <w:bCs/>
                <w:color w:val="auto"/>
                <w:szCs w:val="21"/>
                <w:lang w:val="en-US" w:eastAsia="zh-CN"/>
              </w:rPr>
              <w:t>/h，由于这股冷却水不与产品直接接触，可一直循环使用不外排，冷却水以蒸汽的形式损耗（损耗量2%），需每天进行补充，补充量约为1.6t/d，则年补充水量约为</w:t>
            </w:r>
            <w:r>
              <w:rPr>
                <w:rFonts w:hint="eastAsia" w:ascii="Times New Roman" w:hAnsi="Times New Roman" w:eastAsia="宋体" w:cs="Times New Roman"/>
                <w:b w:val="0"/>
                <w:bCs/>
                <w:color w:val="auto"/>
                <w:szCs w:val="21"/>
                <w:lang w:val="en-US" w:eastAsia="zh-CN"/>
              </w:rPr>
              <w:t>480</w:t>
            </w:r>
            <w:r>
              <w:rPr>
                <w:rFonts w:hint="default" w:ascii="Times New Roman" w:hAnsi="Times New Roman" w:eastAsia="宋体" w:cs="Times New Roman"/>
                <w:b w:val="0"/>
                <w:bCs/>
                <w:color w:val="auto"/>
                <w:szCs w:val="21"/>
                <w:lang w:val="en-US" w:eastAsia="zh-CN"/>
              </w:rPr>
              <w:t>t/a</w:t>
            </w:r>
            <w:r>
              <w:rPr>
                <w:rFonts w:hint="eastAsia" w:ascii="Times New Roman" w:hAnsi="Times New Roman" w:eastAsia="宋体" w:cs="Times New Roman"/>
                <w:b w:val="0"/>
                <w:bCs/>
                <w:color w:val="auto"/>
                <w:szCs w:val="21"/>
                <w:lang w:val="en-US" w:eastAsia="zh-CN"/>
              </w:rPr>
              <w:t>。</w:t>
            </w:r>
          </w:p>
          <w:p w14:paraId="2071564B">
            <w:pPr>
              <w:spacing w:line="360" w:lineRule="auto"/>
              <w:ind w:firstLine="422" w:firstLineChars="200"/>
              <w:rPr>
                <w:rFonts w:hint="default" w:ascii="Times New Roman" w:hAnsi="Times New Roman" w:eastAsia="宋体" w:cs="Times New Roman"/>
                <w:b/>
                <w:color w:val="auto"/>
                <w:szCs w:val="21"/>
                <w:lang w:val="en-US" w:eastAsia="zh-CN"/>
              </w:rPr>
            </w:pPr>
            <w:r>
              <w:rPr>
                <w:rFonts w:hint="eastAsia"/>
                <w:b/>
                <w:bCs/>
                <w:color w:val="auto"/>
                <w:highlight w:val="none"/>
                <w:lang w:val="en-US" w:eastAsia="zh-CN"/>
              </w:rPr>
              <w:t>喷淋塔用水</w:t>
            </w:r>
            <w:r>
              <w:rPr>
                <w:rFonts w:hint="eastAsia"/>
                <w:color w:val="auto"/>
                <w:highlight w:val="none"/>
                <w:lang w:val="en-US" w:eastAsia="zh-CN"/>
              </w:rPr>
              <w:t>：本项目设置喷淋装置用于除去油雾颗粒物。根据建设单位提供资料，水喷淋用水循环使用，每年更换一次。本项目设置一套水喷淋塔，循环水量为1m</w:t>
            </w:r>
            <w:r>
              <w:rPr>
                <w:rFonts w:hint="eastAsia"/>
                <w:color w:val="auto"/>
                <w:highlight w:val="none"/>
                <w:vertAlign w:val="superscript"/>
                <w:lang w:val="en-US" w:eastAsia="zh-CN"/>
              </w:rPr>
              <w:t>3</w:t>
            </w:r>
            <w:r>
              <w:rPr>
                <w:rFonts w:hint="eastAsia"/>
                <w:color w:val="auto"/>
                <w:highlight w:val="none"/>
                <w:lang w:val="en-US" w:eastAsia="zh-CN"/>
              </w:rPr>
              <w:t>/h（2400m</w:t>
            </w:r>
            <w:r>
              <w:rPr>
                <w:rFonts w:hint="eastAsia"/>
                <w:color w:val="auto"/>
                <w:highlight w:val="none"/>
                <w:vertAlign w:val="superscript"/>
                <w:lang w:val="en-US" w:eastAsia="zh-CN"/>
              </w:rPr>
              <w:t>3</w:t>
            </w:r>
            <w:r>
              <w:rPr>
                <w:rFonts w:hint="eastAsia"/>
                <w:color w:val="auto"/>
                <w:highlight w:val="none"/>
                <w:lang w:val="en-US" w:eastAsia="zh-CN"/>
              </w:rPr>
              <w:t>/a）。水喷淋塔用水损耗量以10%计，定期补充量约240m</w:t>
            </w:r>
            <w:r>
              <w:rPr>
                <w:rFonts w:hint="eastAsia"/>
                <w:color w:val="auto"/>
                <w:highlight w:val="none"/>
                <w:vertAlign w:val="superscript"/>
                <w:lang w:val="en-US" w:eastAsia="zh-CN"/>
              </w:rPr>
              <w:t>3</w:t>
            </w:r>
            <w:r>
              <w:rPr>
                <w:rFonts w:hint="eastAsia"/>
                <w:color w:val="auto"/>
                <w:highlight w:val="none"/>
                <w:lang w:val="en-US" w:eastAsia="zh-CN"/>
              </w:rPr>
              <w:t>/a，更换量为1m</w:t>
            </w:r>
            <w:r>
              <w:rPr>
                <w:rFonts w:hint="eastAsia"/>
                <w:color w:val="auto"/>
                <w:highlight w:val="none"/>
                <w:vertAlign w:val="superscript"/>
                <w:lang w:val="en-US" w:eastAsia="zh-CN"/>
              </w:rPr>
              <w:t>3</w:t>
            </w:r>
            <w:r>
              <w:rPr>
                <w:rFonts w:hint="eastAsia"/>
                <w:color w:val="auto"/>
                <w:highlight w:val="none"/>
                <w:lang w:val="en-US" w:eastAsia="zh-CN"/>
              </w:rPr>
              <w:t>/a。</w:t>
            </w:r>
          </w:p>
          <w:p w14:paraId="08ED14B5">
            <w:pPr>
              <w:spacing w:line="360" w:lineRule="auto"/>
              <w:ind w:firstLine="422" w:firstLineChars="200"/>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②排水：</w:t>
            </w:r>
          </w:p>
          <w:p w14:paraId="5CE6B8DD">
            <w:pPr>
              <w:spacing w:line="360" w:lineRule="auto"/>
              <w:ind w:firstLine="422" w:firstLineChars="200"/>
              <w:rPr>
                <w:rFonts w:hint="default" w:ascii="Times New Roman" w:hAnsi="Times New Roman" w:eastAsia="宋体" w:cs="Times New Roman"/>
                <w:color w:val="auto"/>
                <w:szCs w:val="21"/>
              </w:rPr>
            </w:pPr>
            <w:r>
              <w:rPr>
                <w:rFonts w:hint="default" w:ascii="Times New Roman" w:hAnsi="Times New Roman" w:eastAsia="宋体" w:cs="Times New Roman"/>
                <w:b/>
                <w:color w:val="auto"/>
                <w:szCs w:val="21"/>
              </w:rPr>
              <w:t>生活污水</w:t>
            </w:r>
            <w:r>
              <w:rPr>
                <w:rFonts w:hint="default" w:ascii="Times New Roman" w:hAnsi="Times New Roman" w:eastAsia="宋体" w:cs="Times New Roman"/>
                <w:bCs/>
                <w:color w:val="auto"/>
                <w:szCs w:val="21"/>
              </w:rPr>
              <w:t>：生活用水排放系数以0.8计，则生活污水排放量为</w:t>
            </w:r>
            <w:r>
              <w:rPr>
                <w:rFonts w:hint="eastAsia" w:ascii="Times New Roman" w:hAnsi="Times New Roman" w:eastAsia="宋体" w:cs="Times New Roman"/>
                <w:bCs/>
                <w:color w:val="auto"/>
                <w:szCs w:val="21"/>
                <w:lang w:val="en-US" w:eastAsia="zh-CN"/>
              </w:rPr>
              <w:t>144</w:t>
            </w:r>
            <w:r>
              <w:rPr>
                <w:rFonts w:hint="default" w:ascii="Times New Roman" w:hAnsi="Times New Roman" w:eastAsia="宋体" w:cs="Times New Roman"/>
                <w:bCs/>
                <w:color w:val="auto"/>
                <w:szCs w:val="21"/>
              </w:rPr>
              <w:t>m</w:t>
            </w:r>
            <w:r>
              <w:rPr>
                <w:rFonts w:hint="default" w:ascii="Times New Roman" w:hAnsi="Times New Roman" w:eastAsia="宋体" w:cs="Times New Roman"/>
                <w:bCs/>
                <w:color w:val="auto"/>
                <w:szCs w:val="21"/>
                <w:vertAlign w:val="superscript"/>
              </w:rPr>
              <w:t>3</w:t>
            </w:r>
            <w:r>
              <w:rPr>
                <w:rFonts w:hint="default" w:ascii="Times New Roman" w:hAnsi="Times New Roman" w:eastAsia="宋体" w:cs="Times New Roman"/>
                <w:bCs/>
                <w:color w:val="auto"/>
                <w:szCs w:val="21"/>
              </w:rPr>
              <w:t>/a，生活污水水质较为简单，其中</w:t>
            </w:r>
            <w:r>
              <w:rPr>
                <w:rFonts w:hint="default" w:ascii="Times New Roman" w:hAnsi="Times New Roman" w:eastAsia="宋体" w:cs="Times New Roman"/>
                <w:color w:val="auto"/>
                <w:sz w:val="21"/>
                <w:szCs w:val="21"/>
              </w:rPr>
              <w:t>COD</w:t>
            </w:r>
            <w:r>
              <w:rPr>
                <w:rFonts w:hint="default" w:ascii="Times New Roman" w:hAnsi="Times New Roman" w:eastAsia="宋体" w:cs="Times New Roman"/>
                <w:color w:val="auto"/>
                <w:sz w:val="21"/>
                <w:szCs w:val="21"/>
                <w:lang w:val="en-US" w:eastAsia="zh-CN"/>
              </w:rPr>
              <w:t xml:space="preserve"> </w:t>
            </w:r>
            <w:r>
              <w:rPr>
                <w:rFonts w:hint="default" w:ascii="Times New Roman" w:hAnsi="Times New Roman" w:eastAsia="宋体" w:cs="Times New Roman"/>
                <w:color w:val="auto"/>
                <w:sz w:val="21"/>
                <w:szCs w:val="21"/>
              </w:rPr>
              <w:t>400mg/L、SS</w:t>
            </w:r>
            <w:r>
              <w:rPr>
                <w:rFonts w:hint="default" w:ascii="Times New Roman" w:hAnsi="Times New Roman" w:eastAsia="宋体" w:cs="Times New Roman"/>
                <w:color w:val="auto"/>
                <w:sz w:val="21"/>
                <w:szCs w:val="21"/>
                <w:lang w:val="en-US" w:eastAsia="zh-CN"/>
              </w:rPr>
              <w:t xml:space="preserve"> </w:t>
            </w:r>
            <w:r>
              <w:rPr>
                <w:rFonts w:hint="default" w:ascii="Times New Roman" w:hAnsi="Times New Roman" w:eastAsia="宋体" w:cs="Times New Roman"/>
                <w:color w:val="auto"/>
                <w:sz w:val="21"/>
                <w:szCs w:val="21"/>
              </w:rPr>
              <w:t>200mg/L、NH</w:t>
            </w:r>
            <w:r>
              <w:rPr>
                <w:rFonts w:hint="default" w:ascii="Times New Roman" w:hAnsi="Times New Roman" w:eastAsia="宋体" w:cs="Times New Roman"/>
                <w:color w:val="auto"/>
                <w:sz w:val="21"/>
                <w:szCs w:val="21"/>
                <w:vertAlign w:val="subscript"/>
              </w:rPr>
              <w:t>3</w:t>
            </w:r>
            <w:r>
              <w:rPr>
                <w:rFonts w:hint="default" w:ascii="Times New Roman" w:hAnsi="Times New Roman" w:eastAsia="宋体" w:cs="Times New Roman"/>
                <w:color w:val="auto"/>
                <w:sz w:val="21"/>
                <w:szCs w:val="21"/>
              </w:rPr>
              <w:t>-N</w:t>
            </w:r>
            <w:r>
              <w:rPr>
                <w:rFonts w:hint="default" w:ascii="Times New Roman" w:hAnsi="Times New Roman" w:eastAsia="宋体" w:cs="Times New Roman"/>
                <w:color w:val="auto"/>
                <w:sz w:val="21"/>
                <w:szCs w:val="21"/>
                <w:lang w:val="en-US" w:eastAsia="zh-CN"/>
              </w:rPr>
              <w:t xml:space="preserve"> 30</w:t>
            </w:r>
            <w:r>
              <w:rPr>
                <w:rFonts w:hint="default" w:ascii="Times New Roman" w:hAnsi="Times New Roman" w:eastAsia="宋体" w:cs="Times New Roman"/>
                <w:color w:val="auto"/>
                <w:sz w:val="21"/>
                <w:szCs w:val="21"/>
              </w:rPr>
              <w:t xml:space="preserve">mg/L、TN </w:t>
            </w:r>
            <w:r>
              <w:rPr>
                <w:rFonts w:hint="default" w:ascii="Times New Roman" w:hAnsi="Times New Roman" w:eastAsia="宋体" w:cs="Times New Roman"/>
                <w:color w:val="auto"/>
                <w:sz w:val="21"/>
                <w:szCs w:val="21"/>
                <w:lang w:val="en-US" w:eastAsia="zh-CN"/>
              </w:rPr>
              <w:t>40</w:t>
            </w:r>
            <w:r>
              <w:rPr>
                <w:rFonts w:hint="default" w:ascii="Times New Roman" w:hAnsi="Times New Roman" w:eastAsia="宋体" w:cs="Times New Roman"/>
                <w:color w:val="auto"/>
                <w:sz w:val="21"/>
                <w:szCs w:val="21"/>
              </w:rPr>
              <w:t>mg/L、TP 3mg/L</w:t>
            </w:r>
            <w:r>
              <w:rPr>
                <w:rFonts w:hint="default" w:ascii="Times New Roman" w:hAnsi="Times New Roman" w:eastAsia="宋体" w:cs="Times New Roman"/>
                <w:bCs/>
                <w:color w:val="auto"/>
                <w:szCs w:val="21"/>
              </w:rPr>
              <w:t>，排入</w:t>
            </w:r>
            <w:r>
              <w:rPr>
                <w:rFonts w:hint="default" w:ascii="Times New Roman" w:hAnsi="Times New Roman" w:eastAsia="宋体" w:cs="Times New Roman"/>
                <w:color w:val="auto"/>
                <w:szCs w:val="21"/>
              </w:rPr>
              <w:t>常州金坛区第二污水处理有限公司。</w:t>
            </w:r>
          </w:p>
          <w:p w14:paraId="6B4A7F57">
            <w:pPr>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本项目水平衡图如下图所示。</w:t>
            </w:r>
          </w:p>
          <w:p w14:paraId="5F7C2BB7">
            <w:pPr>
              <w:pStyle w:val="7"/>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object>
                <v:shape id="_x0000_i1025" o:spt="75" type="#_x0000_t75" style="height:229.85pt;width:301.75pt;" o:ole="t" filled="f" o:preferrelative="t" stroked="f" coordsize="21600,21600">
                  <v:path/>
                  <v:fill on="f" focussize="0,0"/>
                  <v:stroke on="f"/>
                  <v:imagedata r:id="rId11" o:title=""/>
                  <o:lock v:ext="edit" aspectratio="f"/>
                  <w10:wrap type="none"/>
                  <w10:anchorlock/>
                </v:shape>
                <o:OLEObject Type="Embed" ProgID="Visio.Drawing.11" ShapeID="_x0000_i1025" DrawAspect="Content" ObjectID="_1468075725" r:id="rId10">
                  <o:LockedField>false</o:LockedField>
                </o:OLEObject>
              </w:object>
            </w:r>
          </w:p>
          <w:p w14:paraId="546B52AC">
            <w:pPr>
              <w:pStyle w:val="7"/>
              <w:spacing w:after="120" w:afterLines="50"/>
              <w:ind w:firstLine="0" w:firstLineChars="0"/>
              <w:jc w:val="center"/>
              <w:rPr>
                <w:rFonts w:hint="default" w:ascii="Times New Roman" w:hAnsi="Times New Roman" w:eastAsia="宋体" w:cs="Times New Roman"/>
                <w:b/>
                <w:color w:val="auto"/>
                <w:kern w:val="21"/>
                <w:szCs w:val="21"/>
                <w:lang w:val="zh-CN"/>
              </w:rPr>
            </w:pPr>
            <w:r>
              <w:rPr>
                <w:rFonts w:hint="default" w:ascii="Times New Roman" w:hAnsi="Times New Roman" w:eastAsia="宋体" w:cs="Times New Roman"/>
                <w:b/>
                <w:color w:val="auto"/>
                <w:szCs w:val="21"/>
              </w:rPr>
              <w:t>图2-1 本项目用水平衡图（m</w:t>
            </w:r>
            <w:r>
              <w:rPr>
                <w:rFonts w:hint="default" w:ascii="Times New Roman" w:hAnsi="Times New Roman" w:eastAsia="宋体" w:cs="Times New Roman"/>
                <w:b/>
                <w:color w:val="auto"/>
                <w:szCs w:val="21"/>
                <w:vertAlign w:val="superscript"/>
              </w:rPr>
              <w:t>3</w:t>
            </w:r>
            <w:r>
              <w:rPr>
                <w:rFonts w:hint="default" w:ascii="Times New Roman" w:hAnsi="Times New Roman" w:eastAsia="宋体" w:cs="Times New Roman"/>
                <w:b/>
                <w:color w:val="auto"/>
                <w:szCs w:val="21"/>
              </w:rPr>
              <w:t>/a）</w:t>
            </w:r>
          </w:p>
          <w:p w14:paraId="482FD4BB">
            <w:pPr>
              <w:pStyle w:val="52"/>
              <w:ind w:firstLine="422"/>
              <w:jc w:val="both"/>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7、项目平面布置概况</w:t>
            </w:r>
          </w:p>
          <w:p w14:paraId="182CD5CB">
            <w:pPr>
              <w:pStyle w:val="52"/>
              <w:ind w:firstLine="42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本项目位于</w:t>
            </w:r>
            <w:r>
              <w:rPr>
                <w:rFonts w:hint="eastAsia" w:ascii="Times New Roman" w:hAnsi="Times New Roman" w:eastAsia="宋体" w:cs="Times New Roman"/>
                <w:color w:val="auto"/>
                <w:sz w:val="21"/>
                <w:szCs w:val="21"/>
                <w:lang w:eastAsia="zh-CN"/>
              </w:rPr>
              <w:t>常州市金坛区经济开发区东湖路28号，租赁常州市金坛区欣阳服饰有限公司现有空置厂房1660m</w:t>
            </w:r>
            <w:r>
              <w:rPr>
                <w:rFonts w:hint="eastAsia" w:ascii="Times New Roman" w:hAnsi="Times New Roman" w:eastAsia="宋体" w:cs="Times New Roman"/>
                <w:color w:val="auto"/>
                <w:sz w:val="21"/>
                <w:szCs w:val="21"/>
                <w:vertAlign w:val="superscript"/>
                <w:lang w:eastAsia="zh-CN"/>
              </w:rPr>
              <w:t>2</w:t>
            </w:r>
            <w:r>
              <w:rPr>
                <w:rFonts w:hint="eastAsia" w:ascii="Times New Roman" w:hAnsi="Times New Roman" w:eastAsia="宋体" w:cs="Times New Roman"/>
                <w:color w:val="auto"/>
                <w:sz w:val="21"/>
                <w:szCs w:val="21"/>
                <w:lang w:eastAsia="zh-CN"/>
              </w:rPr>
              <w:t>进行生产</w:t>
            </w:r>
            <w:r>
              <w:rPr>
                <w:rFonts w:hint="default" w:ascii="Times New Roman" w:hAnsi="Times New Roman" w:eastAsia="宋体" w:cs="Times New Roman"/>
                <w:color w:val="auto"/>
                <w:sz w:val="21"/>
                <w:szCs w:val="21"/>
              </w:rPr>
              <w:t>。</w:t>
            </w:r>
          </w:p>
          <w:p w14:paraId="104F70C7">
            <w:pPr>
              <w:pStyle w:val="52"/>
              <w:ind w:firstLine="420"/>
              <w:jc w:val="both"/>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厂区内分为西侧和东侧，东侧为空置场地，西侧设置2栋厂房，北厂房为三层，租赁给港华燃气公司作办公室，南厂房为二层，一层西侧为本项目生产车间及办公室，一层东侧为其他租赁企业，二层北侧为租赁企业，中间为空置，南侧为房东办公室。</w:t>
            </w:r>
          </w:p>
          <w:p w14:paraId="54366373">
            <w:pPr>
              <w:pStyle w:val="52"/>
              <w:ind w:firstLine="420"/>
              <w:jc w:val="both"/>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本项目</w:t>
            </w:r>
            <w:r>
              <w:rPr>
                <w:rFonts w:hint="default" w:ascii="Times New Roman" w:hAnsi="Times New Roman" w:eastAsia="宋体" w:cs="Times New Roman"/>
                <w:color w:val="auto"/>
                <w:sz w:val="21"/>
                <w:szCs w:val="21"/>
                <w:lang w:val="en-US" w:eastAsia="zh-CN"/>
              </w:rPr>
              <w:t>生产车间由北至南为</w:t>
            </w:r>
            <w:r>
              <w:rPr>
                <w:rFonts w:hint="eastAsia" w:cs="Times New Roman"/>
                <w:color w:val="auto"/>
                <w:sz w:val="21"/>
                <w:szCs w:val="21"/>
                <w:lang w:val="en-US" w:eastAsia="zh-CN"/>
              </w:rPr>
              <w:t>检测室、挤出线、破碎区、烘干区、成品暂存区、原料暂存区</w:t>
            </w:r>
            <w:r>
              <w:rPr>
                <w:rFonts w:hint="default" w:ascii="Times New Roman" w:hAnsi="Times New Roman" w:eastAsia="宋体" w:cs="Times New Roman"/>
                <w:color w:val="auto"/>
                <w:sz w:val="21"/>
                <w:szCs w:val="21"/>
              </w:rPr>
              <w:t>。项目平面布置图详见附图</w:t>
            </w:r>
            <w:r>
              <w:rPr>
                <w:rFonts w:hint="eastAsia" w:cs="Times New Roman"/>
                <w:color w:val="auto"/>
                <w:sz w:val="21"/>
                <w:szCs w:val="21"/>
                <w:lang w:val="en-US" w:eastAsia="zh-CN"/>
              </w:rPr>
              <w:t>3~4</w:t>
            </w:r>
            <w:r>
              <w:rPr>
                <w:rFonts w:hint="default" w:ascii="Times New Roman" w:hAnsi="Times New Roman" w:eastAsia="宋体" w:cs="Times New Roman"/>
                <w:color w:val="auto"/>
                <w:sz w:val="21"/>
                <w:szCs w:val="21"/>
              </w:rPr>
              <w:t>。</w:t>
            </w:r>
          </w:p>
          <w:p w14:paraId="41FA9B72">
            <w:pPr>
              <w:spacing w:line="360" w:lineRule="auto"/>
              <w:ind w:firstLine="422" w:firstLineChars="200"/>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8、项目周边环境概况：</w:t>
            </w:r>
          </w:p>
          <w:p w14:paraId="04705988">
            <w:pPr>
              <w:spacing w:line="360" w:lineRule="auto"/>
              <w:ind w:firstLine="420" w:firstLineChars="200"/>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本项目位于</w:t>
            </w:r>
            <w:r>
              <w:rPr>
                <w:rFonts w:hint="eastAsia" w:ascii="Times New Roman" w:hAnsi="Times New Roman" w:eastAsia="宋体" w:cs="Times New Roman"/>
                <w:color w:val="auto"/>
                <w:sz w:val="21"/>
                <w:szCs w:val="21"/>
                <w:lang w:eastAsia="zh-CN"/>
              </w:rPr>
              <w:t>常州市金坛区经济开发区东湖路28号</w:t>
            </w:r>
            <w:r>
              <w:rPr>
                <w:rFonts w:hint="eastAsia" w:ascii="Times New Roman" w:hAnsi="Times New Roman" w:eastAsia="宋体" w:cs="Times New Roman"/>
                <w:color w:val="auto"/>
                <w:sz w:val="21"/>
                <w:szCs w:val="21"/>
                <w:lang w:val="en-US" w:eastAsia="zh-CN"/>
              </w:rPr>
              <w:t>。</w:t>
            </w:r>
          </w:p>
          <w:p w14:paraId="4E5E1A5A">
            <w:pPr>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 w:val="21"/>
                <w:szCs w:val="21"/>
              </w:rPr>
              <w:t>本项目</w:t>
            </w:r>
            <w:r>
              <w:rPr>
                <w:rFonts w:hint="eastAsia" w:ascii="Times New Roman" w:hAnsi="Times New Roman" w:eastAsia="宋体" w:cs="Times New Roman"/>
                <w:color w:val="auto"/>
                <w:sz w:val="21"/>
                <w:szCs w:val="21"/>
                <w:lang w:val="en-US" w:eastAsia="zh-CN"/>
              </w:rPr>
              <w:t>厂区</w:t>
            </w:r>
            <w:r>
              <w:rPr>
                <w:rFonts w:hint="default" w:ascii="Times New Roman" w:hAnsi="Times New Roman" w:eastAsia="宋体" w:cs="Times New Roman"/>
                <w:color w:val="auto"/>
                <w:sz w:val="21"/>
                <w:szCs w:val="21"/>
              </w:rPr>
              <w:t>东侧为</w:t>
            </w:r>
            <w:r>
              <w:rPr>
                <w:rFonts w:hint="eastAsia" w:ascii="Times New Roman" w:hAnsi="Times New Roman" w:eastAsia="宋体" w:cs="Times New Roman"/>
                <w:color w:val="auto"/>
                <w:sz w:val="21"/>
                <w:szCs w:val="21"/>
                <w:lang w:val="en-US" w:eastAsia="zh-CN"/>
              </w:rPr>
              <w:t>金湖路</w:t>
            </w:r>
            <w:r>
              <w:rPr>
                <w:rFonts w:hint="default"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南侧为</w:t>
            </w:r>
            <w:r>
              <w:rPr>
                <w:rFonts w:hint="default" w:ascii="Times New Roman" w:hAnsi="Times New Roman" w:eastAsia="宋体" w:cs="Times New Roman"/>
                <w:color w:val="auto"/>
                <w:sz w:val="21"/>
                <w:szCs w:val="21"/>
                <w:lang w:val="en-US" w:eastAsia="zh-CN"/>
              </w:rPr>
              <w:t>中国石化储气库分公司金坛储气库管理处</w:t>
            </w:r>
            <w:r>
              <w:rPr>
                <w:rFonts w:hint="eastAsia" w:ascii="Times New Roman" w:hAnsi="Times New Roman" w:eastAsia="宋体" w:cs="Times New Roman"/>
                <w:color w:val="auto"/>
                <w:sz w:val="21"/>
                <w:szCs w:val="21"/>
                <w:lang w:val="en-US" w:eastAsia="zh-CN"/>
              </w:rPr>
              <w:t>、常州苏阿帽业有限公司</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西侧为常州市金坛凯迪制衣厂</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lang w:val="en-US" w:eastAsia="zh-CN"/>
              </w:rPr>
              <w:t>北侧为翔天国际汽车城</w:t>
            </w:r>
            <w:r>
              <w:rPr>
                <w:rFonts w:hint="default" w:ascii="Times New Roman" w:hAnsi="Times New Roman" w:eastAsia="宋体" w:cs="Times New Roman"/>
                <w:color w:val="auto"/>
                <w:szCs w:val="21"/>
              </w:rPr>
              <w:t>。本项目最近环境敏感点为</w:t>
            </w:r>
            <w:r>
              <w:rPr>
                <w:rFonts w:hint="eastAsia" w:ascii="Times New Roman" w:hAnsi="Times New Roman" w:eastAsia="宋体" w:cs="Times New Roman"/>
                <w:color w:val="auto"/>
                <w:szCs w:val="21"/>
                <w:lang w:val="en-US" w:eastAsia="zh-CN"/>
              </w:rPr>
              <w:t>西南</w:t>
            </w:r>
            <w:r>
              <w:rPr>
                <w:rFonts w:hint="default" w:ascii="Times New Roman" w:hAnsi="Times New Roman" w:eastAsia="宋体" w:cs="Times New Roman"/>
                <w:color w:val="auto"/>
                <w:szCs w:val="21"/>
              </w:rPr>
              <w:t>方向</w:t>
            </w:r>
            <w:r>
              <w:rPr>
                <w:rFonts w:hint="eastAsia" w:ascii="Times New Roman" w:hAnsi="Times New Roman" w:eastAsia="宋体" w:cs="Times New Roman"/>
                <w:color w:val="auto"/>
                <w:szCs w:val="21"/>
                <w:lang w:val="en-US" w:eastAsia="zh-CN"/>
              </w:rPr>
              <w:t>215</w:t>
            </w:r>
            <w:r>
              <w:rPr>
                <w:rFonts w:hint="default" w:ascii="Times New Roman" w:hAnsi="Times New Roman" w:eastAsia="宋体" w:cs="Times New Roman"/>
                <w:color w:val="auto"/>
                <w:szCs w:val="21"/>
              </w:rPr>
              <w:t>米处的</w:t>
            </w:r>
            <w:r>
              <w:rPr>
                <w:rFonts w:hint="eastAsia" w:ascii="Times New Roman" w:hAnsi="Times New Roman" w:eastAsia="宋体" w:cs="Times New Roman"/>
                <w:color w:val="auto"/>
                <w:szCs w:val="21"/>
                <w:lang w:val="en-US" w:eastAsia="zh-CN"/>
              </w:rPr>
              <w:t>双墩村</w:t>
            </w:r>
            <w:r>
              <w:rPr>
                <w:rFonts w:hint="default" w:ascii="Times New Roman" w:hAnsi="Times New Roman" w:eastAsia="宋体" w:cs="Times New Roman"/>
                <w:color w:val="auto"/>
                <w:szCs w:val="21"/>
              </w:rPr>
              <w:t>。周边概况图见附图2。</w:t>
            </w:r>
          </w:p>
          <w:p w14:paraId="41D60BAD">
            <w:pPr>
              <w:spacing w:line="360" w:lineRule="auto"/>
              <w:ind w:firstLine="420" w:firstLineChars="200"/>
              <w:rPr>
                <w:rFonts w:hint="default" w:ascii="Times New Roman" w:hAnsi="Times New Roman" w:eastAsia="宋体" w:cs="Times New Roman"/>
                <w:color w:val="auto"/>
                <w:szCs w:val="21"/>
              </w:rPr>
            </w:pPr>
          </w:p>
          <w:p w14:paraId="2450CE13">
            <w:pPr>
              <w:spacing w:line="360" w:lineRule="auto"/>
              <w:ind w:firstLine="420" w:firstLineChars="200"/>
              <w:rPr>
                <w:rFonts w:hint="default" w:ascii="Times New Roman" w:hAnsi="Times New Roman" w:eastAsia="宋体" w:cs="Times New Roman"/>
                <w:color w:val="auto"/>
                <w:szCs w:val="21"/>
              </w:rPr>
            </w:pPr>
          </w:p>
          <w:p w14:paraId="28589198">
            <w:pPr>
              <w:spacing w:line="360" w:lineRule="auto"/>
              <w:ind w:firstLine="420" w:firstLineChars="200"/>
              <w:rPr>
                <w:rFonts w:hint="default" w:ascii="Times New Roman" w:hAnsi="Times New Roman" w:eastAsia="宋体" w:cs="Times New Roman"/>
                <w:color w:val="auto"/>
                <w:szCs w:val="21"/>
              </w:rPr>
            </w:pPr>
          </w:p>
          <w:p w14:paraId="334973A5">
            <w:pPr>
              <w:spacing w:line="360" w:lineRule="auto"/>
              <w:ind w:firstLine="420" w:firstLineChars="200"/>
              <w:rPr>
                <w:rFonts w:hint="default" w:ascii="Times New Roman" w:hAnsi="Times New Roman" w:eastAsia="宋体" w:cs="Times New Roman"/>
                <w:color w:val="auto"/>
                <w:szCs w:val="21"/>
              </w:rPr>
            </w:pPr>
          </w:p>
          <w:p w14:paraId="06D06FA0">
            <w:pPr>
              <w:spacing w:line="360" w:lineRule="auto"/>
              <w:rPr>
                <w:rFonts w:hint="default" w:ascii="Times New Roman" w:hAnsi="Times New Roman" w:eastAsia="宋体" w:cs="Times New Roman"/>
                <w:color w:val="auto"/>
                <w:szCs w:val="21"/>
              </w:rPr>
            </w:pPr>
          </w:p>
        </w:tc>
      </w:tr>
      <w:tr w14:paraId="5FFA178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550" w:type="dxa"/>
            <w:noWrap w:val="0"/>
            <w:tcMar>
              <w:top w:w="0" w:type="dxa"/>
              <w:left w:w="0" w:type="dxa"/>
              <w:bottom w:w="0" w:type="dxa"/>
              <w:right w:w="0" w:type="dxa"/>
            </w:tcMar>
            <w:vAlign w:val="center"/>
          </w:tcPr>
          <w:p w14:paraId="093CA47D">
            <w:pPr>
              <w:pStyle w:val="25"/>
              <w:adjustRightInd w:val="0"/>
              <w:snapToGrid w:val="0"/>
              <w:spacing w:before="0" w:beforeAutospacing="0" w:after="0" w:afterAutospacing="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工艺流程和产排污环节</w:t>
            </w:r>
          </w:p>
        </w:tc>
        <w:tc>
          <w:tcPr>
            <w:tcW w:w="8510" w:type="dxa"/>
            <w:noWrap w:val="0"/>
            <w:vAlign w:val="top"/>
          </w:tcPr>
          <w:p w14:paraId="3C0E8027">
            <w:pPr>
              <w:widowControl/>
              <w:spacing w:before="120" w:beforeLines="50" w:line="360" w:lineRule="auto"/>
              <w:ind w:firstLine="422" w:firstLineChars="200"/>
              <w:jc w:val="left"/>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1、</w:t>
            </w:r>
            <w:r>
              <w:rPr>
                <w:rFonts w:hint="eastAsia" w:ascii="Times New Roman" w:hAnsi="Times New Roman" w:eastAsia="宋体" w:cs="Times New Roman"/>
                <w:b/>
                <w:color w:val="auto"/>
                <w:szCs w:val="21"/>
                <w:lang w:eastAsia="zh-CN"/>
              </w:rPr>
              <w:t>热塑性弹性体</w:t>
            </w:r>
            <w:r>
              <w:rPr>
                <w:rFonts w:hint="eastAsia" w:ascii="Times New Roman" w:hAnsi="Times New Roman" w:eastAsia="宋体" w:cs="Times New Roman"/>
                <w:b/>
                <w:color w:val="auto"/>
                <w:szCs w:val="21"/>
                <w:lang w:val="en-US" w:eastAsia="zh-CN"/>
              </w:rPr>
              <w:t>颗粒</w:t>
            </w:r>
            <w:r>
              <w:rPr>
                <w:rFonts w:hint="default" w:ascii="Times New Roman" w:hAnsi="Times New Roman" w:eastAsia="宋体" w:cs="Times New Roman"/>
                <w:b/>
                <w:color w:val="auto"/>
                <w:szCs w:val="21"/>
              </w:rPr>
              <w:t>工艺流程</w:t>
            </w:r>
          </w:p>
          <w:p w14:paraId="4FECAC8D">
            <w:pPr>
              <w:keepNext w:val="0"/>
              <w:keepLines w:val="0"/>
              <w:pageBreakBefore w:val="0"/>
              <w:widowControl/>
              <w:kinsoku/>
              <w:wordWrap/>
              <w:overflowPunct/>
              <w:topLinePunct w:val="0"/>
              <w:autoSpaceDE/>
              <w:autoSpaceDN/>
              <w:bidi w:val="0"/>
              <w:adjustRightInd w:val="0"/>
              <w:snapToGrid w:val="0"/>
              <w:spacing w:line="360" w:lineRule="auto"/>
              <w:ind w:firstLine="420" w:firstLineChars="200"/>
              <w:jc w:val="left"/>
              <w:textAlignment w:val="auto"/>
              <w:rPr>
                <w:rFonts w:hint="default" w:ascii="Times New Roman" w:hAnsi="Times New Roman" w:eastAsia="宋体" w:cs="Times New Roman"/>
                <w:b/>
                <w:color w:val="auto"/>
                <w:szCs w:val="21"/>
              </w:rPr>
            </w:pPr>
            <w:r>
              <w:rPr>
                <w:rFonts w:hint="default" w:ascii="Times New Roman" w:hAnsi="Times New Roman" w:eastAsia="宋体" w:cs="Times New Roman"/>
                <w:color w:val="auto"/>
                <w:szCs w:val="21"/>
                <w:lang w:val="en-US" w:eastAsia="zh-CN"/>
              </w:rPr>
              <w:t>本项目</w:t>
            </w:r>
            <w:r>
              <w:rPr>
                <w:rFonts w:hint="eastAsia" w:ascii="Times New Roman" w:hAnsi="Times New Roman" w:eastAsia="宋体" w:cs="Times New Roman"/>
                <w:color w:val="auto"/>
                <w:lang w:eastAsia="zh-CN"/>
              </w:rPr>
              <w:t>热塑性弹性体颗粒</w:t>
            </w:r>
            <w:r>
              <w:rPr>
                <w:rFonts w:hint="default" w:ascii="Times New Roman" w:hAnsi="Times New Roman" w:eastAsia="宋体" w:cs="Times New Roman"/>
                <w:color w:val="auto"/>
                <w:szCs w:val="21"/>
              </w:rPr>
              <w:t>生产工艺及产污环节如下图所示：</w:t>
            </w:r>
          </w:p>
          <w:p w14:paraId="392DC996">
            <w:pPr>
              <w:pStyle w:val="8"/>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val="0"/>
                <w:color w:val="auto"/>
                <w:kern w:val="2"/>
                <w:sz w:val="21"/>
                <w:szCs w:val="21"/>
              </w:rPr>
            </w:pPr>
            <w:r>
              <w:rPr>
                <w:rFonts w:hint="default" w:ascii="Times New Roman" w:hAnsi="Times New Roman" w:eastAsia="宋体" w:cs="Times New Roman"/>
                <w:bCs/>
                <w:color w:val="auto"/>
                <w:kern w:val="2"/>
                <w:sz w:val="21"/>
                <w:szCs w:val="21"/>
              </w:rPr>
              <w:object>
                <v:shape id="_x0000_i1026" o:spt="75" type="#_x0000_t75" style="height:273.2pt;width:207.25pt;" o:ole="t" filled="f" o:preferrelative="t" stroked="f" coordsize="21600,21600">
                  <v:path/>
                  <v:fill on="f" focussize="0,0"/>
                  <v:stroke on="f"/>
                  <v:imagedata r:id="rId13" o:title=""/>
                  <o:lock v:ext="edit" aspectratio="f"/>
                  <w10:wrap type="none"/>
                  <w10:anchorlock/>
                </v:shape>
                <o:OLEObject Type="Embed" ProgID="Visio.Drawing.11" ShapeID="_x0000_i1026" DrawAspect="Content" ObjectID="_1468075726" r:id="rId12">
                  <o:LockedField>false</o:LockedField>
                </o:OLEObject>
              </w:object>
            </w:r>
          </w:p>
          <w:p w14:paraId="43E47DFC">
            <w:pPr>
              <w:pStyle w:val="8"/>
              <w:spacing w:line="360" w:lineRule="auto"/>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Cs w:val="0"/>
                <w:color w:val="auto"/>
                <w:kern w:val="2"/>
                <w:sz w:val="21"/>
                <w:szCs w:val="21"/>
              </w:rPr>
              <w:t>图2-2 热塑性弹性体颗粒生产工艺流程及产污环节图</w:t>
            </w:r>
          </w:p>
          <w:p w14:paraId="77A652D6">
            <w:pPr>
              <w:pStyle w:val="2"/>
              <w:keepNext w:val="0"/>
              <w:keepLines w:val="0"/>
              <w:pageBreakBefore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lang w:val="en-US"/>
              </w:rPr>
            </w:pPr>
            <w:r>
              <w:rPr>
                <w:rFonts w:hint="default" w:ascii="Times New Roman" w:hAnsi="Times New Roman" w:eastAsia="宋体" w:cs="Times New Roman"/>
                <w:b/>
                <w:bCs/>
                <w:color w:val="auto"/>
                <w:sz w:val="21"/>
                <w:szCs w:val="21"/>
              </w:rPr>
              <w:t>称量配料：</w:t>
            </w:r>
            <w:r>
              <w:rPr>
                <w:rFonts w:hint="default" w:ascii="Times New Roman" w:hAnsi="Times New Roman" w:eastAsia="宋体" w:cs="Times New Roman"/>
                <w:color w:val="auto"/>
                <w:sz w:val="21"/>
                <w:szCs w:val="21"/>
              </w:rPr>
              <w:t>根据产品配方，</w:t>
            </w:r>
            <w:r>
              <w:rPr>
                <w:rFonts w:hint="eastAsia" w:ascii="Times New Roman" w:hAnsi="Times New Roman" w:eastAsia="宋体" w:cs="Times New Roman"/>
                <w:color w:val="auto"/>
                <w:sz w:val="21"/>
                <w:szCs w:val="21"/>
                <w:lang w:val="en-US" w:eastAsia="zh-CN"/>
              </w:rPr>
              <w:t>人工对三元乙丙橡胶粉末</w:t>
            </w:r>
            <w:r>
              <w:rPr>
                <w:rFonts w:hint="default" w:ascii="Times New Roman" w:hAnsi="Times New Roman" w:eastAsia="宋体" w:cs="Times New Roman"/>
                <w:color w:val="auto"/>
                <w:sz w:val="21"/>
                <w:szCs w:val="21"/>
              </w:rPr>
              <w:t>、滑石粉</w:t>
            </w:r>
            <w:r>
              <w:rPr>
                <w:rFonts w:hint="eastAsia" w:ascii="Times New Roman" w:hAnsi="Times New Roman" w:eastAsia="宋体" w:cs="Times New Roman"/>
                <w:color w:val="auto"/>
                <w:sz w:val="21"/>
                <w:szCs w:val="21"/>
                <w:lang w:val="en-US" w:eastAsia="zh-CN"/>
              </w:rPr>
              <w:t>粉末</w:t>
            </w:r>
            <w:r>
              <w:rPr>
                <w:rFonts w:hint="default" w:ascii="Times New Roman" w:hAnsi="Times New Roman" w:eastAsia="宋体" w:cs="Times New Roman"/>
                <w:color w:val="auto"/>
                <w:sz w:val="21"/>
                <w:szCs w:val="21"/>
              </w:rPr>
              <w:t>、色母粒</w:t>
            </w:r>
            <w:r>
              <w:rPr>
                <w:rFonts w:hint="eastAsia" w:ascii="Times New Roman" w:hAnsi="Times New Roman" w:eastAsia="宋体" w:cs="Times New Roman"/>
                <w:color w:val="auto"/>
                <w:sz w:val="21"/>
                <w:szCs w:val="21"/>
                <w:lang w:val="en-US" w:eastAsia="zh-CN"/>
              </w:rPr>
              <w:t>颗粒</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聚丙烯</w:t>
            </w:r>
            <w:r>
              <w:rPr>
                <w:rFonts w:hint="eastAsia" w:ascii="Times New Roman" w:hAnsi="Times New Roman" w:eastAsia="宋体" w:cs="Times New Roman"/>
                <w:color w:val="auto"/>
                <w:sz w:val="21"/>
                <w:szCs w:val="21"/>
                <w:lang w:val="en-US" w:eastAsia="zh-CN"/>
              </w:rPr>
              <w:t>颗粒</w:t>
            </w:r>
            <w:r>
              <w:rPr>
                <w:rFonts w:hint="default" w:ascii="Times New Roman" w:hAnsi="Times New Roman" w:eastAsia="宋体" w:cs="Times New Roman"/>
                <w:color w:val="auto"/>
                <w:sz w:val="21"/>
                <w:szCs w:val="21"/>
              </w:rPr>
              <w:t>、环保增塑剂、抗氧化剂</w:t>
            </w:r>
            <w:r>
              <w:rPr>
                <w:rFonts w:hint="eastAsia" w:ascii="Times New Roman" w:hAnsi="Times New Roman" w:eastAsia="宋体" w:cs="Times New Roman"/>
                <w:color w:val="auto"/>
                <w:sz w:val="21"/>
                <w:szCs w:val="21"/>
                <w:lang w:val="en-US" w:eastAsia="zh-CN"/>
              </w:rPr>
              <w:t>称量配料，三元乙丙橡胶、滑石粉为粉末固体，称量配料过程会产生少量G1-1配料粉尘、S1-1废包装袋；</w:t>
            </w:r>
          </w:p>
          <w:p w14:paraId="24CA5747">
            <w:pPr>
              <w:pStyle w:val="2"/>
              <w:keepNext w:val="0"/>
              <w:keepLines w:val="0"/>
              <w:pageBreakBefore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投料混合：</w:t>
            </w:r>
            <w:r>
              <w:rPr>
                <w:rFonts w:hint="eastAsia" w:ascii="Times New Roman" w:hAnsi="Times New Roman" w:eastAsia="宋体" w:cs="Times New Roman"/>
                <w:color w:val="auto"/>
                <w:sz w:val="21"/>
                <w:szCs w:val="21"/>
                <w:lang w:val="en-US" w:eastAsia="zh-CN"/>
              </w:rPr>
              <w:t>将配好的原料人工倒入高速搅拌机中，合上顶盖旋紧后进行搅拌，搅拌3~5min后放入混料机混料（温度50℃、电加热、3-5min），使液态助剂（增塑剂、抗氧剂）在50℃下流动性更好，能更充分地包覆在固态颗粒表面，同时部分助剂会渗透到TPE粉的分子间隙中，搅拌混料过程均在密闭设备中进行。三元乙丙橡胶、滑石粉为粉末固体，投料时会产生粉尘，</w:t>
            </w:r>
            <w:r>
              <w:rPr>
                <w:rFonts w:hint="default" w:ascii="Times New Roman" w:hAnsi="Times New Roman" w:eastAsia="宋体" w:cs="Times New Roman"/>
                <w:color w:val="auto"/>
                <w:sz w:val="21"/>
                <w:szCs w:val="21"/>
              </w:rPr>
              <w:t>该工序产生少量G1-</w:t>
            </w:r>
            <w:r>
              <w:rPr>
                <w:rFonts w:hint="eastAsia" w:ascii="Times New Roman" w:hAnsi="Times New Roman" w:eastAsia="宋体" w:cs="Times New Roman"/>
                <w:color w:val="auto"/>
                <w:sz w:val="21"/>
                <w:szCs w:val="21"/>
                <w:lang w:val="en-US" w:eastAsia="zh-CN"/>
              </w:rPr>
              <w:t>2投料</w:t>
            </w:r>
            <w:r>
              <w:rPr>
                <w:rFonts w:hint="default" w:ascii="Times New Roman" w:hAnsi="Times New Roman" w:eastAsia="宋体" w:cs="Times New Roman"/>
                <w:color w:val="auto"/>
                <w:sz w:val="21"/>
                <w:szCs w:val="21"/>
              </w:rPr>
              <w:t>粉尘和N噪声；</w:t>
            </w:r>
          </w:p>
          <w:p w14:paraId="24179469">
            <w:pPr>
              <w:keepNext w:val="0"/>
              <w:keepLines w:val="0"/>
              <w:pageBreakBefore w:val="0"/>
              <w:kinsoku/>
              <w:wordWrap/>
              <w:overflowPunct/>
              <w:topLinePunct w:val="0"/>
              <w:autoSpaceDE/>
              <w:autoSpaceDN/>
              <w:bidi w:val="0"/>
              <w:adjustRightInd w:val="0"/>
              <w:snapToGrid w:val="0"/>
              <w:spacing w:line="360" w:lineRule="auto"/>
              <w:ind w:firstLine="435"/>
              <w:jc w:val="both"/>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b/>
                <w:bCs/>
                <w:color w:val="auto"/>
                <w:sz w:val="21"/>
                <w:szCs w:val="21"/>
              </w:rPr>
              <w:t>挤出</w:t>
            </w:r>
            <w:r>
              <w:rPr>
                <w:rFonts w:hint="eastAsia" w:ascii="Times New Roman" w:hAnsi="Times New Roman" w:eastAsia="宋体" w:cs="Times New Roman"/>
                <w:b/>
                <w:bCs/>
                <w:color w:val="auto"/>
                <w:sz w:val="21"/>
                <w:szCs w:val="21"/>
                <w:lang w:val="en-US" w:eastAsia="zh-CN"/>
              </w:rPr>
              <w:t>造粒</w:t>
            </w:r>
            <w:r>
              <w:rPr>
                <w:rFonts w:hint="default" w:ascii="Times New Roman" w:hAnsi="Times New Roman" w:eastAsia="宋体" w:cs="Times New Roman"/>
                <w:b w:val="0"/>
                <w:bCs w:val="0"/>
                <w:color w:val="auto"/>
                <w:sz w:val="21"/>
                <w:szCs w:val="21"/>
              </w:rPr>
              <w:t>：待各原料混合过后投入挤出机中，采用电加热使原辅料处于熔融状态，熔融温度</w:t>
            </w:r>
            <w:r>
              <w:rPr>
                <w:rFonts w:hint="eastAsia" w:ascii="Times New Roman" w:hAnsi="Times New Roman" w:eastAsia="宋体" w:cs="Times New Roman"/>
                <w:b w:val="0"/>
                <w:bCs w:val="0"/>
                <w:color w:val="auto"/>
                <w:sz w:val="21"/>
                <w:szCs w:val="21"/>
                <w:lang w:val="en-US" w:eastAsia="zh-CN"/>
              </w:rPr>
              <w:t>180~200℃</w:t>
            </w:r>
            <w:r>
              <w:rPr>
                <w:rFonts w:hint="default" w:ascii="Times New Roman" w:hAnsi="Times New Roman" w:eastAsia="宋体" w:cs="Times New Roman"/>
                <w:b w:val="0"/>
                <w:bCs w:val="0"/>
                <w:color w:val="auto"/>
                <w:sz w:val="21"/>
                <w:szCs w:val="21"/>
              </w:rPr>
              <w:t>，同时</w:t>
            </w:r>
            <w:r>
              <w:rPr>
                <w:rFonts w:hint="eastAsia" w:ascii="Times New Roman" w:hAnsi="Times New Roman" w:eastAsia="宋体" w:cs="Times New Roman"/>
                <w:b w:val="0"/>
                <w:bCs w:val="0"/>
                <w:color w:val="auto"/>
                <w:sz w:val="21"/>
                <w:szCs w:val="21"/>
                <w:lang w:val="en-US" w:eastAsia="zh-CN"/>
              </w:rPr>
              <w:t>使原料</w:t>
            </w:r>
            <w:r>
              <w:rPr>
                <w:rFonts w:hint="default" w:ascii="Times New Roman" w:hAnsi="Times New Roman" w:eastAsia="宋体" w:cs="Times New Roman"/>
                <w:b w:val="0"/>
                <w:bCs w:val="0"/>
                <w:color w:val="auto"/>
                <w:sz w:val="21"/>
                <w:szCs w:val="21"/>
              </w:rPr>
              <w:t>充分融合，实现均匀混合，完成熔融过程。计量后的熔融塑料滞留于机筒前端，螺杆不断向前将</w:t>
            </w:r>
            <w:r>
              <w:rPr>
                <w:rFonts w:hint="eastAsia" w:ascii="Times New Roman" w:hAnsi="Times New Roman" w:eastAsia="宋体" w:cs="Times New Roman"/>
                <w:b w:val="0"/>
                <w:bCs w:val="0"/>
                <w:color w:val="auto"/>
                <w:sz w:val="21"/>
                <w:szCs w:val="21"/>
                <w:lang w:val="en-US" w:eastAsia="zh-CN"/>
              </w:rPr>
              <w:t>熔融物料</w:t>
            </w:r>
            <w:r>
              <w:rPr>
                <w:rFonts w:hint="default" w:ascii="Times New Roman" w:hAnsi="Times New Roman" w:eastAsia="宋体" w:cs="Times New Roman"/>
                <w:b w:val="0"/>
                <w:bCs w:val="0"/>
                <w:color w:val="auto"/>
                <w:sz w:val="21"/>
                <w:szCs w:val="21"/>
              </w:rPr>
              <w:t>射入模腔后挤出，</w:t>
            </w:r>
            <w:r>
              <w:rPr>
                <w:rFonts w:hint="default" w:ascii="Times New Roman" w:hAnsi="Times New Roman" w:eastAsia="宋体" w:cs="Times New Roman"/>
                <w:color w:val="auto"/>
                <w:sz w:val="21"/>
                <w:szCs w:val="21"/>
              </w:rPr>
              <w:t>经核实，聚丙烯分解温度为310℃、</w:t>
            </w:r>
            <w:r>
              <w:rPr>
                <w:rFonts w:hint="eastAsia" w:ascii="Times New Roman" w:hAnsi="Times New Roman" w:eastAsia="宋体" w:cs="Times New Roman"/>
                <w:color w:val="auto"/>
                <w:sz w:val="21"/>
                <w:szCs w:val="21"/>
                <w:lang w:val="en-US" w:eastAsia="zh-CN"/>
              </w:rPr>
              <w:t>三元乙丙橡胶</w:t>
            </w:r>
            <w:r>
              <w:rPr>
                <w:rFonts w:hint="default" w:ascii="Times New Roman" w:hAnsi="Times New Roman" w:eastAsia="宋体" w:cs="Times New Roman"/>
                <w:color w:val="auto"/>
                <w:sz w:val="21"/>
                <w:szCs w:val="21"/>
              </w:rPr>
              <w:t>熔点约22</w:t>
            </w:r>
            <w:r>
              <w:rPr>
                <w:rFonts w:hint="default" w:ascii="Times New Roman" w:hAnsi="Times New Roman" w:eastAsia="宋体" w:cs="Times New Roman"/>
                <w:color w:val="auto"/>
                <w:sz w:val="21"/>
                <w:szCs w:val="21"/>
                <w:lang w:val="en-US" w:eastAsia="zh-CN"/>
              </w:rPr>
              <w:t>0</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226℃，在此温度下</w:t>
            </w:r>
            <w:r>
              <w:rPr>
                <w:rFonts w:hint="eastAsia" w:ascii="Times New Roman" w:hAnsi="Times New Roman" w:eastAsia="宋体" w:cs="Times New Roman"/>
                <w:color w:val="auto"/>
                <w:sz w:val="21"/>
                <w:szCs w:val="21"/>
                <w:lang w:val="en-US" w:eastAsia="zh-CN"/>
              </w:rPr>
              <w:t>熔融挤出过程</w:t>
            </w:r>
            <w:r>
              <w:rPr>
                <w:rFonts w:hint="default" w:ascii="Times New Roman" w:hAnsi="Times New Roman" w:eastAsia="宋体" w:cs="Times New Roman"/>
                <w:color w:val="auto"/>
                <w:sz w:val="21"/>
                <w:szCs w:val="21"/>
              </w:rPr>
              <w:t>不会发生高分子断链，不发生化学反应；但在受热情况下，塑料中残存未聚合的反应单体以及从聚合物中分解出来的单体可挥发出来</w:t>
            </w:r>
            <w:r>
              <w:rPr>
                <w:rFonts w:hint="default" w:ascii="Times New Roman" w:hAnsi="Times New Roman" w:eastAsia="宋体" w:cs="Times New Roman"/>
                <w:b w:val="0"/>
                <w:bCs w:val="0"/>
                <w:color w:val="auto"/>
                <w:sz w:val="21"/>
                <w:szCs w:val="21"/>
              </w:rPr>
              <w:t>。</w:t>
            </w:r>
            <w:r>
              <w:rPr>
                <w:rFonts w:hint="default" w:ascii="Times New Roman" w:hAnsi="Times New Roman" w:eastAsia="宋体" w:cs="Times New Roman"/>
                <w:color w:val="auto"/>
                <w:sz w:val="21"/>
                <w:szCs w:val="21"/>
              </w:rPr>
              <w:t>该工序产生</w:t>
            </w:r>
            <w:r>
              <w:rPr>
                <w:rFonts w:hint="default" w:ascii="Times New Roman" w:hAnsi="Times New Roman" w:eastAsia="宋体" w:cs="Times New Roman"/>
                <w:b w:val="0"/>
                <w:bCs w:val="0"/>
                <w:color w:val="auto"/>
                <w:sz w:val="21"/>
                <w:szCs w:val="21"/>
              </w:rPr>
              <w:t>G</w:t>
            </w:r>
            <w:r>
              <w:rPr>
                <w:rFonts w:hint="eastAsia" w:ascii="Times New Roman" w:hAnsi="Times New Roman" w:eastAsia="宋体" w:cs="Times New Roman"/>
                <w:b w:val="0"/>
                <w:bCs w:val="0"/>
                <w:color w:val="auto"/>
                <w:sz w:val="21"/>
                <w:szCs w:val="21"/>
                <w:lang w:val="en-US" w:eastAsia="zh-CN"/>
              </w:rPr>
              <w:t>1-3</w:t>
            </w:r>
            <w:r>
              <w:rPr>
                <w:rFonts w:hint="default" w:ascii="Times New Roman" w:hAnsi="Times New Roman" w:eastAsia="宋体" w:cs="Times New Roman"/>
                <w:b w:val="0"/>
                <w:bCs w:val="0"/>
                <w:color w:val="auto"/>
                <w:sz w:val="21"/>
                <w:szCs w:val="21"/>
              </w:rPr>
              <w:t>挤出废气、S1</w:t>
            </w:r>
            <w:r>
              <w:rPr>
                <w:rFonts w:hint="eastAsia" w:ascii="Times New Roman" w:hAnsi="Times New Roman" w:eastAsia="宋体" w:cs="Times New Roman"/>
                <w:b w:val="0"/>
                <w:bCs w:val="0"/>
                <w:color w:val="auto"/>
                <w:sz w:val="21"/>
                <w:szCs w:val="21"/>
                <w:lang w:val="en-US" w:eastAsia="zh-CN"/>
              </w:rPr>
              <w:t>-2废</w:t>
            </w:r>
            <w:r>
              <w:rPr>
                <w:rFonts w:hint="default" w:ascii="Times New Roman" w:hAnsi="Times New Roman" w:eastAsia="宋体" w:cs="Times New Roman"/>
                <w:b w:val="0"/>
                <w:bCs w:val="0"/>
                <w:color w:val="auto"/>
                <w:sz w:val="21"/>
                <w:szCs w:val="21"/>
              </w:rPr>
              <w:t>边角料和N噪声</w:t>
            </w:r>
            <w:r>
              <w:rPr>
                <w:rFonts w:hint="eastAsia" w:ascii="Times New Roman" w:hAnsi="Times New Roman" w:eastAsia="宋体" w:cs="Times New Roman"/>
                <w:b w:val="0"/>
                <w:bCs w:val="0"/>
                <w:color w:val="auto"/>
                <w:sz w:val="21"/>
                <w:szCs w:val="21"/>
                <w:lang w:eastAsia="zh-CN"/>
              </w:rPr>
              <w:t>；</w:t>
            </w:r>
          </w:p>
          <w:p w14:paraId="6E578D46">
            <w:pPr>
              <w:pStyle w:val="2"/>
              <w:keepNext w:val="0"/>
              <w:keepLines w:val="0"/>
              <w:pageBreakBefore w:val="0"/>
              <w:kinsoku/>
              <w:wordWrap/>
              <w:overflowPunct/>
              <w:topLinePunct w:val="0"/>
              <w:autoSpaceDE/>
              <w:autoSpaceDN/>
              <w:bidi w:val="0"/>
              <w:adjustRightInd w:val="0"/>
              <w:snapToGrid w:val="0"/>
              <w:spacing w:after="0" w:line="360" w:lineRule="auto"/>
              <w:ind w:firstLine="422" w:firstLineChars="200"/>
              <w:jc w:val="both"/>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b/>
                <w:bCs/>
                <w:color w:val="auto"/>
                <w:sz w:val="21"/>
                <w:szCs w:val="21"/>
              </w:rPr>
              <w:t>切粒</w:t>
            </w:r>
            <w:r>
              <w:rPr>
                <w:rFonts w:hint="eastAsia" w:ascii="Times New Roman" w:hAnsi="Times New Roman" w:eastAsia="宋体" w:cs="Times New Roman"/>
                <w:b/>
                <w:bCs/>
                <w:color w:val="auto"/>
                <w:sz w:val="21"/>
                <w:szCs w:val="21"/>
                <w:lang w:eastAsia="zh-CN"/>
              </w:rPr>
              <w:t>、</w:t>
            </w:r>
            <w:r>
              <w:rPr>
                <w:rFonts w:hint="eastAsia" w:ascii="Times New Roman" w:hAnsi="Times New Roman" w:eastAsia="宋体" w:cs="Times New Roman"/>
                <w:b/>
                <w:bCs/>
                <w:color w:val="auto"/>
                <w:sz w:val="21"/>
                <w:szCs w:val="21"/>
                <w:lang w:val="en-US" w:eastAsia="zh-CN"/>
              </w:rPr>
              <w:t>筛分</w:t>
            </w:r>
            <w:r>
              <w:rPr>
                <w:rFonts w:hint="default" w:ascii="Times New Roman" w:hAnsi="Times New Roman" w:eastAsia="宋体" w:cs="Times New Roman"/>
                <w:b w:val="0"/>
                <w:bCs w:val="0"/>
                <w:color w:val="auto"/>
                <w:sz w:val="21"/>
                <w:szCs w:val="21"/>
              </w:rPr>
              <w:t>：</w:t>
            </w:r>
            <w:r>
              <w:rPr>
                <w:rFonts w:hint="default" w:ascii="Times New Roman" w:hAnsi="Times New Roman" w:eastAsia="宋体" w:cs="Times New Roman"/>
                <w:color w:val="auto"/>
                <w:sz w:val="21"/>
                <w:szCs w:val="21"/>
              </w:rPr>
              <w:t>挤出后的半成品直接进入水下切粒系统进行冷却、降温、成型，同时根据产品需求切割成相应尺寸</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切割过程</w:t>
            </w:r>
            <w:r>
              <w:rPr>
                <w:rFonts w:hint="default" w:ascii="Times New Roman" w:hAnsi="Times New Roman" w:eastAsia="宋体" w:cs="Times New Roman"/>
                <w:color w:val="auto"/>
                <w:sz w:val="21"/>
                <w:szCs w:val="21"/>
              </w:rPr>
              <w:t>冷却水通过生产车间外循环水池循环回用，定期添加，不排放</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冷却后的半成品</w:t>
            </w:r>
            <w:r>
              <w:rPr>
                <w:rFonts w:hint="default" w:ascii="Times New Roman" w:hAnsi="Times New Roman" w:eastAsia="宋体" w:cs="Times New Roman"/>
                <w:color w:val="auto"/>
                <w:sz w:val="21"/>
                <w:szCs w:val="21"/>
              </w:rPr>
              <w:t>经</w:t>
            </w:r>
            <w:r>
              <w:rPr>
                <w:rFonts w:hint="eastAsia" w:ascii="Times New Roman" w:hAnsi="Times New Roman" w:eastAsia="宋体" w:cs="Times New Roman"/>
                <w:color w:val="auto"/>
                <w:sz w:val="21"/>
                <w:szCs w:val="21"/>
                <w:lang w:val="en-US" w:eastAsia="zh-CN"/>
              </w:rPr>
              <w:t>后段</w:t>
            </w:r>
            <w:r>
              <w:rPr>
                <w:rFonts w:hint="default" w:ascii="Times New Roman" w:hAnsi="Times New Roman" w:eastAsia="宋体" w:cs="Times New Roman"/>
                <w:color w:val="auto"/>
                <w:sz w:val="21"/>
                <w:szCs w:val="21"/>
              </w:rPr>
              <w:t>振动筛的往复旋型震动，通过均匀布孔的单层或多层筛面，分成若干不同级别，达到筛分目的。该工序产生S1-</w:t>
            </w: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废边角料和N噪声</w:t>
            </w:r>
            <w:r>
              <w:rPr>
                <w:rFonts w:hint="eastAsia" w:ascii="Times New Roman" w:hAnsi="Times New Roman" w:eastAsia="宋体" w:cs="Times New Roman"/>
                <w:color w:val="auto"/>
                <w:sz w:val="21"/>
                <w:szCs w:val="21"/>
                <w:lang w:eastAsia="zh-CN"/>
              </w:rPr>
              <w:t>；</w:t>
            </w:r>
          </w:p>
          <w:p w14:paraId="1FC1336B">
            <w:pPr>
              <w:pStyle w:val="2"/>
              <w:keepNext w:val="0"/>
              <w:keepLines w:val="0"/>
              <w:pageBreakBefore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b/>
                <w:bCs/>
                <w:color w:val="auto"/>
                <w:sz w:val="21"/>
                <w:szCs w:val="21"/>
                <w:lang w:val="en-US" w:eastAsia="zh-CN"/>
              </w:rPr>
              <w:t>烘干</w:t>
            </w:r>
            <w:r>
              <w:rPr>
                <w:rFonts w:hint="default" w:ascii="Times New Roman" w:hAnsi="Times New Roman" w:eastAsia="宋体" w:cs="Times New Roman"/>
                <w:b w:val="0"/>
                <w:bCs w:val="0"/>
                <w:color w:val="auto"/>
                <w:sz w:val="21"/>
                <w:szCs w:val="21"/>
              </w:rPr>
              <w:t>：</w:t>
            </w:r>
            <w:r>
              <w:rPr>
                <w:rFonts w:hint="default" w:ascii="Times New Roman" w:hAnsi="Times New Roman" w:eastAsia="宋体" w:cs="Times New Roman"/>
                <w:color w:val="auto"/>
                <w:sz w:val="21"/>
                <w:szCs w:val="21"/>
              </w:rPr>
              <w:t>将</w:t>
            </w:r>
            <w:r>
              <w:rPr>
                <w:rFonts w:hint="eastAsia" w:ascii="Times New Roman" w:hAnsi="Times New Roman" w:eastAsia="宋体" w:cs="Times New Roman"/>
                <w:color w:val="auto"/>
                <w:sz w:val="21"/>
                <w:szCs w:val="21"/>
                <w:lang w:val="en-US" w:eastAsia="zh-CN"/>
              </w:rPr>
              <w:t>产品放至烘干机干燥，电加热，温度100℃左右，该工序产生G1-4烘干废气</w:t>
            </w:r>
            <w:r>
              <w:rPr>
                <w:rFonts w:hint="default" w:ascii="Times New Roman" w:hAnsi="Times New Roman" w:eastAsia="宋体" w:cs="Times New Roman"/>
                <w:color w:val="auto"/>
                <w:sz w:val="21"/>
                <w:szCs w:val="21"/>
              </w:rPr>
              <w:t>；</w:t>
            </w:r>
          </w:p>
          <w:p w14:paraId="5316FFCD">
            <w:pPr>
              <w:pStyle w:val="2"/>
              <w:keepNext w:val="0"/>
              <w:keepLines w:val="0"/>
              <w:pageBreakBefore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lang w:val="en-US" w:eastAsia="zh-CN"/>
              </w:rPr>
              <w:t>检验</w:t>
            </w:r>
            <w:r>
              <w:rPr>
                <w:rFonts w:hint="eastAsia" w:ascii="Times New Roman" w:hAnsi="Times New Roman" w:eastAsia="宋体" w:cs="Times New Roman"/>
                <w:b w:val="0"/>
                <w:bCs w:val="0"/>
                <w:color w:val="auto"/>
                <w:sz w:val="21"/>
                <w:szCs w:val="21"/>
                <w:lang w:val="en-US" w:eastAsia="zh-CN"/>
              </w:rPr>
              <w:t>：本项目利用电子万能试验机、毛细管流变仪、门尼粘度仪、无转子化仪、注塑机、烘箱等设备，检测每批次的产品性能。利用注塑机制备实验样件（热塑性弹性体颗粒放入注塑机料斗内，</w:t>
            </w:r>
            <w:r>
              <w:rPr>
                <w:rFonts w:hint="default" w:ascii="Times New Roman" w:hAnsi="Times New Roman" w:eastAsia="宋体" w:cs="Times New Roman"/>
                <w:color w:val="auto"/>
                <w:sz w:val="21"/>
                <w:szCs w:val="21"/>
              </w:rPr>
              <w:t>进入封闭的</w:t>
            </w:r>
            <w:r>
              <w:rPr>
                <w:rFonts w:hint="default" w:ascii="Times New Roman" w:hAnsi="Times New Roman" w:eastAsia="宋体" w:cs="Times New Roman"/>
                <w:color w:val="auto"/>
                <w:sz w:val="21"/>
                <w:szCs w:val="21"/>
                <w:lang w:eastAsia="zh-CN"/>
              </w:rPr>
              <w:t>注射成型机</w:t>
            </w:r>
            <w:r>
              <w:rPr>
                <w:rFonts w:hint="default" w:ascii="Times New Roman" w:hAnsi="Times New Roman" w:eastAsia="宋体" w:cs="Times New Roman"/>
                <w:color w:val="auto"/>
                <w:sz w:val="21"/>
                <w:szCs w:val="21"/>
              </w:rPr>
              <w:t>内，温度控制在2</w:t>
            </w:r>
            <w:r>
              <w:rPr>
                <w:rFonts w:hint="eastAsia"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左右</w:t>
            </w:r>
            <w:r>
              <w:rPr>
                <w:rFonts w:hint="default" w:ascii="Times New Roman" w:hAnsi="Times New Roman" w:eastAsia="宋体" w:cs="Times New Roman"/>
                <w:color w:val="auto"/>
                <w:sz w:val="21"/>
                <w:szCs w:val="21"/>
              </w:rPr>
              <w:t>，然后在设备内熔融状态的塑料完全进入模具的封闭模腔，充满模腔后暂停工作，塑料定型成某种形状</w:t>
            </w:r>
            <w:r>
              <w:rPr>
                <w:rFonts w:hint="default" w:ascii="Times New Roman" w:hAnsi="Times New Roman" w:eastAsia="宋体" w:cs="Times New Roman"/>
                <w:color w:val="auto"/>
                <w:sz w:val="21"/>
                <w:szCs w:val="21"/>
                <w:lang w:val="en-US" w:eastAsia="zh-CN"/>
              </w:rPr>
              <w:t>后</w:t>
            </w:r>
            <w:r>
              <w:rPr>
                <w:rFonts w:hint="default" w:ascii="Times New Roman" w:hAnsi="Times New Roman" w:eastAsia="宋体" w:cs="Times New Roman"/>
                <w:color w:val="auto"/>
                <w:sz w:val="21"/>
                <w:szCs w:val="21"/>
                <w:lang w:eastAsia="zh-CN"/>
              </w:rPr>
              <w:t>注射成型机</w:t>
            </w:r>
            <w:r>
              <w:rPr>
                <w:rFonts w:hint="default" w:ascii="Times New Roman" w:hAnsi="Times New Roman" w:eastAsia="宋体" w:cs="Times New Roman"/>
                <w:color w:val="auto"/>
                <w:sz w:val="21"/>
                <w:szCs w:val="21"/>
              </w:rPr>
              <w:t>打开模具</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模具及产品自然冷却后</w:t>
            </w:r>
            <w:r>
              <w:rPr>
                <w:rFonts w:hint="default" w:ascii="Times New Roman" w:hAnsi="Times New Roman" w:eastAsia="宋体" w:cs="Times New Roman"/>
                <w:color w:val="auto"/>
                <w:sz w:val="21"/>
                <w:szCs w:val="21"/>
              </w:rPr>
              <w:t>，取出产品。</w:t>
            </w:r>
            <w:r>
              <w:rPr>
                <w:rFonts w:hint="eastAsia" w:ascii="Times New Roman" w:hAnsi="Times New Roman" w:eastAsia="宋体" w:cs="Times New Roman"/>
                <w:b w:val="0"/>
                <w:bCs w:val="0"/>
                <w:color w:val="auto"/>
                <w:sz w:val="21"/>
                <w:szCs w:val="21"/>
                <w:lang w:val="en-US" w:eastAsia="zh-CN"/>
              </w:rPr>
              <w:t>），利用电子万能试验机测试样件的力学性能（拉伸强度应≥5MPa（普通密封件）/≥8MPa（耐磨密封件）合格）、断裂伸长率应≥300%合格），利用毛细管流变仪测试粒子的流变性能（熔体流动速率应在5-20g/10min左右合格），利用门尼粘度仪测试粒子的加工粘度特性（门尼粘度30-80之间合格），利用无转子硫化仪评估材料的热固性改性效果，利用烘箱测试粒子的耐温、老化性能等（拉伸强度保留率≥80%、断裂伸长率保留率≥70%（70℃×168h老化后）合格），注塑和烘箱测试过程均为产生测试废气，该工序产生G1-5测试废气、S1-4不合格品、N噪声。</w:t>
            </w:r>
          </w:p>
          <w:p w14:paraId="44BDADAC">
            <w:pPr>
              <w:pStyle w:val="2"/>
              <w:keepNext w:val="0"/>
              <w:keepLines w:val="0"/>
              <w:pageBreakBefore w:val="0"/>
              <w:kinsoku/>
              <w:wordWrap/>
              <w:overflowPunct/>
              <w:topLinePunct w:val="0"/>
              <w:autoSpaceDE/>
              <w:autoSpaceDN/>
              <w:bidi w:val="0"/>
              <w:adjustRightInd w:val="0"/>
              <w:snapToGrid w:val="0"/>
              <w:spacing w:after="0" w:line="360" w:lineRule="auto"/>
              <w:ind w:firstLine="422" w:firstLineChars="200"/>
              <w:jc w:val="both"/>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b/>
                <w:bCs/>
                <w:color w:val="auto"/>
                <w:sz w:val="21"/>
                <w:szCs w:val="21"/>
              </w:rPr>
              <w:t>计量包装</w:t>
            </w:r>
            <w:r>
              <w:rPr>
                <w:rFonts w:hint="default" w:ascii="Times New Roman" w:hAnsi="Times New Roman" w:eastAsia="宋体" w:cs="Times New Roman"/>
                <w:b w:val="0"/>
                <w:bCs w:val="0"/>
                <w:color w:val="auto"/>
                <w:sz w:val="21"/>
                <w:szCs w:val="21"/>
              </w:rPr>
              <w:t>：</w:t>
            </w:r>
            <w:r>
              <w:rPr>
                <w:rFonts w:hint="eastAsia" w:ascii="Times New Roman" w:hAnsi="Times New Roman" w:eastAsia="宋体" w:cs="Times New Roman"/>
                <w:b w:val="0"/>
                <w:bCs w:val="0"/>
                <w:color w:val="auto"/>
                <w:sz w:val="21"/>
                <w:szCs w:val="21"/>
                <w:lang w:val="en-US" w:eastAsia="zh-CN"/>
              </w:rPr>
              <w:t>合格的产品</w:t>
            </w:r>
            <w:r>
              <w:rPr>
                <w:rFonts w:hint="default" w:ascii="Times New Roman" w:hAnsi="Times New Roman" w:eastAsia="宋体" w:cs="Times New Roman"/>
                <w:color w:val="auto"/>
                <w:sz w:val="21"/>
                <w:szCs w:val="21"/>
              </w:rPr>
              <w:t>经计量泵计量后包装处理，暂存至成品库待售</w:t>
            </w:r>
            <w:r>
              <w:rPr>
                <w:rFonts w:hint="eastAsia" w:ascii="Times New Roman" w:hAnsi="Times New Roman" w:eastAsia="宋体" w:cs="Times New Roman"/>
                <w:color w:val="auto"/>
                <w:sz w:val="21"/>
                <w:szCs w:val="21"/>
                <w:lang w:eastAsia="zh-CN"/>
              </w:rPr>
              <w:t>；</w:t>
            </w:r>
          </w:p>
          <w:p w14:paraId="7DDBEF46">
            <w:pPr>
              <w:pStyle w:val="2"/>
              <w:keepNext w:val="0"/>
              <w:keepLines w:val="0"/>
              <w:pageBreakBefore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b/>
                <w:bCs/>
                <w:color w:val="auto"/>
                <w:sz w:val="21"/>
                <w:szCs w:val="21"/>
                <w:lang w:val="en-US" w:eastAsia="zh-CN"/>
              </w:rPr>
              <w:t>破碎</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废边角料</w:t>
            </w:r>
            <w:r>
              <w:rPr>
                <w:rFonts w:hint="eastAsia" w:ascii="Times New Roman" w:hAnsi="Times New Roman" w:eastAsia="宋体" w:cs="Times New Roman"/>
                <w:color w:val="auto"/>
                <w:sz w:val="21"/>
                <w:szCs w:val="21"/>
                <w:lang w:val="en-US" w:eastAsia="zh-CN"/>
              </w:rPr>
              <w:t>、不合格品</w:t>
            </w:r>
            <w:r>
              <w:rPr>
                <w:rFonts w:hint="default" w:ascii="Times New Roman" w:hAnsi="Times New Roman" w:eastAsia="宋体" w:cs="Times New Roman"/>
                <w:color w:val="auto"/>
                <w:sz w:val="21"/>
                <w:szCs w:val="21"/>
                <w:lang w:val="en-US" w:eastAsia="zh-CN"/>
              </w:rPr>
              <w:t>经破碎机破碎后回到投称量投料工序，破碎时密闭</w:t>
            </w:r>
            <w:r>
              <w:rPr>
                <w:rFonts w:hint="eastAsia" w:ascii="Times New Roman" w:hAnsi="Times New Roman" w:eastAsia="宋体" w:cs="Times New Roman"/>
                <w:color w:val="auto"/>
                <w:sz w:val="21"/>
                <w:szCs w:val="21"/>
                <w:lang w:val="en-US" w:eastAsia="zh-CN"/>
              </w:rPr>
              <w:t>，粉尘量极低，不定量分析</w:t>
            </w:r>
            <w:r>
              <w:rPr>
                <w:rFonts w:hint="default" w:ascii="Times New Roman" w:hAnsi="Times New Roman" w:eastAsia="宋体" w:cs="Times New Roman"/>
                <w:color w:val="auto"/>
                <w:sz w:val="21"/>
                <w:szCs w:val="21"/>
                <w:lang w:val="en-US" w:eastAsia="zh-CN"/>
              </w:rPr>
              <w:t>，此工序会产生</w:t>
            </w:r>
            <w:r>
              <w:rPr>
                <w:rFonts w:hint="eastAsia" w:ascii="Times New Roman" w:hAnsi="Times New Roman" w:eastAsia="宋体" w:cs="Times New Roman"/>
                <w:color w:val="auto"/>
                <w:sz w:val="21"/>
                <w:szCs w:val="21"/>
                <w:lang w:val="en-US" w:eastAsia="zh-CN"/>
              </w:rPr>
              <w:t>微量</w:t>
            </w:r>
            <w:r>
              <w:rPr>
                <w:rFonts w:hint="default" w:ascii="Times New Roman" w:hAnsi="Times New Roman" w:eastAsia="宋体" w:cs="Times New Roman"/>
                <w:color w:val="auto"/>
                <w:sz w:val="21"/>
                <w:szCs w:val="21"/>
                <w:lang w:val="en-US" w:eastAsia="zh-CN"/>
              </w:rPr>
              <w:t>G1-</w:t>
            </w:r>
            <w:r>
              <w:rPr>
                <w:rFonts w:hint="eastAsia" w:ascii="Times New Roman" w:hAnsi="Times New Roman" w:eastAsia="宋体" w:cs="Times New Roman"/>
                <w:color w:val="auto"/>
                <w:sz w:val="21"/>
                <w:szCs w:val="21"/>
                <w:lang w:val="en-US" w:eastAsia="zh-CN"/>
              </w:rPr>
              <w:t>5破碎粉尘</w:t>
            </w:r>
            <w:r>
              <w:rPr>
                <w:rFonts w:hint="default" w:ascii="Times New Roman" w:hAnsi="Times New Roman" w:eastAsia="宋体" w:cs="Times New Roman"/>
                <w:color w:val="auto"/>
                <w:sz w:val="21"/>
                <w:szCs w:val="21"/>
                <w:lang w:val="en-US" w:eastAsia="zh-CN"/>
              </w:rPr>
              <w:t>和N噪声。</w:t>
            </w:r>
          </w:p>
          <w:p w14:paraId="6453A5A1">
            <w:pPr>
              <w:keepNext w:val="0"/>
              <w:keepLines w:val="0"/>
              <w:pageBreakBefore w:val="0"/>
              <w:widowControl w:val="0"/>
              <w:numPr>
                <w:ilvl w:val="0"/>
                <w:numId w:val="0"/>
              </w:numPr>
              <w:kinsoku/>
              <w:wordWrap/>
              <w:overflowPunct/>
              <w:topLinePunct w:val="0"/>
              <w:autoSpaceDE/>
              <w:autoSpaceDN/>
              <w:bidi w:val="0"/>
              <w:adjustRightInd w:val="0"/>
              <w:snapToGrid w:val="0"/>
              <w:ind w:firstLine="422" w:firstLineChars="200"/>
              <w:jc w:val="both"/>
              <w:textAlignment w:val="auto"/>
              <w:rPr>
                <w:rFonts w:hint="default"/>
                <w:color w:val="auto"/>
                <w:lang w:val="en-US" w:eastAsia="zh-CN"/>
              </w:rPr>
            </w:pPr>
            <w:r>
              <w:rPr>
                <w:rFonts w:hint="eastAsia" w:ascii="Times New Roman" w:hAnsi="Times New Roman" w:eastAsia="宋体" w:cs="Times New Roman"/>
                <w:b/>
                <w:bCs/>
                <w:color w:val="auto"/>
                <w:szCs w:val="21"/>
                <w:lang w:val="en-US" w:eastAsia="zh-CN"/>
              </w:rPr>
              <w:t>2、汽车密封件</w:t>
            </w:r>
            <w:r>
              <w:rPr>
                <w:rFonts w:hint="default" w:ascii="Times New Roman" w:hAnsi="Times New Roman" w:eastAsia="宋体" w:cs="Times New Roman"/>
                <w:b/>
                <w:color w:val="auto"/>
                <w:szCs w:val="21"/>
              </w:rPr>
              <w:t>工艺流程</w:t>
            </w:r>
          </w:p>
          <w:p w14:paraId="7AC37C2A">
            <w:pPr>
              <w:pStyle w:val="6"/>
              <w:keepNext w:val="0"/>
              <w:keepLines w:val="0"/>
              <w:pageBreakBefore w:val="0"/>
              <w:widowControl w:val="0"/>
              <w:kinsoku/>
              <w:wordWrap/>
              <w:overflowPunct/>
              <w:topLinePunct w:val="0"/>
              <w:autoSpaceDE/>
              <w:autoSpaceDN/>
              <w:bidi w:val="0"/>
              <w:adjustRightInd w:val="0"/>
              <w:snapToGrid w:val="0"/>
              <w:spacing w:before="0" w:beforeAutospacing="0" w:after="0" w:afterAutospacing="0"/>
              <w:jc w:val="center"/>
              <w:textAlignment w:val="auto"/>
              <w:rPr>
                <w:rFonts w:hint="default"/>
                <w:color w:val="auto"/>
                <w:lang w:val="en-US" w:eastAsia="zh-CN"/>
              </w:rPr>
            </w:pPr>
            <w:r>
              <w:rPr>
                <w:rFonts w:hint="default" w:ascii="Times New Roman" w:hAnsi="Times New Roman" w:eastAsia="宋体" w:cs="Times New Roman"/>
                <w:bCs/>
                <w:color w:val="auto"/>
                <w:kern w:val="2"/>
                <w:sz w:val="21"/>
                <w:szCs w:val="21"/>
              </w:rPr>
              <w:object>
                <v:shape id="_x0000_i1027" o:spt="75" type="#_x0000_t75" style="height:201.55pt;width:221.65pt;" o:ole="t" filled="f" o:preferrelative="t" stroked="f" coordsize="21600,21600">
                  <v:path/>
                  <v:fill on="f" focussize="0,0"/>
                  <v:stroke on="f"/>
                  <v:imagedata r:id="rId15" croptop="9425f" cropbottom="9667f" o:title=""/>
                  <o:lock v:ext="edit" aspectratio="f"/>
                  <w10:wrap type="none"/>
                  <w10:anchorlock/>
                </v:shape>
                <o:OLEObject Type="Embed" ProgID="Visio.Drawing.11" ShapeID="_x0000_i1027" DrawAspect="Content" ObjectID="_1468075727" r:id="rId14">
                  <o:LockedField>false</o:LockedField>
                </o:OLEObject>
              </w:object>
            </w:r>
          </w:p>
          <w:p w14:paraId="7523018E">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Times New Roman" w:hAnsi="Times New Roman" w:eastAsia="宋体" w:cs="Times New Roman"/>
                <w:b/>
                <w:bCs/>
                <w:color w:val="auto"/>
                <w:szCs w:val="21"/>
                <w:lang w:val="en-US" w:eastAsia="zh-CN"/>
              </w:rPr>
            </w:pPr>
            <w:r>
              <w:rPr>
                <w:rFonts w:hint="eastAsia" w:ascii="Times New Roman" w:hAnsi="Times New Roman" w:eastAsia="宋体" w:cs="Times New Roman"/>
                <w:b/>
                <w:bCs/>
                <w:color w:val="auto"/>
                <w:szCs w:val="21"/>
                <w:lang w:val="en-US" w:eastAsia="zh-CN"/>
              </w:rPr>
              <w:t>图2-3 汽车密封件生产工艺流程及产污环节图</w:t>
            </w:r>
          </w:p>
          <w:p w14:paraId="71C934DE">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jc w:val="both"/>
              <w:textAlignment w:val="auto"/>
              <w:rPr>
                <w:rFonts w:hint="eastAsia" w:ascii="Times New Roman" w:hAnsi="Times New Roman" w:eastAsia="宋体" w:cs="Times New Roman"/>
                <w:b w:val="0"/>
                <w:bCs w:val="0"/>
                <w:color w:val="auto"/>
                <w:szCs w:val="21"/>
                <w:lang w:eastAsia="zh-CN"/>
              </w:rPr>
            </w:pPr>
            <w:r>
              <w:rPr>
                <w:rFonts w:hint="eastAsia" w:ascii="Times New Roman" w:hAnsi="Times New Roman" w:eastAsia="宋体" w:cs="Times New Roman"/>
                <w:b/>
                <w:bCs/>
                <w:color w:val="auto"/>
                <w:szCs w:val="21"/>
                <w:lang w:val="en-US" w:eastAsia="zh-CN"/>
              </w:rPr>
              <w:t>投料</w:t>
            </w:r>
            <w:r>
              <w:rPr>
                <w:rFonts w:hint="eastAsia" w:ascii="Times New Roman" w:hAnsi="Times New Roman" w:eastAsia="宋体" w:cs="Times New Roman"/>
                <w:b w:val="0"/>
                <w:bCs w:val="0"/>
                <w:color w:val="auto"/>
                <w:szCs w:val="21"/>
                <w:lang w:val="en-US" w:eastAsia="zh-CN"/>
              </w:rPr>
              <w:t>：人工将热塑性弹性体颗粒放入密闭投料机中（直径约2mm～5mm，基本无投料粉尘产生），投料机与挤出机软管连接，挤出机自动抽取原料，该工艺产生S2-1废包装袋</w:t>
            </w:r>
            <w:r>
              <w:rPr>
                <w:rFonts w:hint="eastAsia" w:ascii="Arial" w:hAnsi="Arial" w:cs="Arial"/>
                <w:color w:val="auto"/>
                <w:szCs w:val="28"/>
                <w:lang w:eastAsia="zh-CN"/>
              </w:rPr>
              <w:t>；</w:t>
            </w:r>
          </w:p>
          <w:p w14:paraId="6AFC81FE">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jc w:val="both"/>
              <w:textAlignment w:val="auto"/>
              <w:rPr>
                <w:rFonts w:hint="eastAsia"/>
                <w:color w:val="auto"/>
                <w:lang w:eastAsia="zh-CN"/>
              </w:rPr>
            </w:pPr>
            <w:r>
              <w:rPr>
                <w:rFonts w:hint="eastAsia"/>
                <w:b/>
                <w:bCs/>
                <w:color w:val="auto"/>
                <w:lang w:val="en-US" w:eastAsia="zh-CN"/>
              </w:rPr>
              <w:t>挤出成型</w:t>
            </w:r>
            <w:r>
              <w:rPr>
                <w:rFonts w:hint="eastAsia"/>
                <w:color w:val="auto"/>
                <w:lang w:eastAsia="zh-CN"/>
              </w:rPr>
              <w:t>：将</w:t>
            </w:r>
            <w:r>
              <w:rPr>
                <w:rFonts w:hint="eastAsia" w:ascii="Times New Roman" w:hAnsi="Times New Roman" w:eastAsia="宋体" w:cs="Times New Roman"/>
                <w:b w:val="0"/>
                <w:bCs w:val="0"/>
                <w:color w:val="auto"/>
                <w:szCs w:val="21"/>
                <w:lang w:val="en-US" w:eastAsia="zh-CN"/>
              </w:rPr>
              <w:t>热塑性弹性体颗粒</w:t>
            </w:r>
            <w:r>
              <w:rPr>
                <w:rFonts w:hint="eastAsia"/>
                <w:color w:val="auto"/>
                <w:lang w:eastAsia="zh-CN"/>
              </w:rPr>
              <w:t>直接从</w:t>
            </w:r>
            <w:r>
              <w:rPr>
                <w:rFonts w:hint="eastAsia"/>
                <w:color w:val="auto"/>
                <w:lang w:val="en-US" w:eastAsia="zh-CN"/>
              </w:rPr>
              <w:t>投料机中</w:t>
            </w:r>
            <w:r>
              <w:rPr>
                <w:rFonts w:hint="eastAsia"/>
                <w:color w:val="auto"/>
                <w:lang w:eastAsia="zh-CN"/>
              </w:rPr>
              <w:t>自动抽入</w:t>
            </w:r>
            <w:r>
              <w:rPr>
                <w:rFonts w:hint="eastAsia"/>
                <w:color w:val="auto"/>
                <w:lang w:val="en-US" w:eastAsia="zh-CN"/>
              </w:rPr>
              <w:t>挤出机</w:t>
            </w:r>
            <w:r>
              <w:rPr>
                <w:rFonts w:hint="eastAsia"/>
                <w:color w:val="auto"/>
                <w:lang w:eastAsia="zh-CN"/>
              </w:rPr>
              <w:t>料斗，通过螺杆的转动将原料输送至机筒的前端，之后加热器将对螺杆的原料进行加热，加热采用电加热，温度</w:t>
            </w:r>
            <w:r>
              <w:rPr>
                <w:rFonts w:hint="eastAsia"/>
                <w:color w:val="auto"/>
                <w:lang w:val="en-US" w:eastAsia="zh-CN"/>
              </w:rPr>
              <w:t>180~</w:t>
            </w:r>
            <w:r>
              <w:rPr>
                <w:rFonts w:hint="eastAsia"/>
                <w:color w:val="auto"/>
                <w:lang w:eastAsia="zh-CN"/>
              </w:rPr>
              <w:t>2</w:t>
            </w:r>
            <w:r>
              <w:rPr>
                <w:rFonts w:hint="eastAsia"/>
                <w:color w:val="auto"/>
                <w:lang w:val="en-US" w:eastAsia="zh-CN"/>
              </w:rPr>
              <w:t>0</w:t>
            </w:r>
            <w:r>
              <w:rPr>
                <w:rFonts w:hint="eastAsia"/>
                <w:color w:val="auto"/>
                <w:lang w:eastAsia="zh-CN"/>
              </w:rPr>
              <w:t>0℃左右，使原料成为熔融状态；计量后的熔融塑料滞留于机筒前端，螺杆不断向前将塑料原料射入模腔，模具经冷却塔冷却。该工序会产生G</w:t>
            </w:r>
            <w:r>
              <w:rPr>
                <w:rFonts w:hint="eastAsia"/>
                <w:color w:val="auto"/>
                <w:lang w:val="en-US" w:eastAsia="zh-CN"/>
              </w:rPr>
              <w:t>2</w:t>
            </w:r>
            <w:r>
              <w:rPr>
                <w:rFonts w:hint="eastAsia"/>
                <w:color w:val="auto"/>
                <w:lang w:eastAsia="zh-CN"/>
              </w:rPr>
              <w:t>-1</w:t>
            </w:r>
            <w:r>
              <w:rPr>
                <w:rFonts w:hint="eastAsia"/>
                <w:color w:val="auto"/>
                <w:lang w:val="en-US" w:eastAsia="zh-CN"/>
              </w:rPr>
              <w:t>挤出废气</w:t>
            </w:r>
            <w:r>
              <w:rPr>
                <w:rFonts w:hint="eastAsia"/>
                <w:color w:val="auto"/>
                <w:lang w:eastAsia="zh-CN"/>
              </w:rPr>
              <w:t>、S</w:t>
            </w:r>
            <w:r>
              <w:rPr>
                <w:rFonts w:hint="eastAsia"/>
                <w:color w:val="auto"/>
                <w:lang w:val="en-US" w:eastAsia="zh-CN"/>
              </w:rPr>
              <w:t>2</w:t>
            </w:r>
            <w:r>
              <w:rPr>
                <w:rFonts w:hint="eastAsia"/>
                <w:color w:val="auto"/>
                <w:lang w:eastAsia="zh-CN"/>
              </w:rPr>
              <w:t>-</w:t>
            </w:r>
            <w:r>
              <w:rPr>
                <w:rFonts w:hint="eastAsia"/>
                <w:color w:val="auto"/>
                <w:lang w:val="en-US" w:eastAsia="zh-CN"/>
              </w:rPr>
              <w:t>3</w:t>
            </w:r>
            <w:r>
              <w:rPr>
                <w:rFonts w:hint="eastAsia"/>
                <w:color w:val="auto"/>
                <w:lang w:eastAsia="zh-CN"/>
              </w:rPr>
              <w:t>废边角料、N噪声；</w:t>
            </w:r>
          </w:p>
          <w:p w14:paraId="05EF43E1">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jc w:val="both"/>
              <w:textAlignment w:val="auto"/>
              <w:rPr>
                <w:rFonts w:hint="eastAsia"/>
                <w:color w:val="auto"/>
                <w:lang w:eastAsia="zh-CN"/>
              </w:rPr>
            </w:pPr>
            <w:r>
              <w:rPr>
                <w:rFonts w:hint="eastAsia"/>
                <w:b/>
                <w:bCs/>
                <w:color w:val="auto"/>
                <w:szCs w:val="21"/>
                <w:lang w:val="en-US" w:eastAsia="zh-CN"/>
              </w:rPr>
              <w:t>检验</w:t>
            </w:r>
            <w:r>
              <w:rPr>
                <w:rFonts w:hint="eastAsia"/>
                <w:color w:val="auto"/>
                <w:szCs w:val="21"/>
                <w:lang w:val="en-US" w:eastAsia="zh-CN"/>
              </w:rPr>
              <w:t>：</w:t>
            </w:r>
            <w:r>
              <w:rPr>
                <w:rFonts w:hint="eastAsia"/>
                <w:color w:val="auto"/>
                <w:szCs w:val="21"/>
              </w:rPr>
              <w:t>人工对</w:t>
            </w:r>
            <w:r>
              <w:rPr>
                <w:rFonts w:hint="eastAsia"/>
                <w:color w:val="auto"/>
                <w:szCs w:val="21"/>
                <w:lang w:val="en-US" w:eastAsia="zh-CN"/>
              </w:rPr>
              <w:t>挤出</w:t>
            </w:r>
            <w:r>
              <w:rPr>
                <w:rFonts w:hint="eastAsia"/>
                <w:color w:val="auto"/>
                <w:szCs w:val="21"/>
              </w:rPr>
              <w:t>成型后的产品进行检验，人工检测产品形状</w:t>
            </w:r>
            <w:r>
              <w:rPr>
                <w:rFonts w:hint="eastAsia"/>
                <w:color w:val="auto"/>
                <w:szCs w:val="21"/>
                <w:lang w:eastAsia="zh-CN"/>
              </w:rPr>
              <w:t>、</w:t>
            </w:r>
            <w:r>
              <w:rPr>
                <w:rFonts w:hint="eastAsia"/>
                <w:color w:val="auto"/>
                <w:szCs w:val="21"/>
                <w:lang w:val="en-US" w:eastAsia="zh-CN"/>
              </w:rPr>
              <w:t>尺寸大小等</w:t>
            </w:r>
            <w:r>
              <w:rPr>
                <w:rFonts w:hint="eastAsia"/>
                <w:color w:val="auto"/>
                <w:szCs w:val="21"/>
              </w:rPr>
              <w:t>是否符合设计图纸要求，该工序会产生S</w:t>
            </w:r>
            <w:r>
              <w:rPr>
                <w:rFonts w:hint="eastAsia"/>
                <w:color w:val="auto"/>
                <w:szCs w:val="21"/>
                <w:lang w:val="en-US" w:eastAsia="zh-CN"/>
              </w:rPr>
              <w:t>2-3</w:t>
            </w:r>
            <w:r>
              <w:rPr>
                <w:rFonts w:hint="eastAsia"/>
                <w:color w:val="auto"/>
                <w:szCs w:val="21"/>
              </w:rPr>
              <w:t>不合格品</w:t>
            </w:r>
            <w:r>
              <w:rPr>
                <w:rFonts w:hint="eastAsia"/>
                <w:color w:val="auto"/>
                <w:lang w:eastAsia="zh-CN"/>
              </w:rPr>
              <w:t>；</w:t>
            </w:r>
          </w:p>
          <w:p w14:paraId="57D22FAF">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jc w:val="both"/>
              <w:textAlignment w:val="auto"/>
              <w:rPr>
                <w:rFonts w:hint="eastAsia"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rPr>
              <w:t>包装</w:t>
            </w:r>
            <w:r>
              <w:rPr>
                <w:rFonts w:hint="default" w:ascii="Times New Roman" w:hAnsi="Times New Roman" w:eastAsia="宋体" w:cs="Times New Roman"/>
                <w:b w:val="0"/>
                <w:bCs w:val="0"/>
                <w:color w:val="auto"/>
                <w:sz w:val="21"/>
                <w:szCs w:val="21"/>
              </w:rPr>
              <w:t>：</w:t>
            </w:r>
            <w:r>
              <w:rPr>
                <w:rFonts w:hint="eastAsia" w:ascii="Times New Roman" w:hAnsi="Times New Roman" w:eastAsia="宋体" w:cs="Times New Roman"/>
                <w:b w:val="0"/>
                <w:bCs w:val="0"/>
                <w:color w:val="auto"/>
                <w:sz w:val="21"/>
                <w:szCs w:val="21"/>
                <w:lang w:val="en-US" w:eastAsia="zh-CN"/>
              </w:rPr>
              <w:t>产品</w:t>
            </w:r>
            <w:r>
              <w:rPr>
                <w:rFonts w:hint="default" w:ascii="Times New Roman" w:hAnsi="Times New Roman" w:eastAsia="宋体" w:cs="Times New Roman"/>
                <w:color w:val="auto"/>
                <w:sz w:val="21"/>
                <w:szCs w:val="21"/>
              </w:rPr>
              <w:t>包装处理，暂存至成品库待售</w:t>
            </w:r>
            <w:r>
              <w:rPr>
                <w:rFonts w:hint="eastAsia" w:ascii="Times New Roman" w:hAnsi="Times New Roman" w:eastAsia="宋体" w:cs="Times New Roman"/>
                <w:color w:val="auto"/>
                <w:sz w:val="21"/>
                <w:szCs w:val="21"/>
                <w:lang w:eastAsia="zh-CN"/>
              </w:rPr>
              <w:t>；</w:t>
            </w:r>
          </w:p>
          <w:p w14:paraId="79DA3739">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jc w:val="both"/>
              <w:textAlignment w:val="auto"/>
              <w:rPr>
                <w:rFonts w:hint="eastAsia"/>
                <w:color w:val="auto"/>
                <w:lang w:val="en-US" w:eastAsia="zh-CN"/>
              </w:rPr>
            </w:pPr>
            <w:r>
              <w:rPr>
                <w:rFonts w:hint="eastAsia" w:ascii="Times New Roman" w:hAnsi="Times New Roman" w:eastAsia="宋体" w:cs="Times New Roman"/>
                <w:b/>
                <w:bCs/>
                <w:color w:val="auto"/>
                <w:sz w:val="21"/>
                <w:szCs w:val="21"/>
                <w:lang w:val="en-US" w:eastAsia="zh-CN"/>
              </w:rPr>
              <w:t>破碎</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废边角料</w:t>
            </w:r>
            <w:r>
              <w:rPr>
                <w:rFonts w:hint="eastAsia" w:ascii="Times New Roman" w:hAnsi="Times New Roman" w:eastAsia="宋体" w:cs="Times New Roman"/>
                <w:color w:val="auto"/>
                <w:sz w:val="21"/>
                <w:szCs w:val="21"/>
                <w:lang w:val="en-US" w:eastAsia="zh-CN"/>
              </w:rPr>
              <w:t>、不合格品</w:t>
            </w:r>
            <w:r>
              <w:rPr>
                <w:rFonts w:hint="default" w:ascii="Times New Roman" w:hAnsi="Times New Roman" w:eastAsia="宋体" w:cs="Times New Roman"/>
                <w:color w:val="auto"/>
                <w:sz w:val="21"/>
                <w:szCs w:val="21"/>
                <w:lang w:val="en-US" w:eastAsia="zh-CN"/>
              </w:rPr>
              <w:t>经破碎机破碎后回到</w:t>
            </w:r>
            <w:r>
              <w:rPr>
                <w:rFonts w:hint="eastAsia" w:ascii="Times New Roman" w:hAnsi="Times New Roman" w:eastAsia="宋体" w:cs="Times New Roman"/>
                <w:color w:val="auto"/>
                <w:sz w:val="21"/>
                <w:szCs w:val="21"/>
                <w:lang w:val="en-US" w:eastAsia="zh-CN"/>
              </w:rPr>
              <w:t>投料</w:t>
            </w:r>
            <w:r>
              <w:rPr>
                <w:rFonts w:hint="default" w:ascii="Times New Roman" w:hAnsi="Times New Roman" w:eastAsia="宋体" w:cs="Times New Roman"/>
                <w:color w:val="auto"/>
                <w:sz w:val="21"/>
                <w:szCs w:val="21"/>
                <w:lang w:val="en-US" w:eastAsia="zh-CN"/>
              </w:rPr>
              <w:t>工序，破碎时密闭</w:t>
            </w:r>
            <w:r>
              <w:rPr>
                <w:rFonts w:hint="eastAsia" w:ascii="Times New Roman" w:hAnsi="Times New Roman" w:eastAsia="宋体" w:cs="Times New Roman"/>
                <w:color w:val="auto"/>
                <w:sz w:val="21"/>
                <w:szCs w:val="21"/>
                <w:lang w:val="en-US" w:eastAsia="zh-CN"/>
              </w:rPr>
              <w:t>，粉尘量极低，不定量分析</w:t>
            </w:r>
            <w:r>
              <w:rPr>
                <w:rFonts w:hint="default" w:ascii="Times New Roman" w:hAnsi="Times New Roman" w:eastAsia="宋体" w:cs="Times New Roman"/>
                <w:color w:val="auto"/>
                <w:sz w:val="21"/>
                <w:szCs w:val="21"/>
                <w:lang w:val="en-US" w:eastAsia="zh-CN"/>
              </w:rPr>
              <w:t>，此工序会产生</w:t>
            </w:r>
            <w:r>
              <w:rPr>
                <w:rFonts w:hint="eastAsia" w:ascii="Times New Roman" w:hAnsi="Times New Roman" w:eastAsia="宋体" w:cs="Times New Roman"/>
                <w:color w:val="auto"/>
                <w:sz w:val="21"/>
                <w:szCs w:val="21"/>
                <w:lang w:val="en-US" w:eastAsia="zh-CN"/>
              </w:rPr>
              <w:t>微量</w:t>
            </w:r>
            <w:r>
              <w:rPr>
                <w:rFonts w:hint="default" w:ascii="Times New Roman" w:hAnsi="Times New Roman" w:eastAsia="宋体" w:cs="Times New Roman"/>
                <w:color w:val="auto"/>
                <w:sz w:val="21"/>
                <w:szCs w:val="21"/>
                <w:lang w:val="en-US" w:eastAsia="zh-CN"/>
              </w:rPr>
              <w:t>G</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2破碎粉尘</w:t>
            </w:r>
            <w:r>
              <w:rPr>
                <w:rFonts w:hint="default" w:ascii="Times New Roman" w:hAnsi="Times New Roman" w:eastAsia="宋体" w:cs="Times New Roman"/>
                <w:color w:val="auto"/>
                <w:sz w:val="21"/>
                <w:szCs w:val="21"/>
                <w:lang w:val="en-US" w:eastAsia="zh-CN"/>
              </w:rPr>
              <w:t>和N噪声</w:t>
            </w:r>
            <w:r>
              <w:rPr>
                <w:rFonts w:hint="eastAsia"/>
                <w:color w:val="auto"/>
                <w:lang w:val="en-US" w:eastAsia="zh-CN"/>
              </w:rPr>
              <w:t>。</w:t>
            </w:r>
          </w:p>
          <w:p w14:paraId="568639B6">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Cs w:val="21"/>
              </w:rPr>
              <w:t>表2-</w:t>
            </w:r>
            <w:r>
              <w:rPr>
                <w:rFonts w:hint="eastAsia" w:ascii="Times New Roman" w:hAnsi="Times New Roman" w:eastAsia="宋体" w:cs="Times New Roman"/>
                <w:b/>
                <w:bCs/>
                <w:color w:val="auto"/>
                <w:szCs w:val="21"/>
                <w:lang w:val="en-US" w:eastAsia="zh-CN"/>
              </w:rPr>
              <w:t>6</w:t>
            </w:r>
            <w:r>
              <w:rPr>
                <w:rFonts w:hint="default" w:ascii="Times New Roman" w:hAnsi="Times New Roman" w:eastAsia="宋体" w:cs="Times New Roman"/>
                <w:b/>
                <w:bCs/>
                <w:color w:val="auto"/>
                <w:szCs w:val="21"/>
              </w:rPr>
              <w:t xml:space="preserve"> 产污环节一览表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30"/>
              <w:gridCol w:w="903"/>
              <w:gridCol w:w="2439"/>
              <w:gridCol w:w="4022"/>
            </w:tblGrid>
            <w:tr w14:paraId="58307C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561" w:type="pct"/>
                  <w:noWrap w:val="0"/>
                  <w:vAlign w:val="center"/>
                </w:tcPr>
                <w:p w14:paraId="6DA1D575">
                  <w:pPr>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种类</w:t>
                  </w:r>
                </w:p>
              </w:tc>
              <w:tc>
                <w:tcPr>
                  <w:tcW w:w="544" w:type="pct"/>
                  <w:noWrap w:val="0"/>
                  <w:vAlign w:val="center"/>
                </w:tcPr>
                <w:p w14:paraId="2E14834E">
                  <w:pPr>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编号</w:t>
                  </w:r>
                </w:p>
              </w:tc>
              <w:tc>
                <w:tcPr>
                  <w:tcW w:w="1470" w:type="pct"/>
                  <w:noWrap w:val="0"/>
                  <w:vAlign w:val="center"/>
                </w:tcPr>
                <w:p w14:paraId="207C7C23">
                  <w:pPr>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污染物名称</w:t>
                  </w:r>
                </w:p>
              </w:tc>
              <w:tc>
                <w:tcPr>
                  <w:tcW w:w="2424" w:type="pct"/>
                  <w:noWrap w:val="0"/>
                  <w:vAlign w:val="center"/>
                </w:tcPr>
                <w:p w14:paraId="0679E921">
                  <w:pPr>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产污工段</w:t>
                  </w:r>
                </w:p>
              </w:tc>
            </w:tr>
            <w:tr w14:paraId="5954E8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restart"/>
                  <w:noWrap w:val="0"/>
                  <w:vAlign w:val="center"/>
                </w:tcPr>
                <w:p w14:paraId="1D5DFEBE">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废气</w:t>
                  </w:r>
                </w:p>
              </w:tc>
              <w:tc>
                <w:tcPr>
                  <w:tcW w:w="544" w:type="pct"/>
                  <w:noWrap w:val="0"/>
                  <w:vAlign w:val="center"/>
                </w:tcPr>
                <w:p w14:paraId="20BAD8F1">
                  <w:pPr>
                    <w:jc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bCs/>
                      <w:color w:val="auto"/>
                      <w:szCs w:val="21"/>
                    </w:rPr>
                    <w:t>G1</w:t>
                  </w:r>
                  <w:r>
                    <w:rPr>
                      <w:rFonts w:hint="eastAsia" w:ascii="Times New Roman" w:hAnsi="Times New Roman" w:eastAsia="宋体" w:cs="Times New Roman"/>
                      <w:bCs/>
                      <w:color w:val="auto"/>
                      <w:szCs w:val="21"/>
                      <w:lang w:val="en-US" w:eastAsia="zh-CN"/>
                    </w:rPr>
                    <w:t>-1</w:t>
                  </w:r>
                </w:p>
              </w:tc>
              <w:tc>
                <w:tcPr>
                  <w:tcW w:w="1470" w:type="pct"/>
                  <w:noWrap w:val="0"/>
                  <w:vAlign w:val="center"/>
                </w:tcPr>
                <w:p w14:paraId="2AE2A5A5">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配料粉尘</w:t>
                  </w:r>
                </w:p>
              </w:tc>
              <w:tc>
                <w:tcPr>
                  <w:tcW w:w="2424" w:type="pct"/>
                  <w:noWrap w:val="0"/>
                  <w:vAlign w:val="center"/>
                </w:tcPr>
                <w:p w14:paraId="110BA774">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称量配料</w:t>
                  </w:r>
                </w:p>
              </w:tc>
            </w:tr>
            <w:tr w14:paraId="4E7EEA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5986FD1E">
                  <w:pPr>
                    <w:jc w:val="center"/>
                    <w:rPr>
                      <w:rFonts w:hint="default" w:ascii="Times New Roman" w:hAnsi="Times New Roman" w:eastAsia="宋体" w:cs="Times New Roman"/>
                      <w:color w:val="auto"/>
                      <w:szCs w:val="21"/>
                    </w:rPr>
                  </w:pPr>
                </w:p>
              </w:tc>
              <w:tc>
                <w:tcPr>
                  <w:tcW w:w="544" w:type="pct"/>
                  <w:noWrap w:val="0"/>
                  <w:vAlign w:val="center"/>
                </w:tcPr>
                <w:p w14:paraId="5CA11A65">
                  <w:pPr>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G1</w:t>
                  </w:r>
                  <w:r>
                    <w:rPr>
                      <w:rFonts w:hint="eastAsia" w:ascii="Times New Roman" w:hAnsi="Times New Roman" w:eastAsia="宋体" w:cs="Times New Roman"/>
                      <w:bCs/>
                      <w:color w:val="auto"/>
                      <w:szCs w:val="21"/>
                      <w:lang w:val="en-US" w:eastAsia="zh-CN"/>
                    </w:rPr>
                    <w:t>-</w:t>
                  </w:r>
                  <w:r>
                    <w:rPr>
                      <w:rFonts w:hint="default" w:ascii="Times New Roman" w:hAnsi="Times New Roman" w:eastAsia="宋体" w:cs="Times New Roman"/>
                      <w:bCs/>
                      <w:color w:val="auto"/>
                      <w:szCs w:val="21"/>
                    </w:rPr>
                    <w:t>2</w:t>
                  </w:r>
                </w:p>
              </w:tc>
              <w:tc>
                <w:tcPr>
                  <w:tcW w:w="1470" w:type="pct"/>
                  <w:noWrap w:val="0"/>
                  <w:vAlign w:val="center"/>
                </w:tcPr>
                <w:p w14:paraId="416BDE88">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color w:val="auto"/>
                      <w:sz w:val="21"/>
                      <w:szCs w:val="21"/>
                      <w:highlight w:val="none"/>
                      <w:lang w:val="en-US" w:eastAsia="zh-CN"/>
                    </w:rPr>
                    <w:t>投料粉尘</w:t>
                  </w:r>
                </w:p>
              </w:tc>
              <w:tc>
                <w:tcPr>
                  <w:tcW w:w="2424" w:type="pct"/>
                  <w:noWrap w:val="0"/>
                  <w:vAlign w:val="center"/>
                </w:tcPr>
                <w:p w14:paraId="7F28739F">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color w:val="auto"/>
                      <w:sz w:val="21"/>
                      <w:szCs w:val="21"/>
                      <w:highlight w:val="none"/>
                      <w:lang w:val="en-US" w:eastAsia="zh-CN"/>
                    </w:rPr>
                    <w:t>投料混合</w:t>
                  </w:r>
                </w:p>
              </w:tc>
            </w:tr>
            <w:tr w14:paraId="0A92A0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210C14FB">
                  <w:pPr>
                    <w:jc w:val="center"/>
                    <w:rPr>
                      <w:rFonts w:hint="default" w:ascii="Times New Roman" w:hAnsi="Times New Roman" w:eastAsia="宋体" w:cs="Times New Roman"/>
                      <w:color w:val="auto"/>
                      <w:szCs w:val="21"/>
                    </w:rPr>
                  </w:pPr>
                </w:p>
              </w:tc>
              <w:tc>
                <w:tcPr>
                  <w:tcW w:w="544" w:type="pct"/>
                  <w:noWrap w:val="0"/>
                  <w:vAlign w:val="center"/>
                </w:tcPr>
                <w:p w14:paraId="5327A50A">
                  <w:pPr>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G1</w:t>
                  </w:r>
                  <w:r>
                    <w:rPr>
                      <w:rFonts w:hint="eastAsia" w:ascii="Times New Roman" w:hAnsi="Times New Roman" w:eastAsia="宋体" w:cs="Times New Roman"/>
                      <w:bCs/>
                      <w:color w:val="auto"/>
                      <w:szCs w:val="21"/>
                      <w:lang w:val="en-US" w:eastAsia="zh-CN"/>
                    </w:rPr>
                    <w:t>-</w:t>
                  </w:r>
                  <w:r>
                    <w:rPr>
                      <w:rFonts w:hint="default" w:ascii="Times New Roman" w:hAnsi="Times New Roman" w:eastAsia="宋体" w:cs="Times New Roman"/>
                      <w:bCs/>
                      <w:color w:val="auto"/>
                      <w:szCs w:val="21"/>
                    </w:rPr>
                    <w:t>3</w:t>
                  </w:r>
                </w:p>
              </w:tc>
              <w:tc>
                <w:tcPr>
                  <w:tcW w:w="1470" w:type="pct"/>
                  <w:noWrap w:val="0"/>
                  <w:vAlign w:val="center"/>
                </w:tcPr>
                <w:p w14:paraId="36A210A7">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挤出废气</w:t>
                  </w:r>
                </w:p>
              </w:tc>
              <w:tc>
                <w:tcPr>
                  <w:tcW w:w="2424" w:type="pct"/>
                  <w:noWrap w:val="0"/>
                  <w:vAlign w:val="center"/>
                </w:tcPr>
                <w:p w14:paraId="65DCC92F">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挤出造粒</w:t>
                  </w:r>
                </w:p>
              </w:tc>
            </w:tr>
            <w:tr w14:paraId="1BA4D7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709D1F02">
                  <w:pPr>
                    <w:jc w:val="center"/>
                    <w:rPr>
                      <w:rFonts w:hint="default" w:ascii="Times New Roman" w:hAnsi="Times New Roman" w:eastAsia="宋体" w:cs="Times New Roman"/>
                      <w:color w:val="auto"/>
                      <w:szCs w:val="21"/>
                    </w:rPr>
                  </w:pPr>
                </w:p>
              </w:tc>
              <w:tc>
                <w:tcPr>
                  <w:tcW w:w="544" w:type="pct"/>
                  <w:noWrap w:val="0"/>
                  <w:vAlign w:val="center"/>
                </w:tcPr>
                <w:p w14:paraId="28FAFA93">
                  <w:pPr>
                    <w:jc w:val="center"/>
                    <w:rPr>
                      <w:rFonts w:hint="eastAsia" w:ascii="Times New Roman" w:hAnsi="Times New Roman" w:eastAsia="宋体" w:cs="Times New Roman"/>
                      <w:bCs/>
                      <w:color w:val="auto"/>
                      <w:szCs w:val="21"/>
                      <w:lang w:val="en-US" w:eastAsia="zh-CN"/>
                    </w:rPr>
                  </w:pPr>
                  <w:r>
                    <w:rPr>
                      <w:rFonts w:hint="default" w:ascii="Times New Roman" w:hAnsi="Times New Roman" w:eastAsia="宋体" w:cs="Times New Roman"/>
                      <w:bCs/>
                      <w:color w:val="auto"/>
                      <w:szCs w:val="21"/>
                    </w:rPr>
                    <w:t>G1</w:t>
                  </w:r>
                  <w:r>
                    <w:rPr>
                      <w:rFonts w:hint="eastAsia" w:ascii="Times New Roman" w:hAnsi="Times New Roman" w:eastAsia="宋体" w:cs="Times New Roman"/>
                      <w:bCs/>
                      <w:color w:val="auto"/>
                      <w:szCs w:val="21"/>
                      <w:lang w:val="en-US" w:eastAsia="zh-CN"/>
                    </w:rPr>
                    <w:t>-4</w:t>
                  </w:r>
                </w:p>
              </w:tc>
              <w:tc>
                <w:tcPr>
                  <w:tcW w:w="1470" w:type="pct"/>
                  <w:noWrap w:val="0"/>
                  <w:vAlign w:val="center"/>
                </w:tcPr>
                <w:p w14:paraId="4205F5E9">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bCs/>
                      <w:color w:val="auto"/>
                      <w:kern w:val="2"/>
                      <w:sz w:val="21"/>
                      <w:szCs w:val="21"/>
                      <w:lang w:val="en-US" w:eastAsia="zh-CN" w:bidi="ar-SA"/>
                    </w:rPr>
                    <w:t>烘干废气</w:t>
                  </w:r>
                </w:p>
              </w:tc>
              <w:tc>
                <w:tcPr>
                  <w:tcW w:w="2424" w:type="pct"/>
                  <w:noWrap w:val="0"/>
                  <w:vAlign w:val="center"/>
                </w:tcPr>
                <w:p w14:paraId="1C389541">
                  <w:pPr>
                    <w:jc w:val="center"/>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烘干</w:t>
                  </w:r>
                </w:p>
              </w:tc>
            </w:tr>
            <w:tr w14:paraId="1954B8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78CDBB59">
                  <w:pPr>
                    <w:jc w:val="center"/>
                    <w:rPr>
                      <w:rFonts w:hint="default" w:ascii="Times New Roman" w:hAnsi="Times New Roman" w:eastAsia="宋体" w:cs="Times New Roman"/>
                      <w:color w:val="auto"/>
                      <w:szCs w:val="21"/>
                    </w:rPr>
                  </w:pPr>
                </w:p>
              </w:tc>
              <w:tc>
                <w:tcPr>
                  <w:tcW w:w="544" w:type="pct"/>
                  <w:noWrap w:val="0"/>
                  <w:vAlign w:val="center"/>
                </w:tcPr>
                <w:p w14:paraId="3A237933">
                  <w:pPr>
                    <w:jc w:val="center"/>
                    <w:rPr>
                      <w:rFonts w:hint="default" w:ascii="Times New Roman" w:hAnsi="Times New Roman" w:eastAsia="宋体" w:cs="Times New Roman"/>
                      <w:bCs/>
                      <w:color w:val="auto"/>
                      <w:szCs w:val="21"/>
                      <w:lang w:val="en-US"/>
                    </w:rPr>
                  </w:pPr>
                  <w:r>
                    <w:rPr>
                      <w:rFonts w:hint="default" w:ascii="Times New Roman" w:hAnsi="Times New Roman" w:eastAsia="宋体" w:cs="Times New Roman"/>
                      <w:bCs/>
                      <w:color w:val="auto"/>
                      <w:szCs w:val="21"/>
                    </w:rPr>
                    <w:t>G1</w:t>
                  </w:r>
                  <w:r>
                    <w:rPr>
                      <w:rFonts w:hint="eastAsia" w:ascii="Times New Roman" w:hAnsi="Times New Roman" w:eastAsia="宋体" w:cs="Times New Roman"/>
                      <w:bCs/>
                      <w:color w:val="auto"/>
                      <w:szCs w:val="21"/>
                      <w:lang w:val="en-US" w:eastAsia="zh-CN"/>
                    </w:rPr>
                    <w:t>-5</w:t>
                  </w:r>
                </w:p>
              </w:tc>
              <w:tc>
                <w:tcPr>
                  <w:tcW w:w="1470" w:type="pct"/>
                  <w:noWrap w:val="0"/>
                  <w:vAlign w:val="center"/>
                </w:tcPr>
                <w:p w14:paraId="491D81F7">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测试废气</w:t>
                  </w:r>
                </w:p>
              </w:tc>
              <w:tc>
                <w:tcPr>
                  <w:tcW w:w="2424" w:type="pct"/>
                  <w:noWrap w:val="0"/>
                  <w:vAlign w:val="center"/>
                </w:tcPr>
                <w:p w14:paraId="1AF7DF1F">
                  <w:pPr>
                    <w:jc w:val="center"/>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检验</w:t>
                  </w:r>
                </w:p>
              </w:tc>
            </w:tr>
            <w:tr w14:paraId="25BFFD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1F1055A6">
                  <w:pPr>
                    <w:jc w:val="center"/>
                    <w:rPr>
                      <w:rFonts w:hint="default" w:ascii="Times New Roman" w:hAnsi="Times New Roman" w:eastAsia="宋体" w:cs="Times New Roman"/>
                      <w:color w:val="auto"/>
                      <w:szCs w:val="21"/>
                    </w:rPr>
                  </w:pPr>
                </w:p>
              </w:tc>
              <w:tc>
                <w:tcPr>
                  <w:tcW w:w="544" w:type="pct"/>
                  <w:noWrap w:val="0"/>
                  <w:vAlign w:val="center"/>
                </w:tcPr>
                <w:p w14:paraId="4EE8F337">
                  <w:pPr>
                    <w:jc w:val="center"/>
                    <w:rPr>
                      <w:rFonts w:hint="default" w:ascii="Times New Roman" w:hAnsi="Times New Roman" w:eastAsia="宋体" w:cs="Times New Roman"/>
                      <w:bCs/>
                      <w:color w:val="auto"/>
                      <w:szCs w:val="21"/>
                      <w:lang w:val="en-US"/>
                    </w:rPr>
                  </w:pPr>
                  <w:r>
                    <w:rPr>
                      <w:rFonts w:hint="default" w:ascii="Times New Roman" w:hAnsi="Times New Roman" w:eastAsia="宋体" w:cs="Times New Roman"/>
                      <w:bCs/>
                      <w:color w:val="auto"/>
                      <w:szCs w:val="21"/>
                    </w:rPr>
                    <w:t>G1</w:t>
                  </w:r>
                  <w:r>
                    <w:rPr>
                      <w:rFonts w:hint="eastAsia" w:ascii="Times New Roman" w:hAnsi="Times New Roman" w:eastAsia="宋体" w:cs="Times New Roman"/>
                      <w:bCs/>
                      <w:color w:val="auto"/>
                      <w:szCs w:val="21"/>
                      <w:lang w:val="en-US" w:eastAsia="zh-CN"/>
                    </w:rPr>
                    <w:t>-6</w:t>
                  </w:r>
                </w:p>
              </w:tc>
              <w:tc>
                <w:tcPr>
                  <w:tcW w:w="1470" w:type="pct"/>
                  <w:noWrap w:val="0"/>
                  <w:vAlign w:val="center"/>
                </w:tcPr>
                <w:p w14:paraId="14B09828">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破碎粉尘</w:t>
                  </w:r>
                </w:p>
              </w:tc>
              <w:tc>
                <w:tcPr>
                  <w:tcW w:w="2424" w:type="pct"/>
                  <w:noWrap w:val="0"/>
                  <w:vAlign w:val="center"/>
                </w:tcPr>
                <w:p w14:paraId="63C8A858">
                  <w:pPr>
                    <w:jc w:val="center"/>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破碎</w:t>
                  </w:r>
                </w:p>
              </w:tc>
            </w:tr>
            <w:tr w14:paraId="545B96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575F7FE9">
                  <w:pPr>
                    <w:jc w:val="center"/>
                    <w:rPr>
                      <w:rFonts w:hint="default" w:ascii="Times New Roman" w:hAnsi="Times New Roman" w:eastAsia="宋体" w:cs="Times New Roman"/>
                      <w:color w:val="auto"/>
                      <w:szCs w:val="21"/>
                    </w:rPr>
                  </w:pPr>
                </w:p>
              </w:tc>
              <w:tc>
                <w:tcPr>
                  <w:tcW w:w="544" w:type="pct"/>
                  <w:noWrap w:val="0"/>
                  <w:vAlign w:val="center"/>
                </w:tcPr>
                <w:p w14:paraId="663F63F8">
                  <w:pPr>
                    <w:jc w:val="center"/>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G2-1</w:t>
                  </w:r>
                </w:p>
              </w:tc>
              <w:tc>
                <w:tcPr>
                  <w:tcW w:w="1470" w:type="pct"/>
                  <w:noWrap w:val="0"/>
                  <w:vAlign w:val="center"/>
                </w:tcPr>
                <w:p w14:paraId="0002C1DA">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挤出废气</w:t>
                  </w:r>
                </w:p>
              </w:tc>
              <w:tc>
                <w:tcPr>
                  <w:tcW w:w="2424" w:type="pct"/>
                  <w:noWrap w:val="0"/>
                  <w:vAlign w:val="center"/>
                </w:tcPr>
                <w:p w14:paraId="6FB49F90">
                  <w:pPr>
                    <w:jc w:val="center"/>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挤出成型</w:t>
                  </w:r>
                </w:p>
              </w:tc>
            </w:tr>
            <w:tr w14:paraId="65487F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3FB718FA">
                  <w:pPr>
                    <w:jc w:val="center"/>
                    <w:rPr>
                      <w:rFonts w:hint="default" w:ascii="Times New Roman" w:hAnsi="Times New Roman" w:eastAsia="宋体" w:cs="Times New Roman"/>
                      <w:color w:val="auto"/>
                      <w:szCs w:val="21"/>
                    </w:rPr>
                  </w:pPr>
                </w:p>
              </w:tc>
              <w:tc>
                <w:tcPr>
                  <w:tcW w:w="544" w:type="pct"/>
                  <w:noWrap w:val="0"/>
                  <w:vAlign w:val="center"/>
                </w:tcPr>
                <w:p w14:paraId="0BD612B3">
                  <w:pPr>
                    <w:jc w:val="center"/>
                    <w:rPr>
                      <w:rFonts w:hint="default" w:ascii="Times New Roman" w:hAnsi="Times New Roman" w:eastAsia="宋体" w:cs="Times New Roman"/>
                      <w:bCs/>
                      <w:color w:val="auto"/>
                      <w:szCs w:val="21"/>
                      <w:lang w:val="en-US"/>
                    </w:rPr>
                  </w:pPr>
                  <w:r>
                    <w:rPr>
                      <w:rFonts w:hint="eastAsia" w:ascii="Times New Roman" w:hAnsi="Times New Roman" w:eastAsia="宋体" w:cs="Times New Roman"/>
                      <w:bCs/>
                      <w:color w:val="auto"/>
                      <w:szCs w:val="21"/>
                      <w:lang w:val="en-US" w:eastAsia="zh-CN"/>
                    </w:rPr>
                    <w:t>G2-2</w:t>
                  </w:r>
                </w:p>
              </w:tc>
              <w:tc>
                <w:tcPr>
                  <w:tcW w:w="1470" w:type="pct"/>
                  <w:noWrap w:val="0"/>
                  <w:vAlign w:val="center"/>
                </w:tcPr>
                <w:p w14:paraId="7B311652">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破碎粉尘</w:t>
                  </w:r>
                </w:p>
              </w:tc>
              <w:tc>
                <w:tcPr>
                  <w:tcW w:w="2424" w:type="pct"/>
                  <w:noWrap w:val="0"/>
                  <w:vAlign w:val="center"/>
                </w:tcPr>
                <w:p w14:paraId="4BB33EC0">
                  <w:pPr>
                    <w:jc w:val="center"/>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kern w:val="2"/>
                      <w:sz w:val="21"/>
                      <w:szCs w:val="21"/>
                      <w:lang w:val="en-US" w:eastAsia="zh-CN" w:bidi="ar-SA"/>
                    </w:rPr>
                    <w:t>破碎</w:t>
                  </w:r>
                </w:p>
              </w:tc>
            </w:tr>
            <w:tr w14:paraId="61A714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restart"/>
                  <w:noWrap w:val="0"/>
                  <w:vAlign w:val="center"/>
                </w:tcPr>
                <w:p w14:paraId="24C3DDDE">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固废</w:t>
                  </w:r>
                </w:p>
              </w:tc>
              <w:tc>
                <w:tcPr>
                  <w:tcW w:w="544" w:type="pct"/>
                  <w:noWrap w:val="0"/>
                  <w:vAlign w:val="center"/>
                </w:tcPr>
                <w:p w14:paraId="397D69B1">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rPr>
                    <w:t>S1</w:t>
                  </w:r>
                  <w:r>
                    <w:rPr>
                      <w:rFonts w:hint="eastAsia" w:ascii="Times New Roman" w:hAnsi="Times New Roman" w:eastAsia="宋体" w:cs="Times New Roman"/>
                      <w:color w:val="auto"/>
                      <w:szCs w:val="21"/>
                      <w:lang w:val="en-US" w:eastAsia="zh-CN"/>
                    </w:rPr>
                    <w:t>-1</w:t>
                  </w:r>
                </w:p>
              </w:tc>
              <w:tc>
                <w:tcPr>
                  <w:tcW w:w="1470" w:type="pct"/>
                  <w:noWrap w:val="0"/>
                  <w:vAlign w:val="center"/>
                </w:tcPr>
                <w:p w14:paraId="49EF8106">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废包装袋</w:t>
                  </w:r>
                </w:p>
              </w:tc>
              <w:tc>
                <w:tcPr>
                  <w:tcW w:w="2424" w:type="pct"/>
                  <w:noWrap w:val="0"/>
                  <w:vAlign w:val="center"/>
                </w:tcPr>
                <w:p w14:paraId="2E48E2B8">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称量配料</w:t>
                  </w:r>
                </w:p>
              </w:tc>
            </w:tr>
            <w:tr w14:paraId="576E4B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43430E59">
                  <w:pPr>
                    <w:jc w:val="center"/>
                    <w:rPr>
                      <w:rFonts w:hint="default" w:ascii="Times New Roman" w:hAnsi="Times New Roman" w:eastAsia="宋体" w:cs="Times New Roman"/>
                      <w:color w:val="auto"/>
                      <w:szCs w:val="21"/>
                    </w:rPr>
                  </w:pPr>
                </w:p>
              </w:tc>
              <w:tc>
                <w:tcPr>
                  <w:tcW w:w="544" w:type="pct"/>
                  <w:noWrap w:val="0"/>
                  <w:vAlign w:val="center"/>
                </w:tcPr>
                <w:p w14:paraId="7B01B4D7">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S1</w:t>
                  </w:r>
                  <w:r>
                    <w:rPr>
                      <w:rFonts w:hint="eastAsia" w:ascii="Times New Roman" w:hAnsi="Times New Roman" w:eastAsia="宋体" w:cs="Times New Roman"/>
                      <w:color w:val="auto"/>
                      <w:szCs w:val="21"/>
                      <w:lang w:val="en-US" w:eastAsia="zh-CN"/>
                    </w:rPr>
                    <w:t>-</w:t>
                  </w:r>
                  <w:r>
                    <w:rPr>
                      <w:rFonts w:hint="default" w:ascii="Times New Roman" w:hAnsi="Times New Roman" w:eastAsia="宋体" w:cs="Times New Roman"/>
                      <w:color w:val="auto"/>
                      <w:szCs w:val="21"/>
                    </w:rPr>
                    <w:t>2</w:t>
                  </w:r>
                </w:p>
              </w:tc>
              <w:tc>
                <w:tcPr>
                  <w:tcW w:w="1470" w:type="pct"/>
                  <w:noWrap w:val="0"/>
                  <w:vAlign w:val="center"/>
                </w:tcPr>
                <w:p w14:paraId="5D1C7526">
                  <w:pPr>
                    <w:jc w:val="center"/>
                    <w:rPr>
                      <w:rFonts w:hint="eastAsia"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color w:val="auto"/>
                      <w:sz w:val="21"/>
                      <w:szCs w:val="21"/>
                    </w:rPr>
                    <w:t>废</w:t>
                  </w:r>
                  <w:r>
                    <w:rPr>
                      <w:rFonts w:hint="eastAsia" w:ascii="Times New Roman" w:hAnsi="Times New Roman" w:eastAsia="宋体" w:cs="Times New Roman"/>
                      <w:color w:val="auto"/>
                      <w:sz w:val="21"/>
                      <w:szCs w:val="21"/>
                      <w:lang w:val="en-US" w:eastAsia="zh-CN"/>
                    </w:rPr>
                    <w:t>边角料</w:t>
                  </w:r>
                </w:p>
              </w:tc>
              <w:tc>
                <w:tcPr>
                  <w:tcW w:w="2424" w:type="pct"/>
                  <w:noWrap w:val="0"/>
                  <w:vAlign w:val="center"/>
                </w:tcPr>
                <w:p w14:paraId="797C0F3A">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挤出造粒</w:t>
                  </w:r>
                </w:p>
              </w:tc>
            </w:tr>
            <w:tr w14:paraId="17BB98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22552495">
                  <w:pPr>
                    <w:jc w:val="center"/>
                    <w:rPr>
                      <w:rFonts w:hint="default" w:ascii="Times New Roman" w:hAnsi="Times New Roman" w:eastAsia="宋体" w:cs="Times New Roman"/>
                      <w:color w:val="auto"/>
                      <w:szCs w:val="21"/>
                    </w:rPr>
                  </w:pPr>
                </w:p>
              </w:tc>
              <w:tc>
                <w:tcPr>
                  <w:tcW w:w="544" w:type="pct"/>
                  <w:noWrap w:val="0"/>
                  <w:vAlign w:val="center"/>
                </w:tcPr>
                <w:p w14:paraId="48EF9090">
                  <w:pPr>
                    <w:jc w:val="center"/>
                    <w:rPr>
                      <w:rFonts w:hint="eastAsia" w:ascii="Times New Roman" w:hAnsi="Times New Roman" w:eastAsia="宋体" w:cs="Times New Roman"/>
                      <w:color w:val="auto"/>
                      <w:szCs w:val="21"/>
                      <w:lang w:eastAsia="zh-CN"/>
                    </w:rPr>
                  </w:pPr>
                  <w:r>
                    <w:rPr>
                      <w:rFonts w:hint="default" w:ascii="Times New Roman" w:hAnsi="Times New Roman" w:eastAsia="宋体" w:cs="Times New Roman"/>
                      <w:color w:val="auto"/>
                      <w:szCs w:val="21"/>
                    </w:rPr>
                    <w:t>S1</w:t>
                  </w:r>
                  <w:r>
                    <w:rPr>
                      <w:rFonts w:hint="eastAsia" w:ascii="Times New Roman" w:hAnsi="Times New Roman" w:eastAsia="宋体" w:cs="Times New Roman"/>
                      <w:color w:val="auto"/>
                      <w:szCs w:val="21"/>
                      <w:lang w:val="en-US" w:eastAsia="zh-CN"/>
                    </w:rPr>
                    <w:t>-3</w:t>
                  </w:r>
                </w:p>
              </w:tc>
              <w:tc>
                <w:tcPr>
                  <w:tcW w:w="1470" w:type="pct"/>
                  <w:noWrap w:val="0"/>
                  <w:vAlign w:val="center"/>
                </w:tcPr>
                <w:p w14:paraId="7AFCCA04">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废</w:t>
                  </w:r>
                  <w:r>
                    <w:rPr>
                      <w:rFonts w:hint="eastAsia" w:ascii="Times New Roman" w:hAnsi="Times New Roman" w:eastAsia="宋体" w:cs="Times New Roman"/>
                      <w:color w:val="auto"/>
                      <w:sz w:val="21"/>
                      <w:szCs w:val="21"/>
                      <w:lang w:val="en-US" w:eastAsia="zh-CN"/>
                    </w:rPr>
                    <w:t>边角料</w:t>
                  </w:r>
                </w:p>
              </w:tc>
              <w:tc>
                <w:tcPr>
                  <w:tcW w:w="2424" w:type="pct"/>
                  <w:noWrap w:val="0"/>
                  <w:vAlign w:val="center"/>
                </w:tcPr>
                <w:p w14:paraId="0671F0A0">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切粒、筛分</w:t>
                  </w:r>
                </w:p>
              </w:tc>
            </w:tr>
            <w:tr w14:paraId="442BC7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26F7EF00">
                  <w:pPr>
                    <w:jc w:val="center"/>
                    <w:rPr>
                      <w:rFonts w:hint="default" w:ascii="Times New Roman" w:hAnsi="Times New Roman" w:eastAsia="宋体" w:cs="Times New Roman"/>
                      <w:color w:val="auto"/>
                      <w:szCs w:val="21"/>
                    </w:rPr>
                  </w:pPr>
                </w:p>
              </w:tc>
              <w:tc>
                <w:tcPr>
                  <w:tcW w:w="544" w:type="pct"/>
                  <w:noWrap w:val="0"/>
                  <w:vAlign w:val="center"/>
                </w:tcPr>
                <w:p w14:paraId="111BB99F">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rPr>
                    <w:t>S1</w:t>
                  </w:r>
                  <w:r>
                    <w:rPr>
                      <w:rFonts w:hint="eastAsia" w:ascii="Times New Roman" w:hAnsi="Times New Roman" w:eastAsia="宋体" w:cs="Times New Roman"/>
                      <w:color w:val="auto"/>
                      <w:szCs w:val="21"/>
                      <w:lang w:val="en-US" w:eastAsia="zh-CN"/>
                    </w:rPr>
                    <w:t>-4</w:t>
                  </w:r>
                </w:p>
              </w:tc>
              <w:tc>
                <w:tcPr>
                  <w:tcW w:w="1470" w:type="pct"/>
                  <w:noWrap w:val="0"/>
                  <w:vAlign w:val="center"/>
                </w:tcPr>
                <w:p w14:paraId="0BCB4899">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不合格品</w:t>
                  </w:r>
                </w:p>
              </w:tc>
              <w:tc>
                <w:tcPr>
                  <w:tcW w:w="2424" w:type="pct"/>
                  <w:noWrap w:val="0"/>
                  <w:vAlign w:val="center"/>
                </w:tcPr>
                <w:p w14:paraId="44F2BE57">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检验</w:t>
                  </w:r>
                </w:p>
              </w:tc>
            </w:tr>
            <w:tr w14:paraId="06422A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13583A93">
                  <w:pPr>
                    <w:jc w:val="center"/>
                    <w:rPr>
                      <w:rFonts w:hint="default" w:ascii="Times New Roman" w:hAnsi="Times New Roman" w:eastAsia="宋体" w:cs="Times New Roman"/>
                      <w:color w:val="auto"/>
                      <w:szCs w:val="21"/>
                    </w:rPr>
                  </w:pPr>
                </w:p>
              </w:tc>
              <w:tc>
                <w:tcPr>
                  <w:tcW w:w="544" w:type="pct"/>
                  <w:shd w:val="clear" w:color="auto" w:fill="auto"/>
                  <w:noWrap w:val="0"/>
                  <w:vAlign w:val="center"/>
                </w:tcPr>
                <w:p w14:paraId="363C9351">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S</w:t>
                  </w:r>
                  <w:r>
                    <w:rPr>
                      <w:rFonts w:hint="eastAsia" w:ascii="Times New Roman" w:hAnsi="Times New Roman" w:eastAsia="宋体" w:cs="Times New Roman"/>
                      <w:color w:val="auto"/>
                      <w:szCs w:val="21"/>
                      <w:lang w:val="en-US" w:eastAsia="zh-CN"/>
                    </w:rPr>
                    <w:t>2-1</w:t>
                  </w:r>
                </w:p>
              </w:tc>
              <w:tc>
                <w:tcPr>
                  <w:tcW w:w="1470" w:type="pct"/>
                  <w:noWrap w:val="0"/>
                  <w:vAlign w:val="center"/>
                </w:tcPr>
                <w:p w14:paraId="5318F823">
                  <w:pPr>
                    <w:jc w:val="center"/>
                    <w:rPr>
                      <w:rFonts w:hint="eastAsia"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color w:val="auto"/>
                      <w:sz w:val="21"/>
                      <w:szCs w:val="21"/>
                    </w:rPr>
                    <w:t>废</w:t>
                  </w:r>
                  <w:r>
                    <w:rPr>
                      <w:rFonts w:hint="eastAsia" w:ascii="Times New Roman" w:hAnsi="Times New Roman" w:eastAsia="宋体" w:cs="Times New Roman"/>
                      <w:color w:val="auto"/>
                      <w:sz w:val="21"/>
                      <w:szCs w:val="21"/>
                      <w:lang w:val="en-US" w:eastAsia="zh-CN"/>
                    </w:rPr>
                    <w:t>包装袋</w:t>
                  </w:r>
                </w:p>
              </w:tc>
              <w:tc>
                <w:tcPr>
                  <w:tcW w:w="2424" w:type="pct"/>
                  <w:noWrap w:val="0"/>
                  <w:vAlign w:val="center"/>
                </w:tcPr>
                <w:p w14:paraId="09C8D643">
                  <w:pPr>
                    <w:jc w:val="center"/>
                    <w:rPr>
                      <w:rFonts w:hint="eastAsia"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投料</w:t>
                  </w:r>
                </w:p>
              </w:tc>
            </w:tr>
            <w:tr w14:paraId="7E48D7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29A9B3B3">
                  <w:pPr>
                    <w:jc w:val="center"/>
                    <w:rPr>
                      <w:rFonts w:hint="default" w:ascii="Times New Roman" w:hAnsi="Times New Roman" w:eastAsia="宋体" w:cs="Times New Roman"/>
                      <w:color w:val="auto"/>
                      <w:szCs w:val="21"/>
                    </w:rPr>
                  </w:pPr>
                </w:p>
              </w:tc>
              <w:tc>
                <w:tcPr>
                  <w:tcW w:w="544" w:type="pct"/>
                  <w:shd w:val="clear" w:color="auto" w:fill="auto"/>
                  <w:noWrap w:val="0"/>
                  <w:vAlign w:val="center"/>
                </w:tcPr>
                <w:p w14:paraId="70F1F006">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S</w:t>
                  </w:r>
                  <w:r>
                    <w:rPr>
                      <w:rFonts w:hint="eastAsia" w:ascii="Times New Roman" w:hAnsi="Times New Roman" w:eastAsia="宋体" w:cs="Times New Roman"/>
                      <w:color w:val="auto"/>
                      <w:szCs w:val="21"/>
                      <w:lang w:val="en-US" w:eastAsia="zh-CN"/>
                    </w:rPr>
                    <w:t>2-</w:t>
                  </w:r>
                  <w:r>
                    <w:rPr>
                      <w:rFonts w:hint="default" w:ascii="Times New Roman" w:hAnsi="Times New Roman" w:eastAsia="宋体" w:cs="Times New Roman"/>
                      <w:color w:val="auto"/>
                      <w:szCs w:val="21"/>
                    </w:rPr>
                    <w:t>2</w:t>
                  </w:r>
                </w:p>
              </w:tc>
              <w:tc>
                <w:tcPr>
                  <w:tcW w:w="1470" w:type="pct"/>
                  <w:noWrap w:val="0"/>
                  <w:vAlign w:val="center"/>
                </w:tcPr>
                <w:p w14:paraId="7B073254">
                  <w:pPr>
                    <w:jc w:val="center"/>
                    <w:rPr>
                      <w:rFonts w:hint="default" w:ascii="Times New Roman" w:hAnsi="Times New Roman" w:eastAsia="宋体" w:cs="Times New Roman"/>
                      <w:color w:val="auto"/>
                      <w:sz w:val="21"/>
                      <w:szCs w:val="21"/>
                    </w:rPr>
                  </w:pPr>
                  <w:r>
                    <w:rPr>
                      <w:rFonts w:hint="eastAsia"/>
                      <w:color w:val="auto"/>
                      <w:lang w:val="en-US" w:eastAsia="zh-CN"/>
                    </w:rPr>
                    <w:t>废边角料</w:t>
                  </w:r>
                </w:p>
              </w:tc>
              <w:tc>
                <w:tcPr>
                  <w:tcW w:w="2424" w:type="pct"/>
                  <w:noWrap w:val="0"/>
                  <w:vAlign w:val="center"/>
                </w:tcPr>
                <w:p w14:paraId="6541A140">
                  <w:pPr>
                    <w:jc w:val="center"/>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挤出成型</w:t>
                  </w:r>
                </w:p>
              </w:tc>
            </w:tr>
            <w:tr w14:paraId="3A01EC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vMerge w:val="continue"/>
                  <w:noWrap w:val="0"/>
                  <w:vAlign w:val="center"/>
                </w:tcPr>
                <w:p w14:paraId="30A7CD21">
                  <w:pPr>
                    <w:jc w:val="center"/>
                    <w:rPr>
                      <w:rFonts w:hint="default" w:ascii="Times New Roman" w:hAnsi="Times New Roman" w:eastAsia="宋体" w:cs="Times New Roman"/>
                      <w:color w:val="auto"/>
                      <w:szCs w:val="21"/>
                    </w:rPr>
                  </w:pPr>
                </w:p>
              </w:tc>
              <w:tc>
                <w:tcPr>
                  <w:tcW w:w="544" w:type="pct"/>
                  <w:shd w:val="clear" w:color="auto" w:fill="auto"/>
                  <w:noWrap w:val="0"/>
                  <w:vAlign w:val="center"/>
                </w:tcPr>
                <w:p w14:paraId="243CFB6B">
                  <w:pPr>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S</w:t>
                  </w:r>
                  <w:r>
                    <w:rPr>
                      <w:rFonts w:hint="eastAsia" w:ascii="Times New Roman" w:hAnsi="Times New Roman" w:eastAsia="宋体" w:cs="Times New Roman"/>
                      <w:color w:val="auto"/>
                      <w:szCs w:val="21"/>
                      <w:lang w:val="en-US" w:eastAsia="zh-CN"/>
                    </w:rPr>
                    <w:t>2-3</w:t>
                  </w:r>
                </w:p>
              </w:tc>
              <w:tc>
                <w:tcPr>
                  <w:tcW w:w="1470" w:type="pct"/>
                  <w:noWrap w:val="0"/>
                  <w:vAlign w:val="center"/>
                </w:tcPr>
                <w:p w14:paraId="5F270923">
                  <w:pPr>
                    <w:jc w:val="center"/>
                    <w:rPr>
                      <w:rFonts w:hint="default"/>
                      <w:color w:val="auto"/>
                      <w:lang w:val="en-US" w:eastAsia="zh-CN"/>
                    </w:rPr>
                  </w:pPr>
                  <w:r>
                    <w:rPr>
                      <w:rFonts w:hint="eastAsia"/>
                      <w:color w:val="auto"/>
                      <w:lang w:val="en-US" w:eastAsia="zh-CN"/>
                    </w:rPr>
                    <w:t>不合格品</w:t>
                  </w:r>
                </w:p>
              </w:tc>
              <w:tc>
                <w:tcPr>
                  <w:tcW w:w="2424" w:type="pct"/>
                  <w:noWrap w:val="0"/>
                  <w:vAlign w:val="center"/>
                </w:tcPr>
                <w:p w14:paraId="06D76B29">
                  <w:pPr>
                    <w:jc w:val="center"/>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检验</w:t>
                  </w:r>
                </w:p>
              </w:tc>
            </w:tr>
            <w:tr w14:paraId="436D4D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61" w:type="pct"/>
                  <w:noWrap w:val="0"/>
                  <w:vAlign w:val="center"/>
                </w:tcPr>
                <w:p w14:paraId="4F5B46E4">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噪声</w:t>
                  </w:r>
                </w:p>
              </w:tc>
              <w:tc>
                <w:tcPr>
                  <w:tcW w:w="544" w:type="pct"/>
                  <w:noWrap w:val="0"/>
                  <w:vAlign w:val="center"/>
                </w:tcPr>
                <w:p w14:paraId="48454EAA">
                  <w:pPr>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N</w:t>
                  </w:r>
                </w:p>
              </w:tc>
              <w:tc>
                <w:tcPr>
                  <w:tcW w:w="1470" w:type="pct"/>
                  <w:noWrap w:val="0"/>
                  <w:vAlign w:val="center"/>
                </w:tcPr>
                <w:p w14:paraId="018733B6">
                  <w:pPr>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噪声</w:t>
                  </w:r>
                </w:p>
              </w:tc>
              <w:tc>
                <w:tcPr>
                  <w:tcW w:w="2424" w:type="pct"/>
                  <w:noWrap w:val="0"/>
                  <w:vAlign w:val="center"/>
                </w:tcPr>
                <w:p w14:paraId="4A7DA2B2">
                  <w:pPr>
                    <w:jc w:val="center"/>
                    <w:rPr>
                      <w:rFonts w:hint="default" w:ascii="Times New Roman" w:hAnsi="Times New Roman" w:eastAsia="宋体" w:cs="Times New Roman"/>
                      <w:bCs/>
                      <w:color w:val="auto"/>
                      <w:szCs w:val="21"/>
                      <w:lang w:val="en-US"/>
                    </w:rPr>
                  </w:pPr>
                  <w:r>
                    <w:rPr>
                      <w:rFonts w:hint="eastAsia" w:ascii="Times New Roman" w:hAnsi="Times New Roman" w:eastAsia="宋体" w:cs="Times New Roman"/>
                      <w:bCs/>
                      <w:color w:val="auto"/>
                      <w:szCs w:val="21"/>
                      <w:lang w:val="en-US" w:eastAsia="zh-CN"/>
                    </w:rPr>
                    <w:t>投料混合、挤出造粒、挤出成型等等</w:t>
                  </w:r>
                </w:p>
              </w:tc>
            </w:tr>
          </w:tbl>
          <w:p w14:paraId="4B3C7CE1">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4AA17E36">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73E3E86D">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09B6F191">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0A2E050F">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1C308943">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4D035421">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23E269A3">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66D9C63A">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15206BDF">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5DF1E80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2B9CCA94">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p>
          <w:p w14:paraId="7D5F2EE7">
            <w:pPr>
              <w:pStyle w:val="3"/>
              <w:numPr>
                <w:ilvl w:val="0"/>
                <w:numId w:val="0"/>
              </w:numPr>
              <w:spacing w:line="360" w:lineRule="auto"/>
              <w:rPr>
                <w:rFonts w:hint="default" w:ascii="Times New Roman" w:hAnsi="Times New Roman" w:eastAsia="宋体" w:cs="Times New Roman"/>
                <w:b/>
                <w:bCs/>
                <w:color w:val="auto"/>
                <w:kern w:val="0"/>
                <w:szCs w:val="21"/>
              </w:rPr>
            </w:pPr>
          </w:p>
        </w:tc>
      </w:tr>
      <w:tr w14:paraId="149CD68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819" w:hRule="atLeast"/>
          <w:jc w:val="center"/>
        </w:trPr>
        <w:tc>
          <w:tcPr>
            <w:tcW w:w="550" w:type="dxa"/>
            <w:noWrap w:val="0"/>
            <w:tcMar>
              <w:top w:w="0" w:type="dxa"/>
              <w:left w:w="0" w:type="dxa"/>
              <w:bottom w:w="0" w:type="dxa"/>
              <w:right w:w="0" w:type="dxa"/>
            </w:tcMar>
            <w:vAlign w:val="center"/>
          </w:tcPr>
          <w:p w14:paraId="58D69587">
            <w:pPr>
              <w:pStyle w:val="25"/>
              <w:adjustRightInd w:val="0"/>
              <w:snapToGrid w:val="0"/>
              <w:spacing w:before="0" w:beforeAutospacing="0" w:after="0" w:afterAutospacing="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rPr>
              <w:t>与项目有关的原有环境污染问题</w:t>
            </w:r>
          </w:p>
        </w:tc>
        <w:tc>
          <w:tcPr>
            <w:tcW w:w="8510" w:type="dxa"/>
            <w:noWrap w:val="0"/>
            <w:vAlign w:val="top"/>
          </w:tcPr>
          <w:p w14:paraId="1BEC3B14">
            <w:pPr>
              <w:adjustRightInd w:val="0"/>
              <w:snapToGrid w:val="0"/>
              <w:spacing w:before="120" w:beforeLines="50" w:line="360" w:lineRule="auto"/>
              <w:ind w:firstLine="422" w:firstLineChars="200"/>
              <w:rPr>
                <w:rFonts w:hint="default" w:ascii="Times New Roman" w:hAnsi="Times New Roman" w:eastAsia="宋体" w:cs="Times New Roman"/>
                <w:b/>
                <w:bCs/>
                <w:color w:val="auto"/>
                <w:szCs w:val="21"/>
              </w:rPr>
            </w:pPr>
            <w:r>
              <w:rPr>
                <w:rFonts w:hint="default" w:ascii="Times New Roman" w:hAnsi="Times New Roman" w:eastAsia="宋体" w:cs="Times New Roman"/>
                <w:b/>
                <w:color w:val="auto"/>
                <w:szCs w:val="21"/>
                <w:lang w:val="en-US" w:eastAsia="zh-CN"/>
              </w:rPr>
              <w:t>一</w:t>
            </w:r>
            <w:r>
              <w:rPr>
                <w:rFonts w:hint="default" w:ascii="Times New Roman" w:hAnsi="Times New Roman" w:eastAsia="宋体" w:cs="Times New Roman"/>
                <w:b/>
                <w:color w:val="auto"/>
                <w:szCs w:val="21"/>
              </w:rPr>
              <w:t>、建设单位原项目简介：</w:t>
            </w:r>
          </w:p>
          <w:p w14:paraId="0883D472">
            <w:pPr>
              <w:spacing w:line="360" w:lineRule="auto"/>
              <w:ind w:firstLine="420" w:firstLineChars="200"/>
              <w:rPr>
                <w:rFonts w:hint="default" w:ascii="Times New Roman" w:hAnsi="Times New Roman" w:eastAsia="宋体" w:cs="Times New Roman"/>
                <w:bCs/>
                <w:color w:val="auto"/>
                <w:szCs w:val="21"/>
              </w:rPr>
            </w:pPr>
            <w:r>
              <w:rPr>
                <w:rFonts w:hint="eastAsia" w:ascii="Times New Roman" w:hAnsi="Times New Roman" w:eastAsia="宋体" w:cs="Times New Roman"/>
                <w:color w:val="auto"/>
                <w:szCs w:val="21"/>
                <w:lang w:eastAsia="zh-CN"/>
              </w:rPr>
              <w:t>常州和瑞新材料科技有限公司</w:t>
            </w:r>
            <w:r>
              <w:rPr>
                <w:rFonts w:hint="default" w:ascii="Times New Roman" w:hAnsi="Times New Roman" w:eastAsia="宋体" w:cs="Times New Roman"/>
                <w:color w:val="auto"/>
                <w:szCs w:val="21"/>
              </w:rPr>
              <w:t>成立于</w:t>
            </w:r>
            <w:r>
              <w:rPr>
                <w:rFonts w:hint="eastAsia" w:ascii="Times New Roman" w:hAnsi="Times New Roman" w:eastAsia="宋体" w:cs="Times New Roman"/>
                <w:color w:val="auto"/>
                <w:szCs w:val="21"/>
                <w:lang w:eastAsia="zh-CN"/>
              </w:rPr>
              <w:t>2021年12月4日</w:t>
            </w:r>
            <w:r>
              <w:rPr>
                <w:rFonts w:hint="default" w:ascii="Times New Roman" w:hAnsi="Times New Roman" w:eastAsia="宋体" w:cs="Times New Roman"/>
                <w:color w:val="auto"/>
                <w:szCs w:val="21"/>
              </w:rPr>
              <w:t>，</w:t>
            </w:r>
            <w:r>
              <w:rPr>
                <w:rFonts w:hint="default" w:ascii="Times New Roman" w:hAnsi="Times New Roman" w:eastAsia="宋体" w:cs="Times New Roman"/>
                <w:color w:val="auto"/>
                <w:sz w:val="21"/>
                <w:szCs w:val="21"/>
                <w:lang w:val="en-US" w:eastAsia="zh-CN"/>
              </w:rPr>
              <w:t>于2021年投</w:t>
            </w:r>
            <w:r>
              <w:rPr>
                <w:rFonts w:hint="eastAsia" w:ascii="Times New Roman" w:hAnsi="Times New Roman" w:eastAsia="宋体" w:cs="Times New Roman"/>
                <w:color w:val="auto"/>
                <w:sz w:val="21"/>
                <w:szCs w:val="21"/>
                <w:lang w:val="en-US" w:eastAsia="zh-CN"/>
              </w:rPr>
              <w:t>500</w:t>
            </w:r>
            <w:r>
              <w:rPr>
                <w:rFonts w:hint="default" w:ascii="Times New Roman" w:hAnsi="Times New Roman" w:eastAsia="宋体" w:cs="Times New Roman"/>
                <w:color w:val="auto"/>
                <w:sz w:val="21"/>
                <w:szCs w:val="21"/>
                <w:lang w:val="en-US" w:eastAsia="zh-CN"/>
              </w:rPr>
              <w:t>万元，租赁</w:t>
            </w:r>
            <w:r>
              <w:rPr>
                <w:rFonts w:hint="eastAsia" w:ascii="Times New Roman" w:hAnsi="Times New Roman" w:eastAsia="宋体" w:cs="Times New Roman"/>
                <w:color w:val="auto"/>
                <w:sz w:val="21"/>
                <w:szCs w:val="21"/>
                <w:lang w:val="en-US" w:eastAsia="zh-CN"/>
              </w:rPr>
              <w:t>金博通众创园8幢闲置厂房</w:t>
            </w:r>
            <w:r>
              <w:rPr>
                <w:rFonts w:hint="default" w:ascii="Times New Roman" w:hAnsi="Times New Roman" w:eastAsia="宋体" w:cs="Times New Roman"/>
                <w:color w:val="auto"/>
                <w:sz w:val="21"/>
                <w:szCs w:val="21"/>
              </w:rPr>
              <w:t>建设</w:t>
            </w:r>
            <w:r>
              <w:rPr>
                <w:rFonts w:hint="default" w:ascii="Times New Roman" w:hAnsi="Times New Roman" w:eastAsia="宋体" w:cs="Times New Roman"/>
                <w:color w:val="auto"/>
                <w:sz w:val="21"/>
                <w:szCs w:val="21"/>
                <w:lang w:eastAsia="zh-CN"/>
              </w:rPr>
              <w:t>“</w:t>
            </w:r>
            <w:r>
              <w:rPr>
                <w:rFonts w:eastAsia="宋体"/>
                <w:b w:val="0"/>
                <w:bCs/>
                <w:color w:val="auto"/>
              </w:rPr>
              <w:t>新建热塑性弹性体及制品项目</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Cs w:val="21"/>
              </w:rPr>
              <w:t>202</w:t>
            </w:r>
            <w:r>
              <w:rPr>
                <w:rFonts w:hint="eastAsia" w:ascii="Times New Roman" w:hAnsi="Times New Roman" w:eastAsia="宋体" w:cs="Times New Roman"/>
                <w:color w:val="auto"/>
                <w:szCs w:val="21"/>
                <w:lang w:val="en-US" w:eastAsia="zh-CN"/>
              </w:rPr>
              <w:t>1</w:t>
            </w:r>
            <w:r>
              <w:rPr>
                <w:rFonts w:hint="default" w:ascii="Times New Roman" w:hAnsi="Times New Roman" w:eastAsia="宋体" w:cs="Times New Roman"/>
                <w:color w:val="auto"/>
                <w:szCs w:val="21"/>
              </w:rPr>
              <w:t>年</w:t>
            </w:r>
            <w:r>
              <w:rPr>
                <w:rFonts w:hint="eastAsia" w:ascii="Times New Roman" w:hAnsi="Times New Roman" w:eastAsia="宋体" w:cs="Times New Roman"/>
                <w:color w:val="auto"/>
                <w:szCs w:val="21"/>
                <w:lang w:val="en-US" w:eastAsia="zh-CN"/>
              </w:rPr>
              <w:t>7</w:t>
            </w:r>
            <w:r>
              <w:rPr>
                <w:rFonts w:hint="default" w:ascii="Times New Roman" w:hAnsi="Times New Roman" w:eastAsia="宋体" w:cs="Times New Roman"/>
                <w:color w:val="auto"/>
                <w:szCs w:val="21"/>
              </w:rPr>
              <w:t>月</w:t>
            </w:r>
            <w:r>
              <w:rPr>
                <w:rFonts w:hint="default" w:ascii="Times New Roman" w:hAnsi="Times New Roman" w:eastAsia="宋体" w:cs="Times New Roman"/>
                <w:color w:val="auto"/>
                <w:szCs w:val="21"/>
                <w:lang w:val="en-US" w:eastAsia="zh-CN"/>
              </w:rPr>
              <w:t>编制了《</w:t>
            </w:r>
            <w:r>
              <w:rPr>
                <w:rFonts w:hint="eastAsia" w:ascii="Times New Roman" w:hAnsi="Times New Roman" w:eastAsia="宋体" w:cs="Times New Roman"/>
                <w:color w:val="auto"/>
                <w:sz w:val="21"/>
                <w:szCs w:val="21"/>
                <w:lang w:eastAsia="zh-CN"/>
              </w:rPr>
              <w:t>常州和瑞新材料科技有限公司</w:t>
            </w:r>
            <w:r>
              <w:rPr>
                <w:rFonts w:eastAsia="宋体"/>
                <w:b w:val="0"/>
                <w:bCs/>
                <w:color w:val="auto"/>
              </w:rPr>
              <w:t>新建热塑性弹性体及制品项目</w:t>
            </w:r>
            <w:r>
              <w:rPr>
                <w:rFonts w:hint="default" w:ascii="Times New Roman" w:hAnsi="Times New Roman" w:eastAsia="宋体" w:cs="Times New Roman"/>
                <w:color w:val="auto"/>
                <w:szCs w:val="21"/>
                <w:lang w:val="en-US" w:eastAsia="zh-CN"/>
              </w:rPr>
              <w:t>环境影响报告表》</w:t>
            </w:r>
            <w:r>
              <w:rPr>
                <w:rFonts w:hint="default" w:ascii="Times New Roman" w:hAnsi="Times New Roman" w:eastAsia="宋体" w:cs="Times New Roman"/>
                <w:color w:val="auto"/>
                <w:sz w:val="21"/>
                <w:szCs w:val="21"/>
                <w:lang w:val="en-US" w:eastAsia="zh-CN"/>
              </w:rPr>
              <w:t>于202</w:t>
            </w:r>
            <w:r>
              <w:rPr>
                <w:rFonts w:hint="eastAsia"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lang w:val="en-US" w:eastAsia="zh-CN"/>
              </w:rPr>
              <w:t>年</w:t>
            </w:r>
            <w:r>
              <w:rPr>
                <w:rFonts w:hint="eastAsia" w:ascii="Times New Roman" w:hAnsi="Times New Roman" w:eastAsia="宋体" w:cs="Times New Roman"/>
                <w:color w:val="auto"/>
                <w:sz w:val="21"/>
                <w:szCs w:val="21"/>
                <w:lang w:val="en-US" w:eastAsia="zh-CN"/>
              </w:rPr>
              <w:t>9</w:t>
            </w:r>
            <w:r>
              <w:rPr>
                <w:rFonts w:hint="default" w:ascii="Times New Roman" w:hAnsi="Times New Roman" w:eastAsia="宋体" w:cs="Times New Roman"/>
                <w:color w:val="auto"/>
                <w:sz w:val="21"/>
                <w:szCs w:val="21"/>
                <w:lang w:val="en-US" w:eastAsia="zh-CN"/>
              </w:rPr>
              <w:t>月</w:t>
            </w:r>
            <w:r>
              <w:rPr>
                <w:rFonts w:hint="eastAsia" w:ascii="Times New Roman" w:hAnsi="Times New Roman" w:eastAsia="宋体" w:cs="Times New Roman"/>
                <w:color w:val="auto"/>
                <w:sz w:val="21"/>
                <w:szCs w:val="21"/>
                <w:lang w:val="en-US" w:eastAsia="zh-CN"/>
              </w:rPr>
              <w:t>26</w:t>
            </w:r>
            <w:r>
              <w:rPr>
                <w:rFonts w:hint="default" w:ascii="Times New Roman" w:hAnsi="Times New Roman" w:eastAsia="宋体" w:cs="Times New Roman"/>
                <w:color w:val="auto"/>
                <w:sz w:val="21"/>
                <w:szCs w:val="21"/>
                <w:lang w:val="en-US" w:eastAsia="zh-CN"/>
              </w:rPr>
              <w:t>日经</w:t>
            </w:r>
            <w:r>
              <w:rPr>
                <w:rFonts w:hint="default" w:ascii="Times New Roman" w:hAnsi="Times New Roman" w:eastAsia="宋体" w:cs="Times New Roman"/>
                <w:color w:val="auto"/>
                <w:sz w:val="21"/>
                <w:szCs w:val="21"/>
              </w:rPr>
              <w:t>常州市生态环境局审批通过（</w:t>
            </w:r>
            <w:r>
              <w:rPr>
                <w:rFonts w:hint="default" w:ascii="Times New Roman" w:hAnsi="Times New Roman" w:eastAsia="宋体" w:cs="Times New Roman"/>
                <w:color w:val="auto"/>
                <w:sz w:val="21"/>
                <w:szCs w:val="21"/>
                <w:lang w:val="en-US" w:eastAsia="zh-CN"/>
              </w:rPr>
              <w:t>批文号：常金环审</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2021</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146号</w:t>
            </w:r>
            <w:r>
              <w:rPr>
                <w:rFonts w:hint="default" w:ascii="Times New Roman" w:hAnsi="Times New Roman" w:eastAsia="宋体" w:cs="Times New Roman"/>
                <w:color w:val="auto"/>
                <w:sz w:val="21"/>
                <w:szCs w:val="21"/>
              </w:rPr>
              <w:t>）</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项目建成后全厂年生产</w:t>
            </w:r>
            <w:r>
              <w:rPr>
                <w:rFonts w:hint="default" w:ascii="Times New Roman" w:hAnsi="Times New Roman" w:eastAsia="宋体" w:cs="Times New Roman"/>
                <w:color w:val="auto"/>
                <w:sz w:val="21"/>
                <w:szCs w:val="21"/>
                <w:lang w:val="en-US" w:eastAsia="zh-CN" w:bidi="ar-SA"/>
              </w:rPr>
              <w:t>热塑性弹性体颗粒</w:t>
            </w:r>
            <w:r>
              <w:rPr>
                <w:rFonts w:hint="eastAsia" w:ascii="Times New Roman" w:hAnsi="Times New Roman" w:eastAsia="宋体" w:cs="Times New Roman"/>
                <w:color w:val="auto"/>
                <w:sz w:val="21"/>
                <w:szCs w:val="21"/>
                <w:lang w:val="en-US" w:eastAsia="zh-CN" w:bidi="ar-SA"/>
              </w:rPr>
              <w:t>2000t、汽车密封件30t</w:t>
            </w:r>
            <w:r>
              <w:rPr>
                <w:rFonts w:hint="default" w:ascii="Times New Roman" w:hAnsi="Times New Roman" w:eastAsia="宋体" w:cs="Times New Roman"/>
                <w:bCs/>
                <w:color w:val="auto"/>
                <w:szCs w:val="21"/>
              </w:rPr>
              <w:t>。</w:t>
            </w:r>
            <w:r>
              <w:rPr>
                <w:rFonts w:hint="default" w:ascii="Times New Roman" w:hAnsi="Times New Roman" w:eastAsia="宋体" w:cs="Times New Roman"/>
                <w:color w:val="auto"/>
                <w:sz w:val="21"/>
                <w:szCs w:val="21"/>
                <w:lang w:val="en-US" w:eastAsia="zh-CN"/>
              </w:rPr>
              <w:t>该项目于202</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eastAsia="zh-CN"/>
              </w:rPr>
              <w:t>年</w:t>
            </w: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lang w:eastAsia="zh-CN"/>
              </w:rPr>
              <w:t>月</w:t>
            </w:r>
            <w:r>
              <w:rPr>
                <w:rFonts w:hint="eastAsia"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lang w:val="en-US" w:eastAsia="zh-CN"/>
              </w:rPr>
              <w:t>日完成自主验收，年生产</w:t>
            </w:r>
            <w:r>
              <w:rPr>
                <w:rFonts w:hint="default" w:ascii="Times New Roman" w:hAnsi="Times New Roman" w:eastAsia="宋体" w:cs="Times New Roman"/>
                <w:color w:val="auto"/>
                <w:sz w:val="21"/>
                <w:szCs w:val="21"/>
                <w:lang w:val="en-US" w:eastAsia="zh-CN" w:bidi="ar-SA"/>
              </w:rPr>
              <w:t>热塑性弹性体颗粒</w:t>
            </w:r>
            <w:r>
              <w:rPr>
                <w:rFonts w:hint="eastAsia" w:ascii="Times New Roman" w:hAnsi="Times New Roman" w:eastAsia="宋体" w:cs="Times New Roman"/>
                <w:color w:val="auto"/>
                <w:sz w:val="21"/>
                <w:szCs w:val="21"/>
                <w:lang w:val="en-US" w:eastAsia="zh-CN" w:bidi="ar-SA"/>
              </w:rPr>
              <w:t>2000t、汽车密封件30t</w:t>
            </w:r>
            <w:r>
              <w:rPr>
                <w:rFonts w:hint="default" w:ascii="Times New Roman" w:hAnsi="Times New Roman" w:eastAsia="宋体" w:cs="Times New Roman"/>
                <w:bCs/>
                <w:color w:val="auto"/>
                <w:szCs w:val="21"/>
              </w:rPr>
              <w:t>。</w:t>
            </w:r>
          </w:p>
          <w:p w14:paraId="20C36278">
            <w:pPr>
              <w:spacing w:line="360" w:lineRule="auto"/>
              <w:ind w:firstLine="420" w:firstLineChars="200"/>
              <w:rPr>
                <w:rFonts w:hint="default" w:ascii="Times New Roman" w:hAnsi="Times New Roman" w:eastAsia="宋体" w:cs="Times New Roman"/>
                <w:bCs/>
                <w:color w:val="auto"/>
                <w:szCs w:val="21"/>
                <w:lang w:eastAsia="zh-CN"/>
              </w:rPr>
            </w:pPr>
            <w:r>
              <w:rPr>
                <w:rFonts w:hint="default" w:ascii="Times New Roman" w:hAnsi="Times New Roman" w:eastAsia="宋体" w:cs="Times New Roman"/>
                <w:color w:val="auto"/>
                <w:lang w:val="en-US" w:eastAsia="zh-CN"/>
              </w:rPr>
              <w:t>建设单位</w:t>
            </w:r>
            <w:r>
              <w:rPr>
                <w:rFonts w:hint="default" w:ascii="Times New Roman" w:hAnsi="Times New Roman" w:eastAsia="宋体" w:cs="Times New Roman"/>
                <w:color w:val="auto"/>
                <w:sz w:val="21"/>
                <w:szCs w:val="21"/>
              </w:rPr>
              <w:t>历次环保审批情况</w:t>
            </w:r>
            <w:r>
              <w:rPr>
                <w:rFonts w:hint="default" w:ascii="Times New Roman" w:hAnsi="Times New Roman" w:eastAsia="宋体" w:cs="Times New Roman"/>
                <w:color w:val="auto"/>
                <w:sz w:val="21"/>
                <w:szCs w:val="21"/>
                <w:lang w:eastAsia="zh-CN"/>
              </w:rPr>
              <w:t>：</w:t>
            </w:r>
          </w:p>
          <w:p w14:paraId="5F5E3BB5">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Cs w:val="21"/>
              </w:rPr>
            </w:pPr>
            <w:r>
              <w:rPr>
                <w:rFonts w:hint="default" w:ascii="Times New Roman" w:hAnsi="Times New Roman" w:eastAsia="宋体" w:cs="Times New Roman"/>
                <w:b/>
                <w:color w:val="auto"/>
                <w:szCs w:val="21"/>
              </w:rPr>
              <w:t>表2-</w:t>
            </w:r>
            <w:r>
              <w:rPr>
                <w:rFonts w:hint="eastAsia" w:ascii="Times New Roman" w:hAnsi="Times New Roman" w:eastAsia="宋体" w:cs="Times New Roman"/>
                <w:b/>
                <w:color w:val="auto"/>
                <w:szCs w:val="21"/>
                <w:lang w:val="en-US" w:eastAsia="zh-CN"/>
              </w:rPr>
              <w:t>7</w:t>
            </w:r>
            <w:r>
              <w:rPr>
                <w:rFonts w:hint="default" w:ascii="Times New Roman" w:hAnsi="Times New Roman" w:eastAsia="宋体" w:cs="Times New Roman"/>
                <w:b/>
                <w:color w:val="auto"/>
                <w:szCs w:val="21"/>
              </w:rPr>
              <w:t xml:space="preserve"> 建设单位历次环保审批情况一览表</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48"/>
              <w:gridCol w:w="1101"/>
              <w:gridCol w:w="1511"/>
              <w:gridCol w:w="2020"/>
              <w:gridCol w:w="1524"/>
              <w:gridCol w:w="1687"/>
            </w:tblGrid>
            <w:tr w14:paraId="76623F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0" w:type="pct"/>
                  <w:vMerge w:val="restart"/>
                  <w:noWrap w:val="0"/>
                  <w:tcMar>
                    <w:top w:w="0" w:type="dxa"/>
                    <w:left w:w="0" w:type="dxa"/>
                    <w:bottom w:w="0" w:type="dxa"/>
                    <w:right w:w="0" w:type="dxa"/>
                  </w:tcMar>
                  <w:vAlign w:val="center"/>
                </w:tcPr>
                <w:p w14:paraId="28AB9B3A">
                  <w:pPr>
                    <w:spacing w:line="240" w:lineRule="auto"/>
                    <w:ind w:left="0" w:leftChars="0" w:firstLine="0" w:firstLineChars="0"/>
                    <w:jc w:val="center"/>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序号</w:t>
                  </w:r>
                </w:p>
              </w:tc>
              <w:tc>
                <w:tcPr>
                  <w:tcW w:w="664" w:type="pct"/>
                  <w:vMerge w:val="restart"/>
                  <w:noWrap w:val="0"/>
                  <w:tcMar>
                    <w:top w:w="0" w:type="dxa"/>
                    <w:left w:w="0" w:type="dxa"/>
                    <w:bottom w:w="0" w:type="dxa"/>
                    <w:right w:w="0" w:type="dxa"/>
                  </w:tcMar>
                  <w:vAlign w:val="center"/>
                </w:tcPr>
                <w:p w14:paraId="5337C3F8">
                  <w:pPr>
                    <w:spacing w:line="240" w:lineRule="auto"/>
                    <w:ind w:left="0" w:leftChars="0" w:firstLine="0" w:firstLineChars="0"/>
                    <w:jc w:val="center"/>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项目名称</w:t>
                  </w:r>
                </w:p>
              </w:tc>
              <w:tc>
                <w:tcPr>
                  <w:tcW w:w="911" w:type="pct"/>
                  <w:vMerge w:val="restart"/>
                  <w:noWrap w:val="0"/>
                  <w:tcMar>
                    <w:top w:w="0" w:type="dxa"/>
                    <w:left w:w="0" w:type="dxa"/>
                    <w:bottom w:w="0" w:type="dxa"/>
                    <w:right w:w="0" w:type="dxa"/>
                  </w:tcMar>
                  <w:vAlign w:val="center"/>
                </w:tcPr>
                <w:p w14:paraId="64C9D9ED">
                  <w:pPr>
                    <w:spacing w:line="240" w:lineRule="auto"/>
                    <w:ind w:left="0" w:leftChars="0" w:firstLine="0" w:firstLineChars="0"/>
                    <w:jc w:val="center"/>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建设内容</w:t>
                  </w:r>
                </w:p>
              </w:tc>
              <w:tc>
                <w:tcPr>
                  <w:tcW w:w="1218" w:type="pct"/>
                  <w:vMerge w:val="restart"/>
                  <w:noWrap w:val="0"/>
                  <w:tcMar>
                    <w:top w:w="0" w:type="dxa"/>
                    <w:left w:w="0" w:type="dxa"/>
                    <w:bottom w:w="0" w:type="dxa"/>
                    <w:right w:w="0" w:type="dxa"/>
                  </w:tcMar>
                  <w:vAlign w:val="center"/>
                </w:tcPr>
                <w:p w14:paraId="3EC81D37">
                  <w:pPr>
                    <w:spacing w:line="240" w:lineRule="auto"/>
                    <w:ind w:left="0" w:leftChars="0" w:firstLine="0" w:firstLineChars="0"/>
                    <w:jc w:val="center"/>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环保批复情况</w:t>
                  </w:r>
                </w:p>
              </w:tc>
              <w:tc>
                <w:tcPr>
                  <w:tcW w:w="1934" w:type="pct"/>
                  <w:gridSpan w:val="2"/>
                  <w:noWrap w:val="0"/>
                  <w:tcMar>
                    <w:top w:w="0" w:type="dxa"/>
                    <w:left w:w="0" w:type="dxa"/>
                    <w:bottom w:w="0" w:type="dxa"/>
                    <w:right w:w="0" w:type="dxa"/>
                  </w:tcMar>
                  <w:vAlign w:val="center"/>
                </w:tcPr>
                <w:p w14:paraId="246CA55A">
                  <w:pPr>
                    <w:spacing w:line="240" w:lineRule="auto"/>
                    <w:ind w:left="0" w:leftChars="0" w:firstLine="0" w:firstLineChars="0"/>
                    <w:jc w:val="center"/>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“三同时”验收状态</w:t>
                  </w:r>
                </w:p>
              </w:tc>
            </w:tr>
            <w:tr w14:paraId="456C0B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0" w:type="pct"/>
                  <w:vMerge w:val="continue"/>
                  <w:noWrap w:val="0"/>
                  <w:tcMar>
                    <w:top w:w="0" w:type="dxa"/>
                    <w:left w:w="0" w:type="dxa"/>
                    <w:bottom w:w="0" w:type="dxa"/>
                    <w:right w:w="0" w:type="dxa"/>
                  </w:tcMar>
                  <w:vAlign w:val="center"/>
                </w:tcPr>
                <w:p w14:paraId="62194C67">
                  <w:pPr>
                    <w:spacing w:line="240" w:lineRule="auto"/>
                    <w:ind w:left="0" w:leftChars="0" w:firstLine="0" w:firstLineChars="0"/>
                    <w:jc w:val="center"/>
                    <w:rPr>
                      <w:rFonts w:hint="default" w:ascii="Times New Roman" w:hAnsi="Times New Roman" w:eastAsia="宋体" w:cs="Times New Roman"/>
                      <w:b/>
                      <w:bCs w:val="0"/>
                      <w:color w:val="auto"/>
                      <w:sz w:val="21"/>
                      <w:szCs w:val="21"/>
                    </w:rPr>
                  </w:pPr>
                </w:p>
              </w:tc>
              <w:tc>
                <w:tcPr>
                  <w:tcW w:w="664" w:type="pct"/>
                  <w:vMerge w:val="continue"/>
                  <w:noWrap w:val="0"/>
                  <w:tcMar>
                    <w:top w:w="0" w:type="dxa"/>
                    <w:left w:w="0" w:type="dxa"/>
                    <w:bottom w:w="0" w:type="dxa"/>
                    <w:right w:w="0" w:type="dxa"/>
                  </w:tcMar>
                  <w:vAlign w:val="center"/>
                </w:tcPr>
                <w:p w14:paraId="7EADB7E2">
                  <w:pPr>
                    <w:spacing w:line="240" w:lineRule="auto"/>
                    <w:ind w:left="0" w:leftChars="0" w:firstLine="0" w:firstLineChars="0"/>
                    <w:jc w:val="center"/>
                    <w:rPr>
                      <w:rFonts w:hint="default" w:ascii="Times New Roman" w:hAnsi="Times New Roman" w:eastAsia="宋体" w:cs="Times New Roman"/>
                      <w:b/>
                      <w:bCs w:val="0"/>
                      <w:color w:val="auto"/>
                      <w:sz w:val="21"/>
                      <w:szCs w:val="21"/>
                    </w:rPr>
                  </w:pPr>
                </w:p>
              </w:tc>
              <w:tc>
                <w:tcPr>
                  <w:tcW w:w="911" w:type="pct"/>
                  <w:vMerge w:val="continue"/>
                  <w:noWrap w:val="0"/>
                  <w:tcMar>
                    <w:top w:w="0" w:type="dxa"/>
                    <w:left w:w="0" w:type="dxa"/>
                    <w:bottom w:w="0" w:type="dxa"/>
                    <w:right w:w="0" w:type="dxa"/>
                  </w:tcMar>
                  <w:vAlign w:val="center"/>
                </w:tcPr>
                <w:p w14:paraId="2CAB7A2C">
                  <w:pPr>
                    <w:spacing w:line="240" w:lineRule="auto"/>
                    <w:ind w:left="0" w:leftChars="0" w:firstLine="0" w:firstLineChars="0"/>
                    <w:jc w:val="center"/>
                    <w:rPr>
                      <w:rFonts w:hint="default" w:ascii="Times New Roman" w:hAnsi="Times New Roman" w:eastAsia="宋体" w:cs="Times New Roman"/>
                      <w:b/>
                      <w:bCs w:val="0"/>
                      <w:color w:val="auto"/>
                      <w:sz w:val="21"/>
                      <w:szCs w:val="21"/>
                    </w:rPr>
                  </w:pPr>
                </w:p>
              </w:tc>
              <w:tc>
                <w:tcPr>
                  <w:tcW w:w="1218" w:type="pct"/>
                  <w:vMerge w:val="continue"/>
                  <w:noWrap w:val="0"/>
                  <w:tcMar>
                    <w:top w:w="0" w:type="dxa"/>
                    <w:left w:w="0" w:type="dxa"/>
                    <w:bottom w:w="0" w:type="dxa"/>
                    <w:right w:w="0" w:type="dxa"/>
                  </w:tcMar>
                  <w:vAlign w:val="center"/>
                </w:tcPr>
                <w:p w14:paraId="60DDF09A">
                  <w:pPr>
                    <w:spacing w:line="240" w:lineRule="auto"/>
                    <w:ind w:left="0" w:leftChars="0" w:firstLine="0" w:firstLineChars="0"/>
                    <w:jc w:val="center"/>
                    <w:rPr>
                      <w:rFonts w:hint="default" w:ascii="Times New Roman" w:hAnsi="Times New Roman" w:eastAsia="宋体" w:cs="Times New Roman"/>
                      <w:b/>
                      <w:bCs w:val="0"/>
                      <w:color w:val="auto"/>
                      <w:sz w:val="21"/>
                      <w:szCs w:val="21"/>
                    </w:rPr>
                  </w:pPr>
                </w:p>
              </w:tc>
              <w:tc>
                <w:tcPr>
                  <w:tcW w:w="919" w:type="pct"/>
                  <w:noWrap w:val="0"/>
                  <w:tcMar>
                    <w:top w:w="0" w:type="dxa"/>
                    <w:left w:w="0" w:type="dxa"/>
                    <w:bottom w:w="0" w:type="dxa"/>
                    <w:right w:w="0" w:type="dxa"/>
                  </w:tcMar>
                  <w:vAlign w:val="center"/>
                </w:tcPr>
                <w:p w14:paraId="7EB9FE7B">
                  <w:pPr>
                    <w:spacing w:line="240" w:lineRule="auto"/>
                    <w:ind w:left="0" w:leftChars="0" w:firstLine="0" w:firstLineChars="0"/>
                    <w:jc w:val="center"/>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建设情况</w:t>
                  </w:r>
                </w:p>
              </w:tc>
              <w:tc>
                <w:tcPr>
                  <w:tcW w:w="1015" w:type="pct"/>
                  <w:noWrap w:val="0"/>
                  <w:tcMar>
                    <w:top w:w="0" w:type="dxa"/>
                    <w:left w:w="0" w:type="dxa"/>
                    <w:bottom w:w="0" w:type="dxa"/>
                    <w:right w:w="0" w:type="dxa"/>
                  </w:tcMar>
                  <w:vAlign w:val="center"/>
                </w:tcPr>
                <w:p w14:paraId="33F07E90">
                  <w:pPr>
                    <w:spacing w:line="240" w:lineRule="auto"/>
                    <w:ind w:left="0" w:leftChars="0" w:firstLine="0" w:firstLineChars="0"/>
                    <w:jc w:val="center"/>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验收情况</w:t>
                  </w:r>
                </w:p>
              </w:tc>
            </w:tr>
            <w:tr w14:paraId="628263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47" w:hRule="atLeast"/>
                <w:jc w:val="center"/>
              </w:trPr>
              <w:tc>
                <w:tcPr>
                  <w:tcW w:w="270" w:type="pct"/>
                  <w:noWrap w:val="0"/>
                  <w:tcMar>
                    <w:top w:w="0" w:type="dxa"/>
                    <w:left w:w="0" w:type="dxa"/>
                    <w:bottom w:w="0" w:type="dxa"/>
                    <w:right w:w="0" w:type="dxa"/>
                  </w:tcMar>
                  <w:vAlign w:val="center"/>
                </w:tcPr>
                <w:p w14:paraId="1DC4DEEF">
                  <w:pPr>
                    <w:spacing w:line="240" w:lineRule="auto"/>
                    <w:ind w:left="0" w:leftChars="0" w:firstLine="0" w:firstLineChars="0"/>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1</w:t>
                  </w:r>
                </w:p>
              </w:tc>
              <w:tc>
                <w:tcPr>
                  <w:tcW w:w="664" w:type="pct"/>
                  <w:noWrap w:val="0"/>
                  <w:tcMar>
                    <w:top w:w="0" w:type="dxa"/>
                    <w:left w:w="0" w:type="dxa"/>
                    <w:bottom w:w="0" w:type="dxa"/>
                    <w:right w:w="0" w:type="dxa"/>
                  </w:tcMar>
                  <w:vAlign w:val="center"/>
                </w:tcPr>
                <w:p w14:paraId="3FEB4398">
                  <w:pPr>
                    <w:spacing w:line="240" w:lineRule="auto"/>
                    <w:ind w:left="0" w:leftChars="0" w:firstLine="0" w:firstLineChars="0"/>
                    <w:jc w:val="center"/>
                    <w:rPr>
                      <w:rFonts w:hint="default" w:ascii="Times New Roman" w:hAnsi="Times New Roman" w:eastAsia="宋体" w:cs="Times New Roman"/>
                      <w:bCs/>
                      <w:color w:val="auto"/>
                      <w:sz w:val="21"/>
                      <w:szCs w:val="21"/>
                      <w:lang w:val="en-US" w:eastAsia="zh-CN"/>
                    </w:rPr>
                  </w:pPr>
                  <w:r>
                    <w:rPr>
                      <w:rFonts w:eastAsia="宋体"/>
                      <w:b w:val="0"/>
                      <w:bCs/>
                      <w:color w:val="auto"/>
                    </w:rPr>
                    <w:t>新建热塑性弹性体及制品项目</w:t>
                  </w:r>
                </w:p>
              </w:tc>
              <w:tc>
                <w:tcPr>
                  <w:tcW w:w="911" w:type="pct"/>
                  <w:noWrap w:val="0"/>
                  <w:tcMar>
                    <w:top w:w="0" w:type="dxa"/>
                    <w:left w:w="0" w:type="dxa"/>
                    <w:bottom w:w="0" w:type="dxa"/>
                    <w:right w:w="0" w:type="dxa"/>
                  </w:tcMar>
                  <w:vAlign w:val="center"/>
                </w:tcPr>
                <w:p w14:paraId="6A67828D">
                  <w:pPr>
                    <w:spacing w:line="240" w:lineRule="auto"/>
                    <w:ind w:left="0" w:leftChars="0" w:firstLine="0" w:firstLineChars="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color w:val="auto"/>
                      <w:sz w:val="21"/>
                      <w:szCs w:val="21"/>
                      <w:lang w:val="en-US" w:eastAsia="zh-CN"/>
                    </w:rPr>
                    <w:t>年生产</w:t>
                  </w:r>
                  <w:r>
                    <w:rPr>
                      <w:rFonts w:hint="default" w:ascii="Times New Roman" w:hAnsi="Times New Roman" w:eastAsia="宋体" w:cs="Times New Roman"/>
                      <w:color w:val="auto"/>
                      <w:sz w:val="21"/>
                      <w:szCs w:val="21"/>
                      <w:lang w:val="en-US" w:eastAsia="zh-CN" w:bidi="ar-SA"/>
                    </w:rPr>
                    <w:t>热塑性弹性体颗粒</w:t>
                  </w:r>
                  <w:r>
                    <w:rPr>
                      <w:rFonts w:hint="eastAsia" w:ascii="Times New Roman" w:hAnsi="Times New Roman" w:eastAsia="宋体" w:cs="Times New Roman"/>
                      <w:color w:val="auto"/>
                      <w:sz w:val="21"/>
                      <w:szCs w:val="21"/>
                      <w:lang w:val="en-US" w:eastAsia="zh-CN" w:bidi="ar-SA"/>
                    </w:rPr>
                    <w:t>2000t、汽车密封件30t</w:t>
                  </w:r>
                </w:p>
              </w:tc>
              <w:tc>
                <w:tcPr>
                  <w:tcW w:w="1218" w:type="pct"/>
                  <w:noWrap w:val="0"/>
                  <w:tcMar>
                    <w:top w:w="0" w:type="dxa"/>
                    <w:left w:w="0" w:type="dxa"/>
                    <w:bottom w:w="0" w:type="dxa"/>
                    <w:right w:w="0" w:type="dxa"/>
                  </w:tcMar>
                  <w:vAlign w:val="center"/>
                </w:tcPr>
                <w:p w14:paraId="6E355879">
                  <w:pPr>
                    <w:spacing w:line="240" w:lineRule="auto"/>
                    <w:ind w:left="0" w:leftChars="0" w:firstLine="0" w:firstLineChars="0"/>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color w:val="auto"/>
                      <w:sz w:val="21"/>
                      <w:szCs w:val="21"/>
                      <w:lang w:val="en-US" w:eastAsia="zh-CN"/>
                    </w:rPr>
                    <w:t>202</w:t>
                  </w:r>
                  <w:r>
                    <w:rPr>
                      <w:rFonts w:hint="eastAsia"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lang w:val="en-US" w:eastAsia="zh-CN"/>
                    </w:rPr>
                    <w:t>年</w:t>
                  </w:r>
                  <w:r>
                    <w:rPr>
                      <w:rFonts w:hint="eastAsia" w:ascii="Times New Roman" w:hAnsi="Times New Roman" w:eastAsia="宋体" w:cs="Times New Roman"/>
                      <w:color w:val="auto"/>
                      <w:sz w:val="21"/>
                      <w:szCs w:val="21"/>
                      <w:lang w:val="en-US" w:eastAsia="zh-CN"/>
                    </w:rPr>
                    <w:t>9</w:t>
                  </w:r>
                  <w:r>
                    <w:rPr>
                      <w:rFonts w:hint="default" w:ascii="Times New Roman" w:hAnsi="Times New Roman" w:eastAsia="宋体" w:cs="Times New Roman"/>
                      <w:color w:val="auto"/>
                      <w:sz w:val="21"/>
                      <w:szCs w:val="21"/>
                      <w:lang w:val="en-US" w:eastAsia="zh-CN"/>
                    </w:rPr>
                    <w:t>月</w:t>
                  </w:r>
                  <w:r>
                    <w:rPr>
                      <w:rFonts w:hint="eastAsia" w:ascii="Times New Roman" w:hAnsi="Times New Roman" w:eastAsia="宋体" w:cs="Times New Roman"/>
                      <w:color w:val="auto"/>
                      <w:sz w:val="21"/>
                      <w:szCs w:val="21"/>
                      <w:lang w:val="en-US" w:eastAsia="zh-CN"/>
                    </w:rPr>
                    <w:t>26</w:t>
                  </w:r>
                  <w:r>
                    <w:rPr>
                      <w:rFonts w:hint="default" w:ascii="Times New Roman" w:hAnsi="Times New Roman" w:eastAsia="宋体" w:cs="Times New Roman"/>
                      <w:color w:val="auto"/>
                      <w:sz w:val="21"/>
                      <w:szCs w:val="21"/>
                      <w:lang w:val="en-US" w:eastAsia="zh-CN"/>
                    </w:rPr>
                    <w:t>日</w:t>
                  </w:r>
                  <w:r>
                    <w:rPr>
                      <w:rFonts w:hint="default" w:ascii="Times New Roman" w:hAnsi="Times New Roman" w:eastAsia="宋体" w:cs="Times New Roman"/>
                      <w:bCs/>
                      <w:color w:val="auto"/>
                      <w:sz w:val="21"/>
                      <w:szCs w:val="21"/>
                      <w:lang w:val="en-US" w:eastAsia="zh-CN"/>
                    </w:rPr>
                    <w:t>通过环保审批，</w:t>
                  </w:r>
                  <w:r>
                    <w:rPr>
                      <w:rFonts w:hint="default" w:ascii="Times New Roman" w:hAnsi="Times New Roman" w:eastAsia="宋体" w:cs="Times New Roman"/>
                      <w:color w:val="auto"/>
                      <w:sz w:val="21"/>
                      <w:szCs w:val="21"/>
                      <w:lang w:val="en-US" w:eastAsia="zh-CN"/>
                    </w:rPr>
                    <w:t>常金环审</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2021</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146号</w:t>
                  </w:r>
                </w:p>
              </w:tc>
              <w:tc>
                <w:tcPr>
                  <w:tcW w:w="919" w:type="pct"/>
                  <w:noWrap w:val="0"/>
                  <w:tcMar>
                    <w:top w:w="0" w:type="dxa"/>
                    <w:left w:w="0" w:type="dxa"/>
                    <w:bottom w:w="0" w:type="dxa"/>
                    <w:right w:w="0" w:type="dxa"/>
                  </w:tcMar>
                  <w:vAlign w:val="center"/>
                </w:tcPr>
                <w:p w14:paraId="508EBC00">
                  <w:pPr>
                    <w:spacing w:line="240" w:lineRule="auto"/>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年生产</w:t>
                  </w:r>
                  <w:r>
                    <w:rPr>
                      <w:rFonts w:hint="default" w:ascii="Times New Roman" w:hAnsi="Times New Roman" w:eastAsia="宋体" w:cs="Times New Roman"/>
                      <w:color w:val="auto"/>
                      <w:sz w:val="21"/>
                      <w:szCs w:val="21"/>
                      <w:lang w:val="en-US" w:eastAsia="zh-CN" w:bidi="ar-SA"/>
                    </w:rPr>
                    <w:t>热塑性弹性体颗粒</w:t>
                  </w:r>
                  <w:r>
                    <w:rPr>
                      <w:rFonts w:hint="eastAsia" w:ascii="Times New Roman" w:hAnsi="Times New Roman" w:eastAsia="宋体" w:cs="Times New Roman"/>
                      <w:color w:val="auto"/>
                      <w:sz w:val="21"/>
                      <w:szCs w:val="21"/>
                      <w:lang w:val="en-US" w:eastAsia="zh-CN" w:bidi="ar-SA"/>
                    </w:rPr>
                    <w:t>2000t、汽车密封件30t</w:t>
                  </w:r>
                </w:p>
              </w:tc>
              <w:tc>
                <w:tcPr>
                  <w:tcW w:w="1015" w:type="pct"/>
                  <w:noWrap w:val="0"/>
                  <w:tcMar>
                    <w:top w:w="0" w:type="dxa"/>
                    <w:left w:w="0" w:type="dxa"/>
                    <w:bottom w:w="0" w:type="dxa"/>
                    <w:right w:w="0" w:type="dxa"/>
                  </w:tcMar>
                  <w:vAlign w:val="center"/>
                </w:tcPr>
                <w:p w14:paraId="505D9A30">
                  <w:pPr>
                    <w:spacing w:line="240" w:lineRule="auto"/>
                    <w:ind w:left="0" w:leftChars="0" w:firstLine="0" w:firstLineChars="0"/>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color w:val="auto"/>
                      <w:sz w:val="21"/>
                      <w:szCs w:val="21"/>
                      <w:lang w:val="en-US" w:eastAsia="zh-CN"/>
                    </w:rPr>
                    <w:t>202</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eastAsia="zh-CN"/>
                    </w:rPr>
                    <w:t>年</w:t>
                  </w: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lang w:eastAsia="zh-CN"/>
                    </w:rPr>
                    <w:t>月</w:t>
                  </w:r>
                  <w:r>
                    <w:rPr>
                      <w:rFonts w:hint="eastAsia"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lang w:val="en-US" w:eastAsia="zh-CN"/>
                    </w:rPr>
                    <w:t>日完成</w:t>
                  </w:r>
                  <w:r>
                    <w:rPr>
                      <w:rFonts w:hint="eastAsia" w:ascii="Times New Roman" w:hAnsi="Times New Roman" w:eastAsia="宋体" w:cs="Times New Roman"/>
                      <w:color w:val="auto"/>
                      <w:sz w:val="21"/>
                      <w:szCs w:val="21"/>
                      <w:lang w:val="en-US" w:eastAsia="zh-CN"/>
                    </w:rPr>
                    <w:t>全厂</w:t>
                  </w:r>
                  <w:r>
                    <w:rPr>
                      <w:rFonts w:hint="default" w:ascii="Times New Roman" w:hAnsi="Times New Roman" w:eastAsia="宋体" w:cs="Times New Roman"/>
                      <w:color w:val="auto"/>
                      <w:sz w:val="21"/>
                      <w:szCs w:val="21"/>
                      <w:lang w:val="en-US" w:eastAsia="zh-CN"/>
                    </w:rPr>
                    <w:t>自主验收</w:t>
                  </w:r>
                </w:p>
              </w:tc>
            </w:tr>
            <w:tr w14:paraId="45362E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0" w:type="pct"/>
                  <w:noWrap w:val="0"/>
                  <w:tcMar>
                    <w:top w:w="0" w:type="dxa"/>
                    <w:left w:w="0" w:type="dxa"/>
                    <w:bottom w:w="0" w:type="dxa"/>
                    <w:right w:w="0" w:type="dxa"/>
                  </w:tcMar>
                  <w:vAlign w:val="center"/>
                </w:tcPr>
                <w:p w14:paraId="4E645107">
                  <w:pPr>
                    <w:spacing w:line="240" w:lineRule="auto"/>
                    <w:ind w:left="0" w:leftChars="0" w:firstLine="0" w:firstLineChars="0"/>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2</w:t>
                  </w:r>
                </w:p>
              </w:tc>
              <w:tc>
                <w:tcPr>
                  <w:tcW w:w="4729" w:type="pct"/>
                  <w:gridSpan w:val="5"/>
                  <w:noWrap w:val="0"/>
                  <w:tcMar>
                    <w:top w:w="0" w:type="dxa"/>
                    <w:left w:w="0" w:type="dxa"/>
                    <w:bottom w:w="0" w:type="dxa"/>
                    <w:right w:w="0" w:type="dxa"/>
                  </w:tcMar>
                  <w:vAlign w:val="center"/>
                </w:tcPr>
                <w:p w14:paraId="1E337055">
                  <w:pPr>
                    <w:spacing w:line="240" w:lineRule="auto"/>
                    <w:ind w:left="0" w:leftChars="0" w:firstLine="0" w:firstLineChars="0"/>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color w:val="auto"/>
                      <w:sz w:val="21"/>
                      <w:szCs w:val="21"/>
                      <w:lang w:val="en-US" w:eastAsia="zh-CN"/>
                    </w:rPr>
                    <w:t>2021年12月28日</w:t>
                  </w:r>
                  <w:r>
                    <w:rPr>
                      <w:rFonts w:hint="eastAsia" w:ascii="Times New Roman" w:hAnsi="Times New Roman" w:eastAsia="宋体" w:cs="Times New Roman"/>
                      <w:color w:val="auto"/>
                      <w:sz w:val="21"/>
                      <w:szCs w:val="21"/>
                      <w:lang w:val="en-US" w:eastAsia="zh-CN"/>
                    </w:rPr>
                    <w:t>登记</w:t>
                  </w:r>
                  <w:r>
                    <w:rPr>
                      <w:rFonts w:hint="default" w:ascii="Times New Roman" w:hAnsi="Times New Roman" w:eastAsia="宋体" w:cs="Times New Roman"/>
                      <w:color w:val="auto"/>
                      <w:sz w:val="21"/>
                      <w:szCs w:val="21"/>
                    </w:rPr>
                    <w:t>排污许可证</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lang w:val="en-US" w:eastAsia="zh-CN"/>
                    </w:rPr>
                    <w:t>证书编号：91320413MA256BF113001Y，2021年12月28日至2026年12月27日</w:t>
                  </w:r>
                  <w:r>
                    <w:rPr>
                      <w:rFonts w:hint="default" w:ascii="Times New Roman" w:hAnsi="Times New Roman" w:eastAsia="宋体" w:cs="Times New Roman"/>
                      <w:color w:val="auto"/>
                      <w:sz w:val="21"/>
                      <w:szCs w:val="21"/>
                      <w:lang w:eastAsia="zh-CN"/>
                    </w:rPr>
                    <w:t>）</w:t>
                  </w:r>
                </w:p>
              </w:tc>
            </w:tr>
            <w:tr w14:paraId="44348E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0" w:type="pct"/>
                  <w:noWrap w:val="0"/>
                  <w:tcMar>
                    <w:top w:w="0" w:type="dxa"/>
                    <w:left w:w="0" w:type="dxa"/>
                    <w:bottom w:w="0" w:type="dxa"/>
                    <w:right w:w="0" w:type="dxa"/>
                  </w:tcMar>
                  <w:vAlign w:val="center"/>
                </w:tcPr>
                <w:p w14:paraId="0AB441E5">
                  <w:pPr>
                    <w:spacing w:line="240" w:lineRule="auto"/>
                    <w:ind w:left="0" w:leftChars="0" w:firstLine="0" w:firstLineChars="0"/>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3</w:t>
                  </w:r>
                </w:p>
              </w:tc>
              <w:tc>
                <w:tcPr>
                  <w:tcW w:w="4729" w:type="pct"/>
                  <w:gridSpan w:val="5"/>
                  <w:noWrap w:val="0"/>
                  <w:tcMar>
                    <w:top w:w="0" w:type="dxa"/>
                    <w:left w:w="0" w:type="dxa"/>
                    <w:bottom w:w="0" w:type="dxa"/>
                    <w:right w:w="0" w:type="dxa"/>
                  </w:tcMar>
                  <w:vAlign w:val="center"/>
                </w:tcPr>
                <w:p w14:paraId="0721ECF9">
                  <w:pPr>
                    <w:spacing w:line="240" w:lineRule="auto"/>
                    <w:ind w:left="0" w:lef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20</w:t>
                  </w:r>
                  <w:r>
                    <w:rPr>
                      <w:rFonts w:hint="eastAsia" w:ascii="Times New Roman" w:hAnsi="Times New Roman" w:eastAsia="宋体" w:cs="Times New Roman"/>
                      <w:color w:val="auto"/>
                      <w:sz w:val="21"/>
                      <w:szCs w:val="21"/>
                      <w:lang w:val="en-US" w:eastAsia="zh-CN"/>
                    </w:rPr>
                    <w:t>22</w:t>
                  </w:r>
                  <w:r>
                    <w:rPr>
                      <w:rFonts w:hint="default" w:ascii="Times New Roman" w:hAnsi="Times New Roman" w:eastAsia="宋体" w:cs="Times New Roman"/>
                      <w:color w:val="auto"/>
                      <w:sz w:val="21"/>
                      <w:szCs w:val="21"/>
                      <w:lang w:val="en-US" w:eastAsia="zh-CN"/>
                    </w:rPr>
                    <w:t>年</w:t>
                  </w:r>
                  <w:r>
                    <w:rPr>
                      <w:rFonts w:hint="eastAsia" w:ascii="Times New Roman" w:hAnsi="Times New Roman" w:eastAsia="宋体" w:cs="Times New Roman"/>
                      <w:color w:val="auto"/>
                      <w:sz w:val="21"/>
                      <w:szCs w:val="21"/>
                      <w:lang w:val="en-US" w:eastAsia="zh-CN"/>
                    </w:rPr>
                    <w:t>4</w:t>
                  </w:r>
                  <w:r>
                    <w:rPr>
                      <w:rFonts w:hint="default" w:ascii="Times New Roman" w:hAnsi="Times New Roman" w:eastAsia="宋体" w:cs="Times New Roman"/>
                      <w:color w:val="auto"/>
                      <w:sz w:val="21"/>
                      <w:szCs w:val="21"/>
                      <w:lang w:val="en-US" w:eastAsia="zh-CN"/>
                    </w:rPr>
                    <w:t>月</w:t>
                  </w:r>
                  <w:r>
                    <w:rPr>
                      <w:rFonts w:hint="eastAsia" w:ascii="Times New Roman" w:hAnsi="Times New Roman" w:eastAsia="宋体" w:cs="Times New Roman"/>
                      <w:color w:val="auto"/>
                      <w:sz w:val="21"/>
                      <w:szCs w:val="21"/>
                      <w:lang w:val="en-US" w:eastAsia="zh-CN"/>
                    </w:rPr>
                    <w:t>22</w:t>
                  </w:r>
                  <w:r>
                    <w:rPr>
                      <w:rFonts w:hint="default" w:ascii="Times New Roman" w:hAnsi="Times New Roman" w:eastAsia="宋体" w:cs="Times New Roman"/>
                      <w:color w:val="auto"/>
                      <w:sz w:val="21"/>
                      <w:szCs w:val="21"/>
                      <w:lang w:val="en-US" w:eastAsia="zh-CN"/>
                    </w:rPr>
                    <w:t>日取得环境应急预案备案表，备案号：320413-202</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089-</w:t>
                  </w:r>
                  <w:r>
                    <w:rPr>
                      <w:rFonts w:hint="default" w:ascii="Times New Roman" w:hAnsi="Times New Roman" w:eastAsia="宋体" w:cs="Times New Roman"/>
                      <w:color w:val="auto"/>
                      <w:sz w:val="21"/>
                      <w:szCs w:val="21"/>
                      <w:lang w:val="en-US" w:eastAsia="zh-CN"/>
                    </w:rPr>
                    <w:t>L</w:t>
                  </w:r>
                </w:p>
              </w:tc>
            </w:tr>
          </w:tbl>
          <w:p w14:paraId="7C57A25E">
            <w:pPr>
              <w:keepNext w:val="0"/>
              <w:keepLines w:val="0"/>
              <w:pageBreakBefore w:val="0"/>
              <w:widowControl/>
              <w:kinsoku/>
              <w:wordWrap/>
              <w:overflowPunct/>
              <w:topLinePunct w:val="0"/>
              <w:autoSpaceDE/>
              <w:autoSpaceDN/>
              <w:bidi w:val="0"/>
              <w:adjustRightInd w:val="0"/>
              <w:snapToGrid w:val="0"/>
              <w:spacing w:before="157" w:beforeLines="50" w:line="360" w:lineRule="auto"/>
              <w:ind w:firstLine="422" w:firstLineChars="200"/>
              <w:jc w:val="both"/>
              <w:textAlignment w:val="auto"/>
              <w:rPr>
                <w:rFonts w:hint="default" w:ascii="Times New Roman" w:hAnsi="Times New Roman" w:eastAsia="宋体" w:cs="Times New Roman"/>
                <w:b/>
                <w:color w:val="auto"/>
                <w:sz w:val="21"/>
                <w:szCs w:val="21"/>
              </w:rPr>
            </w:pPr>
            <w:r>
              <w:rPr>
                <w:rFonts w:hint="eastAsia" w:ascii="Times New Roman" w:hAnsi="Times New Roman" w:eastAsia="宋体" w:cs="Times New Roman"/>
                <w:b/>
                <w:color w:val="auto"/>
                <w:sz w:val="21"/>
                <w:szCs w:val="21"/>
                <w:lang w:val="en-US" w:eastAsia="zh-CN"/>
              </w:rPr>
              <w:t>二</w:t>
            </w:r>
            <w:r>
              <w:rPr>
                <w:rFonts w:hint="default" w:ascii="Times New Roman" w:hAnsi="Times New Roman" w:eastAsia="宋体" w:cs="Times New Roman"/>
                <w:b/>
                <w:color w:val="auto"/>
                <w:sz w:val="21"/>
                <w:szCs w:val="21"/>
                <w:lang w:val="en-US" w:eastAsia="zh-CN"/>
              </w:rPr>
              <w:t>、原项目</w:t>
            </w:r>
            <w:r>
              <w:rPr>
                <w:rFonts w:hint="default" w:ascii="Times New Roman" w:hAnsi="Times New Roman" w:eastAsia="宋体" w:cs="Times New Roman"/>
                <w:b/>
                <w:color w:val="auto"/>
                <w:sz w:val="21"/>
                <w:szCs w:val="21"/>
              </w:rPr>
              <w:t>工程分析</w:t>
            </w:r>
          </w:p>
          <w:p w14:paraId="4EB74ED6">
            <w:pPr>
              <w:keepNext w:val="0"/>
              <w:keepLines w:val="0"/>
              <w:pageBreakBefore w:val="0"/>
              <w:widowControl/>
              <w:kinsoku/>
              <w:wordWrap/>
              <w:overflowPunct/>
              <w:topLinePunct w:val="0"/>
              <w:autoSpaceDE/>
              <w:autoSpaceDN/>
              <w:bidi w:val="0"/>
              <w:adjustRightInd w:val="0"/>
              <w:snapToGrid w:val="0"/>
              <w:spacing w:line="360" w:lineRule="auto"/>
              <w:ind w:firstLine="422" w:firstLineChars="200"/>
              <w:jc w:val="both"/>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lang w:val="en-US" w:eastAsia="zh-CN"/>
              </w:rPr>
              <w:t>1、原项目</w:t>
            </w:r>
            <w:r>
              <w:rPr>
                <w:rFonts w:hint="default" w:ascii="Times New Roman" w:hAnsi="Times New Roman" w:eastAsia="宋体" w:cs="Times New Roman"/>
                <w:b/>
                <w:bCs w:val="0"/>
                <w:color w:val="auto"/>
                <w:sz w:val="21"/>
                <w:szCs w:val="21"/>
              </w:rPr>
              <w:t>生产工艺及产污环节如下图所示：</w:t>
            </w:r>
          </w:p>
          <w:p w14:paraId="6FE698CC">
            <w:pPr>
              <w:keepNext w:val="0"/>
              <w:keepLines w:val="0"/>
              <w:pageBreakBefore w:val="0"/>
              <w:widowControl/>
              <w:kinsoku/>
              <w:wordWrap/>
              <w:overflowPunct/>
              <w:topLinePunct w:val="0"/>
              <w:autoSpaceDE/>
              <w:autoSpaceDN/>
              <w:bidi w:val="0"/>
              <w:adjustRightInd w:val="0"/>
              <w:snapToGrid w:val="0"/>
              <w:spacing w:line="360" w:lineRule="auto"/>
              <w:ind w:firstLine="422" w:firstLineChars="200"/>
              <w:jc w:val="both"/>
              <w:textAlignment w:val="auto"/>
              <w:rPr>
                <w:rFonts w:hint="default" w:ascii="Times New Roman" w:hAnsi="Times New Roman" w:eastAsia="宋体" w:cs="Times New Roman"/>
                <w:bCs/>
                <w:color w:val="auto"/>
                <w:sz w:val="21"/>
                <w:szCs w:val="21"/>
              </w:rPr>
            </w:pPr>
            <w:r>
              <w:rPr>
                <w:rFonts w:hint="eastAsia" w:ascii="Times New Roman" w:hAnsi="Times New Roman" w:eastAsia="宋体" w:cs="Times New Roman"/>
                <w:b/>
                <w:color w:val="auto"/>
                <w:sz w:val="21"/>
                <w:szCs w:val="21"/>
                <w:lang w:eastAsia="zh-CN"/>
              </w:rPr>
              <w:t>（</w:t>
            </w:r>
            <w:r>
              <w:rPr>
                <w:rFonts w:hint="eastAsia" w:ascii="Times New Roman" w:hAnsi="Times New Roman" w:eastAsia="宋体" w:cs="Times New Roman"/>
                <w:b/>
                <w:color w:val="auto"/>
                <w:sz w:val="21"/>
                <w:szCs w:val="21"/>
                <w:lang w:val="en-US" w:eastAsia="zh-CN"/>
              </w:rPr>
              <w:t>1</w:t>
            </w:r>
            <w:r>
              <w:rPr>
                <w:rFonts w:hint="eastAsia" w:ascii="Times New Roman" w:hAnsi="Times New Roman" w:eastAsia="宋体" w:cs="Times New Roman"/>
                <w:b/>
                <w:color w:val="auto"/>
                <w:sz w:val="21"/>
                <w:szCs w:val="21"/>
                <w:lang w:eastAsia="zh-CN"/>
              </w:rPr>
              <w:t>）</w:t>
            </w:r>
            <w:r>
              <w:rPr>
                <w:rFonts w:hint="default" w:ascii="Times New Roman" w:hAnsi="Times New Roman" w:eastAsia="宋体" w:cs="Times New Roman"/>
                <w:b/>
                <w:color w:val="auto"/>
                <w:sz w:val="21"/>
                <w:szCs w:val="21"/>
              </w:rPr>
              <w:t>热塑性弹性体颗粒生产工艺流程</w:t>
            </w:r>
            <w:r>
              <w:rPr>
                <w:rFonts w:hint="default" w:ascii="Times New Roman" w:hAnsi="Times New Roman" w:eastAsia="宋体" w:cs="Times New Roman"/>
                <w:bCs/>
                <w:color w:val="auto"/>
                <w:sz w:val="21"/>
                <w:szCs w:val="21"/>
              </w:rPr>
              <w:t>：</w:t>
            </w:r>
          </w:p>
          <w:p w14:paraId="0032C71B">
            <w:pPr>
              <w:pStyle w:val="2"/>
              <w:keepNext w:val="0"/>
              <w:keepLines w:val="0"/>
              <w:pageBreakBefore w:val="0"/>
              <w:kinsoku/>
              <w:wordWrap/>
              <w:overflowPunct/>
              <w:topLinePunct w:val="0"/>
              <w:autoSpaceDE/>
              <w:autoSpaceDN/>
              <w:bidi w:val="0"/>
              <w:adjustRightInd w:val="0"/>
              <w:snapToGrid w:val="0"/>
              <w:spacing w:after="0" w:line="360" w:lineRule="auto"/>
              <w:ind w:firstLine="420" w:firstLineChars="200"/>
              <w:jc w:val="both"/>
              <w:textAlignment w:val="auto"/>
              <w:rPr>
                <w:rFonts w:ascii="Times New Roman" w:hAnsi="Times New Roman" w:eastAsia="宋体"/>
                <w:color w:val="auto"/>
              </w:rPr>
            </w:pPr>
            <w:r>
              <w:rPr>
                <w:rFonts w:hint="default" w:ascii="Times New Roman" w:hAnsi="Times New Roman" w:eastAsia="宋体" w:cs="Times New Roman"/>
                <w:color w:val="auto"/>
                <w:sz w:val="21"/>
                <w:szCs w:val="21"/>
              </w:rPr>
              <w:t>公司采用的生产设备较先进，生产过程中原材料进入螺杆挤出机后，其充分混合、塑化熔融均在密闭的空间进行，经单螺杆挤出的物料经密闭管道通过双腕喂料机输送至双螺杆动态硫化系统，双螺杆动态硫化系统出料、切粒工序均在水下进行，起到了冷却成型及防止粉尘产生的作用。</w:t>
            </w:r>
          </w:p>
          <w:p w14:paraId="7C4AE3BC">
            <w:pPr>
              <w:widowControl/>
              <w:spacing w:line="360" w:lineRule="auto"/>
              <w:rPr>
                <w:rFonts w:ascii="Times New Roman" w:hAnsi="Times New Roman"/>
                <w:bCs/>
                <w:color w:val="auto"/>
                <w:sz w:val="24"/>
                <w:szCs w:val="22"/>
              </w:rPr>
            </w:pPr>
          </w:p>
          <w:p w14:paraId="6C54131E">
            <w:pPr>
              <w:pStyle w:val="2"/>
              <w:rPr>
                <w:rFonts w:ascii="Times New Roman" w:hAnsi="Times New Roman"/>
                <w:bCs/>
                <w:color w:val="auto"/>
                <w:sz w:val="24"/>
                <w:szCs w:val="22"/>
              </w:rPr>
            </w:pPr>
          </w:p>
          <w:p w14:paraId="265FE5EB">
            <w:pPr>
              <w:pStyle w:val="3"/>
              <w:widowControl w:val="0"/>
              <w:numPr>
                <w:ilvl w:val="0"/>
                <w:numId w:val="0"/>
              </w:numPr>
              <w:jc w:val="both"/>
              <w:rPr>
                <w:rFonts w:ascii="Times New Roman" w:hAnsi="Times New Roman"/>
                <w:bCs/>
                <w:color w:val="auto"/>
                <w:sz w:val="24"/>
                <w:szCs w:val="22"/>
              </w:rPr>
            </w:pPr>
          </w:p>
          <w:p w14:paraId="2809666E">
            <w:pPr>
              <w:pStyle w:val="3"/>
              <w:widowControl w:val="0"/>
              <w:numPr>
                <w:ilvl w:val="0"/>
                <w:numId w:val="0"/>
              </w:numPr>
              <w:jc w:val="both"/>
              <w:rPr>
                <w:rFonts w:ascii="Times New Roman" w:hAnsi="Times New Roman"/>
                <w:bCs/>
                <w:color w:val="auto"/>
                <w:sz w:val="24"/>
                <w:szCs w:val="22"/>
              </w:rPr>
            </w:pPr>
          </w:p>
          <w:p w14:paraId="74C91522">
            <w:pPr>
              <w:pStyle w:val="3"/>
              <w:widowControl w:val="0"/>
              <w:numPr>
                <w:ilvl w:val="0"/>
                <w:numId w:val="0"/>
              </w:numPr>
              <w:jc w:val="both"/>
              <w:rPr>
                <w:rFonts w:ascii="Times New Roman" w:hAnsi="Times New Roman"/>
                <w:bCs/>
                <w:color w:val="auto"/>
                <w:sz w:val="24"/>
                <w:szCs w:val="22"/>
              </w:rPr>
            </w:pPr>
          </w:p>
          <w:p w14:paraId="1952929C">
            <w:pPr>
              <w:pStyle w:val="3"/>
              <w:widowControl w:val="0"/>
              <w:numPr>
                <w:ilvl w:val="0"/>
                <w:numId w:val="0"/>
              </w:numPr>
              <w:jc w:val="both"/>
              <w:rPr>
                <w:rFonts w:ascii="Times New Roman" w:hAnsi="Times New Roman"/>
                <w:bCs/>
                <w:color w:val="auto"/>
                <w:sz w:val="24"/>
                <w:szCs w:val="22"/>
              </w:rPr>
            </w:pPr>
          </w:p>
          <w:p w14:paraId="44E354D5">
            <w:pPr>
              <w:pStyle w:val="3"/>
              <w:widowControl w:val="0"/>
              <w:numPr>
                <w:ilvl w:val="0"/>
                <w:numId w:val="0"/>
              </w:numPr>
              <w:jc w:val="both"/>
              <w:rPr>
                <w:rFonts w:ascii="Times New Roman" w:hAnsi="Times New Roman"/>
                <w:bCs/>
                <w:color w:val="auto"/>
                <w:sz w:val="24"/>
                <w:szCs w:val="22"/>
              </w:rPr>
            </w:pPr>
          </w:p>
          <w:p w14:paraId="3E175686">
            <w:pPr>
              <w:pStyle w:val="3"/>
              <w:widowControl w:val="0"/>
              <w:numPr>
                <w:ilvl w:val="0"/>
                <w:numId w:val="0"/>
              </w:numPr>
              <w:jc w:val="both"/>
              <w:rPr>
                <w:rFonts w:ascii="Times New Roman" w:hAnsi="Times New Roman"/>
                <w:bCs/>
                <w:color w:val="auto"/>
                <w:sz w:val="24"/>
                <w:szCs w:val="22"/>
              </w:rPr>
            </w:pPr>
          </w:p>
          <w:p w14:paraId="17DC46DD">
            <w:pPr>
              <w:pStyle w:val="3"/>
              <w:widowControl w:val="0"/>
              <w:numPr>
                <w:ilvl w:val="0"/>
                <w:numId w:val="0"/>
              </w:numPr>
              <w:jc w:val="both"/>
              <w:rPr>
                <w:rFonts w:ascii="Times New Roman" w:hAnsi="Times New Roman"/>
                <w:bCs/>
                <w:color w:val="auto"/>
                <w:sz w:val="24"/>
                <w:szCs w:val="22"/>
              </w:rPr>
            </w:pPr>
          </w:p>
          <w:p w14:paraId="54CAB910">
            <w:pPr>
              <w:pStyle w:val="3"/>
              <w:widowControl w:val="0"/>
              <w:numPr>
                <w:ilvl w:val="0"/>
                <w:numId w:val="0"/>
              </w:numPr>
              <w:jc w:val="both"/>
              <w:rPr>
                <w:rFonts w:ascii="Times New Roman" w:hAnsi="Times New Roman"/>
                <w:bCs/>
                <w:color w:val="auto"/>
                <w:sz w:val="24"/>
                <w:szCs w:val="22"/>
              </w:rPr>
            </w:pPr>
          </w:p>
          <w:p w14:paraId="6014398D">
            <w:pPr>
              <w:pStyle w:val="3"/>
              <w:widowControl w:val="0"/>
              <w:numPr>
                <w:ilvl w:val="0"/>
                <w:numId w:val="0"/>
              </w:numPr>
              <w:jc w:val="both"/>
              <w:rPr>
                <w:rFonts w:ascii="Times New Roman" w:hAnsi="Times New Roman"/>
                <w:bCs/>
                <w:color w:val="auto"/>
                <w:sz w:val="24"/>
                <w:szCs w:val="22"/>
              </w:rPr>
            </w:pPr>
          </w:p>
          <w:p w14:paraId="21EF40E8">
            <w:pPr>
              <w:pStyle w:val="3"/>
              <w:widowControl w:val="0"/>
              <w:numPr>
                <w:ilvl w:val="0"/>
                <w:numId w:val="0"/>
              </w:numPr>
              <w:jc w:val="both"/>
              <w:rPr>
                <w:rFonts w:ascii="Times New Roman" w:hAnsi="Times New Roman"/>
                <w:bCs/>
                <w:color w:val="auto"/>
                <w:sz w:val="24"/>
                <w:szCs w:val="22"/>
              </w:rPr>
            </w:pPr>
          </w:p>
          <w:p w14:paraId="23F8D79D">
            <w:pPr>
              <w:pStyle w:val="3"/>
              <w:widowControl w:val="0"/>
              <w:numPr>
                <w:ilvl w:val="0"/>
                <w:numId w:val="0"/>
              </w:numPr>
              <w:jc w:val="both"/>
              <w:rPr>
                <w:rFonts w:ascii="Times New Roman" w:hAnsi="Times New Roman"/>
                <w:bCs/>
                <w:color w:val="auto"/>
                <w:sz w:val="24"/>
                <w:szCs w:val="22"/>
              </w:rPr>
            </w:pPr>
          </w:p>
          <w:p w14:paraId="336C9F72">
            <w:pPr>
              <w:pStyle w:val="3"/>
              <w:widowControl w:val="0"/>
              <w:numPr>
                <w:ilvl w:val="0"/>
                <w:numId w:val="0"/>
              </w:numPr>
              <w:jc w:val="both"/>
              <w:rPr>
                <w:rFonts w:ascii="Times New Roman" w:hAnsi="Times New Roman"/>
                <w:bCs/>
                <w:color w:val="auto"/>
                <w:sz w:val="24"/>
                <w:szCs w:val="22"/>
              </w:rPr>
            </w:pPr>
          </w:p>
          <w:p w14:paraId="15C1493E">
            <w:pPr>
              <w:widowControl/>
              <w:spacing w:line="360" w:lineRule="auto"/>
              <w:jc w:val="center"/>
              <w:rPr>
                <w:rFonts w:hint="eastAsia" w:ascii="Times New Roman" w:hAnsi="Times New Roman" w:eastAsia="宋体"/>
                <w:bCs/>
                <w:color w:val="auto"/>
                <w:sz w:val="24"/>
                <w:szCs w:val="22"/>
                <w:lang w:eastAsia="zh-CN"/>
              </w:rPr>
            </w:pPr>
            <w:r>
              <w:rPr>
                <w:rFonts w:hint="eastAsia" w:ascii="Times New Roman" w:hAnsi="Times New Roman" w:eastAsia="宋体"/>
                <w:bCs/>
                <w:color w:val="auto"/>
                <w:sz w:val="24"/>
                <w:szCs w:val="22"/>
                <w:lang w:eastAsia="zh-CN"/>
              </w:rPr>
              <w:drawing>
                <wp:inline distT="0" distB="0" distL="114300" distR="114300">
                  <wp:extent cx="4350385" cy="5400675"/>
                  <wp:effectExtent l="0" t="0" r="12065" b="9525"/>
                  <wp:docPr id="9" name="ECB019B1-382A-4266-B25C-5B523AA43C14-1"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CB019B1-382A-4266-B25C-5B523AA43C14-1" descr="qt_temp"/>
                          <pic:cNvPicPr>
                            <a:picLocks noChangeAspect="1"/>
                          </pic:cNvPicPr>
                        </pic:nvPicPr>
                        <pic:blipFill>
                          <a:blip r:embed="rId16"/>
                          <a:srcRect l="7056" t="6944" r="5846" b="5692"/>
                          <a:stretch>
                            <a:fillRect/>
                          </a:stretch>
                        </pic:blipFill>
                        <pic:spPr>
                          <a:xfrm>
                            <a:off x="0" y="0"/>
                            <a:ext cx="4350385" cy="5400675"/>
                          </a:xfrm>
                          <a:prstGeom prst="rect">
                            <a:avLst/>
                          </a:prstGeom>
                          <a:noFill/>
                          <a:ln>
                            <a:noFill/>
                          </a:ln>
                        </pic:spPr>
                      </pic:pic>
                    </a:graphicData>
                  </a:graphic>
                </wp:inline>
              </w:drawing>
            </w:r>
          </w:p>
          <w:p w14:paraId="7DAF701C">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图2-</w:t>
            </w:r>
            <w:r>
              <w:rPr>
                <w:rFonts w:hint="eastAsia" w:cs="Times New Roman"/>
                <w:b/>
                <w:bCs/>
                <w:color w:val="auto"/>
                <w:sz w:val="21"/>
                <w:szCs w:val="21"/>
                <w:lang w:val="en-US" w:eastAsia="zh-CN"/>
              </w:rPr>
              <w:t>4</w:t>
            </w:r>
            <w:r>
              <w:rPr>
                <w:rFonts w:hint="default" w:ascii="Times New Roman" w:hAnsi="Times New Roman" w:eastAsia="宋体" w:cs="Times New Roman"/>
                <w:b/>
                <w:bCs/>
                <w:color w:val="auto"/>
                <w:sz w:val="21"/>
                <w:szCs w:val="21"/>
              </w:rPr>
              <w:t xml:space="preserve"> 热塑性弹性体工艺流程及产污节点图</w:t>
            </w:r>
          </w:p>
          <w:p w14:paraId="060159AC">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工艺流程简述：</w:t>
            </w:r>
          </w:p>
          <w:p w14:paraId="47E40A2B">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称量配料：</w:t>
            </w:r>
            <w:r>
              <w:rPr>
                <w:rFonts w:hint="default" w:ascii="Times New Roman" w:hAnsi="Times New Roman" w:eastAsia="宋体" w:cs="Times New Roman"/>
                <w:color w:val="auto"/>
                <w:sz w:val="21"/>
                <w:szCs w:val="21"/>
              </w:rPr>
              <w:t>根据产品配方，将弹性体颗粒、滑石粉、色母粒按照比例混合，将聚丙烯、环保增塑剂、抗氧化剂比例混合；该工序产生少量粉尘G1-1、废包装材料S1-1和噪声N；</w:t>
            </w:r>
          </w:p>
          <w:p w14:paraId="466DC60E">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投料混合：</w:t>
            </w:r>
            <w:r>
              <w:rPr>
                <w:rFonts w:hint="default" w:ascii="Times New Roman" w:hAnsi="Times New Roman" w:eastAsia="宋体" w:cs="Times New Roman"/>
                <w:color w:val="auto"/>
                <w:sz w:val="21"/>
                <w:szCs w:val="21"/>
              </w:rPr>
              <w:t>将配比好的原料经转运至生产车间，由人工投入高速混合机的料斗内，物料在高速混合机内的密闭料缸中充分搅拌与混合，起到物料均质的作用，该工序产生少量粉尘G1-2和噪声N；</w:t>
            </w:r>
          </w:p>
          <w:p w14:paraId="24A212A3">
            <w:pPr>
              <w:keepNext w:val="0"/>
              <w:keepLines w:val="0"/>
              <w:pageBreakBefore w:val="0"/>
              <w:widowControl w:val="0"/>
              <w:kinsoku/>
              <w:wordWrap/>
              <w:overflowPunct/>
              <w:topLinePunct w:val="0"/>
              <w:autoSpaceDE/>
              <w:autoSpaceDN/>
              <w:bidi w:val="0"/>
              <w:adjustRightInd w:val="0"/>
              <w:snapToGrid w:val="0"/>
              <w:spacing w:line="360" w:lineRule="auto"/>
              <w:ind w:firstLine="435"/>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单螺杆挤出：</w:t>
            </w:r>
            <w:r>
              <w:rPr>
                <w:rFonts w:hint="default" w:ascii="Times New Roman" w:hAnsi="Times New Roman" w:eastAsia="宋体" w:cs="Times New Roman"/>
                <w:color w:val="auto"/>
                <w:sz w:val="21"/>
                <w:szCs w:val="21"/>
              </w:rPr>
              <w:t>混合均匀的物料经重力流入单螺杆挤出机，全程保持密闭状态，再采用电加热的方式加温至合适温度（180℃），经压缩、熔融、均化作用，混合物料固体物料逐步变为高弹态，再由高弹态逐步变为粘性流体（粘流态），在此温度下不会发生高分子断链。该工序</w:t>
            </w:r>
            <w:r>
              <w:rPr>
                <w:rFonts w:hint="default" w:ascii="Times New Roman" w:hAnsi="Times New Roman" w:eastAsia="宋体" w:cs="Times New Roman"/>
                <w:color w:val="auto"/>
                <w:sz w:val="21"/>
                <w:szCs w:val="21"/>
                <w:lang w:val="en-US" w:eastAsia="zh-CN"/>
              </w:rPr>
              <w:t>会</w:t>
            </w:r>
            <w:r>
              <w:rPr>
                <w:rFonts w:hint="default" w:ascii="Times New Roman" w:hAnsi="Times New Roman" w:eastAsia="宋体" w:cs="Times New Roman"/>
                <w:color w:val="auto"/>
                <w:sz w:val="21"/>
                <w:szCs w:val="21"/>
              </w:rPr>
              <w:t>产生噪声N。</w:t>
            </w:r>
          </w:p>
          <w:p w14:paraId="6C5D5BF5">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双螺杆挤出:</w:t>
            </w:r>
            <w:r>
              <w:rPr>
                <w:rFonts w:hint="default" w:ascii="Times New Roman" w:hAnsi="Times New Roman" w:eastAsia="宋体" w:cs="Times New Roman"/>
                <w:color w:val="auto"/>
                <w:sz w:val="21"/>
                <w:szCs w:val="21"/>
              </w:rPr>
              <w:t>经单螺杆挤出的物料通过喂料机输送至双螺杆挤出机硫化系统，外购的聚丙烯粒料、环保增塑剂、抗氧化剂经失重称计量后喂料至密闭的双螺杆动态硫化系统，采用电加热的方式加温至合适温度(200℃左右)，在适宜的温度作用下物料熔融共混，熔融共混温度高于热塑性塑料熔融温度(聚丙烯的熔融温度约为164-170℃，100%等规度聚丙烯熔点为176℃) ,低于高分子材料热降解湿度，而又能使其发生交联反应。</w:t>
            </w:r>
          </w:p>
          <w:p w14:paraId="46541652">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充分熔融共混的物料经挤出、冷却成型。经核实，聚丙烯分解温度为310℃、弹性体颗粒料熔点约22</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-226℃，在此温度下(200℃左右)不会发生高分子断链，不发生化学反应；但在受热情况下，塑料中残存未聚合的反应单体以及从聚合物中分解出来的单体可挥发出来;出料口位于水下，起到冷却降温的作用，冷却水循环使用，定期添加，不外排。该工序产生G1-3挤出废气(油雾、非甲烷总烃)、废边角料S1-3和噪声N。</w:t>
            </w:r>
          </w:p>
          <w:p w14:paraId="4D55E4DA">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水下切粒：</w:t>
            </w:r>
            <w:r>
              <w:rPr>
                <w:rFonts w:hint="default" w:ascii="Times New Roman" w:hAnsi="Times New Roman" w:eastAsia="宋体" w:cs="Times New Roman"/>
                <w:color w:val="auto"/>
                <w:sz w:val="21"/>
                <w:szCs w:val="21"/>
              </w:rPr>
              <w:t>挤出后的半成品直接进入水下切粒系统进行冷却、降温、成型，同时根据产品需求切割成相应尺寸。冷却水通过生产车间外循环水池循环回用，定期添加，不排放。该工序产生废边角料S1-4和噪声N。</w:t>
            </w:r>
          </w:p>
          <w:p w14:paraId="37489286">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lang w:val="en-US" w:eastAsia="zh-CN"/>
              </w:rPr>
              <w:t>筛分</w:t>
            </w:r>
            <w:r>
              <w:rPr>
                <w:rFonts w:hint="default" w:ascii="Times New Roman" w:hAnsi="Times New Roman" w:eastAsia="宋体" w:cs="Times New Roman"/>
                <w:b/>
                <w:bCs/>
                <w:color w:val="auto"/>
                <w:sz w:val="21"/>
                <w:szCs w:val="21"/>
              </w:rPr>
              <w:t>：</w:t>
            </w:r>
            <w:r>
              <w:rPr>
                <w:rFonts w:hint="default" w:ascii="Times New Roman" w:hAnsi="Times New Roman" w:eastAsia="宋体" w:cs="Times New Roman"/>
                <w:color w:val="auto"/>
                <w:sz w:val="21"/>
                <w:szCs w:val="21"/>
              </w:rPr>
              <w:t>将半成品输送至脱水机干燥处理；根据产品需求，处理后的材料经振动筛的往复旋型震动，多次通过均匀布孔的单层或多层筛面，分成若干不同级别，达到筛分目的。此工序会产生不合格品S1-5和噪声N；</w:t>
            </w:r>
          </w:p>
          <w:p w14:paraId="70B637C7">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计量包装：</w:t>
            </w:r>
            <w:r>
              <w:rPr>
                <w:rFonts w:hint="default" w:ascii="Times New Roman" w:hAnsi="Times New Roman" w:eastAsia="宋体" w:cs="Times New Roman"/>
                <w:color w:val="auto"/>
                <w:sz w:val="21"/>
                <w:szCs w:val="21"/>
              </w:rPr>
              <w:t>检验合格的材料经计量泵计量后包装处理，暂存至成品库待售此工序会产生废包装材料S1-6；</w:t>
            </w:r>
          </w:p>
          <w:p w14:paraId="1A1D5F1B">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jc w:val="both"/>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废边角料经破碎机破碎后回到投称量投料工序，破碎时密闭，此工序会产生G1-4破碎粉尘和噪声N。</w:t>
            </w:r>
          </w:p>
          <w:p w14:paraId="39FC0327">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517FA648">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579EE9BD">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2F114ED6">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1CC1C0C7">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691DEA9C">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2B13B4ED">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2DE3A2D9">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49A04711">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5F5BB5D1">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253C822C">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0AC81989">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6B5E95A4">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2694584A">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p>
          <w:p w14:paraId="3350DC33">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lang w:eastAsia="zh-CN"/>
              </w:rPr>
              <w:t>（</w:t>
            </w:r>
            <w:r>
              <w:rPr>
                <w:rFonts w:hint="eastAsia" w:ascii="Times New Roman" w:hAnsi="Times New Roman" w:eastAsia="宋体" w:cs="Times New Roman"/>
                <w:b/>
                <w:bCs/>
                <w:color w:val="auto"/>
                <w:sz w:val="21"/>
                <w:szCs w:val="21"/>
                <w:lang w:val="en-US" w:eastAsia="zh-CN"/>
              </w:rPr>
              <w:t>2</w:t>
            </w:r>
            <w:r>
              <w:rPr>
                <w:rFonts w:hint="eastAsia"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汽车密封件生产工艺流程：</w:t>
            </w:r>
          </w:p>
          <w:p w14:paraId="0002C698">
            <w:pPr>
              <w:pStyle w:val="2"/>
              <w:spacing w:line="360" w:lineRule="auto"/>
              <w:jc w:val="center"/>
              <w:rPr>
                <w:rFonts w:ascii="Times New Roman" w:hAnsi="Times New Roman" w:eastAsia="宋体"/>
                <w:b/>
                <w:bCs/>
                <w:color w:val="auto"/>
              </w:rPr>
            </w:pPr>
            <w:r>
              <w:rPr>
                <w:rFonts w:ascii="Times New Roman" w:hAnsi="Times New Roman" w:eastAsia="宋体"/>
                <w:color w:val="auto"/>
              </w:rPr>
              <w:drawing>
                <wp:inline distT="0" distB="0" distL="114300" distR="114300">
                  <wp:extent cx="4555490" cy="3945255"/>
                  <wp:effectExtent l="0" t="0" r="0" b="0"/>
                  <wp:docPr id="10" name="ECB019B1-382A-4266-B25C-5B523AA43C14-2"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CB019B1-382A-4266-B25C-5B523AA43C14-2" descr="qt_temp"/>
                          <pic:cNvPicPr>
                            <a:picLocks noChangeAspect="1"/>
                          </pic:cNvPicPr>
                        </pic:nvPicPr>
                        <pic:blipFill>
                          <a:blip r:embed="rId17"/>
                          <a:srcRect t="7310" r="5154" b="4440"/>
                          <a:stretch>
                            <a:fillRect/>
                          </a:stretch>
                        </pic:blipFill>
                        <pic:spPr>
                          <a:xfrm>
                            <a:off x="0" y="0"/>
                            <a:ext cx="4555490" cy="3945255"/>
                          </a:xfrm>
                          <a:prstGeom prst="rect">
                            <a:avLst/>
                          </a:prstGeom>
                          <a:noFill/>
                          <a:ln>
                            <a:noFill/>
                          </a:ln>
                        </pic:spPr>
                      </pic:pic>
                    </a:graphicData>
                  </a:graphic>
                </wp:inline>
              </w:drawing>
            </w:r>
          </w:p>
          <w:p w14:paraId="0BFA1B3E">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图2-</w:t>
            </w:r>
            <w:r>
              <w:rPr>
                <w:rFonts w:hint="eastAsia" w:cs="Times New Roman"/>
                <w:b/>
                <w:bCs/>
                <w:color w:val="auto"/>
                <w:sz w:val="21"/>
                <w:szCs w:val="21"/>
                <w:lang w:val="en-US" w:eastAsia="zh-CN"/>
              </w:rPr>
              <w:t>5</w:t>
            </w:r>
            <w:r>
              <w:rPr>
                <w:rFonts w:hint="default" w:ascii="Times New Roman" w:hAnsi="Times New Roman" w:eastAsia="宋体" w:cs="Times New Roman"/>
                <w:b/>
                <w:bCs/>
                <w:color w:val="auto"/>
                <w:sz w:val="21"/>
                <w:szCs w:val="21"/>
              </w:rPr>
              <w:t xml:space="preserve"> 汽车密封件工艺流程及产污节点图</w:t>
            </w:r>
          </w:p>
          <w:p w14:paraId="2CC4A31D">
            <w:pPr>
              <w:pStyle w:val="3"/>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22" w:firstLineChars="200"/>
              <w:jc w:val="both"/>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工艺流程简述：</w:t>
            </w:r>
          </w:p>
          <w:p w14:paraId="407462BE">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投料：</w:t>
            </w:r>
            <w:r>
              <w:rPr>
                <w:rFonts w:hint="default" w:ascii="Times New Roman" w:hAnsi="Times New Roman" w:eastAsia="宋体" w:cs="Times New Roman"/>
                <w:color w:val="auto"/>
                <w:sz w:val="21"/>
                <w:szCs w:val="21"/>
              </w:rPr>
              <w:t>将弹性体颗粒料由人工投入单螺杆挤出机的料斗中，原材料为颗粒状，破碎后的原料为颗粒状，因此该工序无粉尘产生；此工序会产生废包装材料S2-1；</w:t>
            </w:r>
          </w:p>
          <w:p w14:paraId="003A1A1A">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挤出：</w:t>
            </w:r>
            <w:r>
              <w:rPr>
                <w:rFonts w:hint="default" w:ascii="Times New Roman" w:hAnsi="Times New Roman" w:eastAsia="宋体" w:cs="Times New Roman"/>
                <w:color w:val="auto"/>
                <w:sz w:val="21"/>
                <w:szCs w:val="21"/>
              </w:rPr>
              <w:t>物料经重力流入单螺杆挤出机，全程保持密闭状态，再采用电加热的方式加温至合适温度（180℃），经熔融作用，弹性体颗粒固体物料逐步变为高弹态，再由高弹态逐步变为粘性流体（粘流态），在此温度下不会发生高分子断链。该工序产生废边角料S2-2、挤出废气G2-1和噪声N；</w:t>
            </w:r>
          </w:p>
          <w:p w14:paraId="3F3B1207">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开炼：</w:t>
            </w:r>
            <w:r>
              <w:rPr>
                <w:rFonts w:hint="default" w:ascii="Times New Roman" w:hAnsi="Times New Roman" w:eastAsia="宋体" w:cs="Times New Roman"/>
                <w:color w:val="auto"/>
                <w:sz w:val="21"/>
                <w:szCs w:val="21"/>
              </w:rPr>
              <w:t>将冷却停放的物料在开炼机上再次进行充分地热炼，其目的是进一步提高胶料的均匀性和可塑性，热炼温度约为80°C左右，热炼过程不需要加热，产品在开炼机中热炼时，由于产品摩擦、挤压等生热。此工序会废边角料S2-3、挤出废气G2-2和噪声N；</w:t>
            </w:r>
          </w:p>
          <w:p w14:paraId="67CC977F">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22"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成型：</w:t>
            </w:r>
            <w:r>
              <w:rPr>
                <w:rFonts w:hint="default" w:ascii="Times New Roman" w:hAnsi="Times New Roman" w:eastAsia="宋体" w:cs="Times New Roman"/>
                <w:color w:val="auto"/>
                <w:sz w:val="21"/>
                <w:szCs w:val="21"/>
              </w:rPr>
              <w:t>将开炼机热炼后的物料经裁切后放入平板成型机中压制成型，然后进行人工去毛边。成型采用电加热，成型温度约200</w:t>
            </w:r>
            <w:r>
              <w:rPr>
                <w:rStyle w:val="34"/>
                <w:rFonts w:hint="default"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。在电加热条件下(约200</w:t>
            </w:r>
            <w:r>
              <w:rPr>
                <w:rStyle w:val="34"/>
                <w:rFonts w:hint="default"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)，使其成为立体网状结构的大分子，并使物料的物理机械性能及其它性能随之发生根本变化。此工序会废边角料S2-3、挤出废气G2-2和噪声N；</w:t>
            </w:r>
          </w:p>
          <w:p w14:paraId="110101CD">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jc w:val="both"/>
              <w:textAlignment w:val="auto"/>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rPr>
              <w:t>废边角料经破碎机破碎后回到投称量投料工序，破碎时密闭，此工序会产生G2-4破碎粉尘和噪声N。</w:t>
            </w:r>
          </w:p>
          <w:p w14:paraId="1DCB58CD">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textAlignment w:val="auto"/>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三</w:t>
            </w:r>
            <w:r>
              <w:rPr>
                <w:rFonts w:hint="default" w:ascii="Times New Roman" w:hAnsi="Times New Roman" w:eastAsia="宋体" w:cs="Times New Roman"/>
                <w:b/>
                <w:bCs/>
                <w:color w:val="auto"/>
                <w:sz w:val="21"/>
                <w:szCs w:val="21"/>
                <w:lang w:val="en-US" w:eastAsia="zh-CN"/>
              </w:rPr>
              <w:t>、</w:t>
            </w:r>
            <w:r>
              <w:rPr>
                <w:rFonts w:hint="eastAsia" w:ascii="Times New Roman" w:hAnsi="Times New Roman" w:eastAsia="宋体" w:cs="Times New Roman"/>
                <w:b/>
                <w:bCs/>
                <w:color w:val="auto"/>
                <w:sz w:val="21"/>
                <w:szCs w:val="21"/>
                <w:lang w:val="en-US" w:eastAsia="zh-CN"/>
              </w:rPr>
              <w:t>原</w:t>
            </w:r>
            <w:r>
              <w:rPr>
                <w:rFonts w:hint="default" w:ascii="Times New Roman" w:hAnsi="Times New Roman" w:eastAsia="宋体" w:cs="Times New Roman"/>
                <w:b/>
                <w:bCs/>
                <w:color w:val="auto"/>
                <w:sz w:val="21"/>
                <w:szCs w:val="21"/>
                <w:lang w:val="en-US" w:eastAsia="zh-CN"/>
              </w:rPr>
              <w:t>项目污染物实际排放总量及达标排放情况</w:t>
            </w:r>
          </w:p>
          <w:p w14:paraId="416196BC">
            <w:pPr>
              <w:pStyle w:val="7"/>
              <w:adjustRightInd w:val="0"/>
              <w:snapToGrid w:val="0"/>
              <w:spacing w:line="360" w:lineRule="auto"/>
              <w:ind w:firstLine="482"/>
              <w:rPr>
                <w:rFonts w:hint="eastAsia" w:eastAsia="宋体"/>
                <w:color w:val="auto"/>
                <w:sz w:val="21"/>
                <w:szCs w:val="21"/>
                <w:highlight w:val="none"/>
              </w:rPr>
            </w:pPr>
            <w:r>
              <w:rPr>
                <w:rFonts w:hint="eastAsia" w:ascii="Times New Roman" w:hAnsi="Times New Roman" w:eastAsia="宋体" w:cs="Times New Roman"/>
                <w:b/>
                <w:bCs/>
                <w:color w:val="auto"/>
                <w:sz w:val="21"/>
                <w:szCs w:val="21"/>
                <w:highlight w:val="none"/>
                <w:lang w:val="en-US" w:eastAsia="zh-CN"/>
              </w:rPr>
              <w:t>1、</w:t>
            </w:r>
            <w:r>
              <w:rPr>
                <w:rFonts w:hint="eastAsia" w:ascii="Times New Roman" w:hAnsi="Times New Roman" w:eastAsia="宋体" w:cs="Times New Roman"/>
                <w:b/>
                <w:bCs/>
                <w:color w:val="auto"/>
                <w:sz w:val="21"/>
                <w:szCs w:val="21"/>
                <w:highlight w:val="none"/>
              </w:rPr>
              <w:t>污</w:t>
            </w:r>
            <w:r>
              <w:rPr>
                <w:rFonts w:hint="eastAsia"/>
                <w:b/>
                <w:bCs/>
                <w:color w:val="auto"/>
                <w:sz w:val="21"/>
                <w:szCs w:val="21"/>
                <w:highlight w:val="none"/>
              </w:rPr>
              <w:t>染物产生情况及防治措施</w:t>
            </w:r>
          </w:p>
          <w:p w14:paraId="1A08A621">
            <w:pPr>
              <w:pStyle w:val="67"/>
              <w:keepNext w:val="0"/>
              <w:keepLines w:val="0"/>
              <w:pageBreakBefore w:val="0"/>
              <w:widowControl w:val="0"/>
              <w:kinsoku/>
              <w:wordWrap/>
              <w:overflowPunct/>
              <w:topLinePunct w:val="0"/>
              <w:autoSpaceDE/>
              <w:autoSpaceDN/>
              <w:bidi w:val="0"/>
              <w:adjustRightInd w:val="0"/>
              <w:snapToGrid w:val="0"/>
              <w:spacing w:line="360" w:lineRule="auto"/>
              <w:ind w:firstLine="480"/>
              <w:jc w:val="both"/>
              <w:textAlignment w:val="auto"/>
              <w:rPr>
                <w:rFonts w:hint="eastAsia"/>
                <w:b/>
                <w:bCs/>
                <w:color w:val="auto"/>
                <w:sz w:val="21"/>
                <w:szCs w:val="21"/>
                <w:highlight w:val="none"/>
              </w:rPr>
            </w:pPr>
            <w:r>
              <w:rPr>
                <w:rFonts w:hint="eastAsia" w:eastAsia="宋体"/>
                <w:color w:val="auto"/>
                <w:sz w:val="21"/>
                <w:szCs w:val="21"/>
                <w:highlight w:val="none"/>
              </w:rPr>
              <w:t>根据《常州和瑞新材料科技有限公司新建热塑性弹性体及制品项目竣工环境保护验收</w:t>
            </w:r>
            <w:r>
              <w:rPr>
                <w:rFonts w:hint="eastAsia" w:eastAsia="宋体"/>
                <w:color w:val="auto"/>
                <w:sz w:val="21"/>
                <w:szCs w:val="21"/>
                <w:highlight w:val="none"/>
                <w:lang w:val="en-US" w:eastAsia="zh-CN"/>
              </w:rPr>
              <w:t>监测报告表</w:t>
            </w:r>
            <w:r>
              <w:rPr>
                <w:rFonts w:hint="eastAsia" w:eastAsia="宋体"/>
                <w:color w:val="auto"/>
                <w:sz w:val="21"/>
                <w:szCs w:val="21"/>
                <w:highlight w:val="none"/>
              </w:rPr>
              <w:t>》</w:t>
            </w:r>
            <w:r>
              <w:rPr>
                <w:rFonts w:hint="eastAsia" w:eastAsia="宋体"/>
                <w:color w:val="auto"/>
                <w:sz w:val="21"/>
                <w:szCs w:val="21"/>
                <w:highlight w:val="none"/>
                <w:lang w:val="en-US" w:eastAsia="zh-CN"/>
              </w:rPr>
              <w:t>内容以及验后实际生产情况，现有</w:t>
            </w:r>
            <w:r>
              <w:rPr>
                <w:rFonts w:hint="eastAsia" w:eastAsia="宋体"/>
                <w:color w:val="auto"/>
                <w:sz w:val="21"/>
                <w:szCs w:val="21"/>
                <w:highlight w:val="none"/>
              </w:rPr>
              <w:t>项目污染物</w:t>
            </w:r>
            <w:r>
              <w:rPr>
                <w:rFonts w:hint="eastAsia" w:eastAsia="宋体"/>
                <w:color w:val="auto"/>
                <w:sz w:val="21"/>
                <w:szCs w:val="21"/>
                <w:highlight w:val="none"/>
                <w:lang w:val="en-US" w:eastAsia="zh-CN"/>
              </w:rPr>
              <w:t>产生情况及防治措施</w:t>
            </w:r>
            <w:r>
              <w:rPr>
                <w:rFonts w:hint="eastAsia" w:eastAsia="宋体"/>
                <w:color w:val="auto"/>
                <w:sz w:val="21"/>
                <w:szCs w:val="21"/>
                <w:highlight w:val="none"/>
              </w:rPr>
              <w:t>详见下表：</w:t>
            </w:r>
          </w:p>
          <w:p w14:paraId="0ABBB7C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eastAsia="宋体"/>
                <w:b/>
                <w:bCs/>
                <w:color w:val="auto"/>
                <w:sz w:val="21"/>
                <w:szCs w:val="21"/>
                <w:highlight w:val="none"/>
                <w:lang w:val="en-US" w:eastAsia="zh-CN"/>
              </w:rPr>
            </w:pPr>
            <w:r>
              <w:rPr>
                <w:rFonts w:hint="eastAsia"/>
                <w:b/>
                <w:bCs/>
                <w:color w:val="auto"/>
                <w:sz w:val="21"/>
                <w:szCs w:val="21"/>
                <w:highlight w:val="none"/>
              </w:rPr>
              <w:t>表2-</w:t>
            </w:r>
            <w:r>
              <w:rPr>
                <w:rFonts w:hint="eastAsia"/>
                <w:b/>
                <w:bCs/>
                <w:color w:val="auto"/>
                <w:sz w:val="21"/>
                <w:szCs w:val="21"/>
                <w:highlight w:val="none"/>
                <w:lang w:val="en-US" w:eastAsia="zh-CN"/>
              </w:rPr>
              <w:t>8</w:t>
            </w:r>
            <w:r>
              <w:rPr>
                <w:rFonts w:hint="eastAsia"/>
                <w:b/>
                <w:bCs/>
                <w:color w:val="auto"/>
                <w:sz w:val="21"/>
                <w:szCs w:val="21"/>
                <w:highlight w:val="none"/>
              </w:rPr>
              <w:t xml:space="preserve"> </w:t>
            </w:r>
            <w:r>
              <w:rPr>
                <w:rFonts w:hint="eastAsia"/>
                <w:b/>
                <w:bCs/>
                <w:color w:val="auto"/>
                <w:sz w:val="21"/>
                <w:szCs w:val="21"/>
                <w:highlight w:val="none"/>
                <w:lang w:val="en-US" w:eastAsia="zh-CN"/>
              </w:rPr>
              <w:t>原</w:t>
            </w:r>
            <w:r>
              <w:rPr>
                <w:rFonts w:hint="eastAsia"/>
                <w:b/>
                <w:bCs/>
                <w:color w:val="auto"/>
                <w:sz w:val="21"/>
                <w:szCs w:val="21"/>
                <w:highlight w:val="none"/>
              </w:rPr>
              <w:t>项目污染物</w:t>
            </w:r>
            <w:r>
              <w:rPr>
                <w:rFonts w:hint="eastAsia"/>
                <w:b/>
                <w:bCs/>
                <w:color w:val="auto"/>
                <w:sz w:val="21"/>
                <w:szCs w:val="21"/>
                <w:highlight w:val="none"/>
                <w:lang w:val="en-US" w:eastAsia="zh-CN"/>
              </w:rPr>
              <w:t>产生情况及防治措施一览表</w:t>
            </w:r>
          </w:p>
          <w:tbl>
            <w:tblPr>
              <w:tblStyle w:val="28"/>
              <w:tblW w:w="493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38"/>
              <w:gridCol w:w="641"/>
              <w:gridCol w:w="1080"/>
              <w:gridCol w:w="1701"/>
              <w:gridCol w:w="2250"/>
              <w:gridCol w:w="1979"/>
            </w:tblGrid>
            <w:tr w14:paraId="729198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noWrap w:val="0"/>
                  <w:vAlign w:val="center"/>
                </w:tcPr>
                <w:p w14:paraId="19CA15E1">
                  <w:pPr>
                    <w:jc w:val="center"/>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序号</w:t>
                  </w:r>
                </w:p>
              </w:tc>
              <w:tc>
                <w:tcPr>
                  <w:tcW w:w="1050" w:type="pct"/>
                  <w:gridSpan w:val="2"/>
                  <w:noWrap w:val="0"/>
                  <w:vAlign w:val="center"/>
                </w:tcPr>
                <w:p w14:paraId="6289DA21">
                  <w:pPr>
                    <w:jc w:val="center"/>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污染源</w:t>
                  </w:r>
                </w:p>
              </w:tc>
              <w:tc>
                <w:tcPr>
                  <w:tcW w:w="1038" w:type="pct"/>
                  <w:noWrap w:val="0"/>
                  <w:vAlign w:val="center"/>
                </w:tcPr>
                <w:p w14:paraId="6F23DD88">
                  <w:pPr>
                    <w:jc w:val="center"/>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污染物名称</w:t>
                  </w:r>
                </w:p>
              </w:tc>
              <w:tc>
                <w:tcPr>
                  <w:tcW w:w="1373" w:type="pct"/>
                  <w:noWrap w:val="0"/>
                  <w:vAlign w:val="center"/>
                </w:tcPr>
                <w:p w14:paraId="4000B084">
                  <w:pPr>
                    <w:jc w:val="center"/>
                    <w:rPr>
                      <w:rFonts w:hint="default"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环评设计治理措施</w:t>
                  </w:r>
                </w:p>
              </w:tc>
              <w:tc>
                <w:tcPr>
                  <w:tcW w:w="1208" w:type="pct"/>
                  <w:noWrap w:val="0"/>
                  <w:vAlign w:val="center"/>
                </w:tcPr>
                <w:p w14:paraId="1E904059">
                  <w:pPr>
                    <w:jc w:val="center"/>
                    <w:rPr>
                      <w:rFonts w:hint="default"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验后实际情况</w:t>
                  </w:r>
                </w:p>
              </w:tc>
            </w:tr>
            <w:tr w14:paraId="4C1295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restart"/>
                  <w:noWrap w:val="0"/>
                  <w:vAlign w:val="center"/>
                </w:tcPr>
                <w:p w14:paraId="7A627DB7">
                  <w:pPr>
                    <w:spacing w:line="240" w:lineRule="auto"/>
                    <w:jc w:val="center"/>
                    <w:rPr>
                      <w:rFonts w:hint="default" w:ascii="Times New Roman" w:hAnsi="Times New Roman" w:eastAsia="宋体" w:cs="Times New Roman"/>
                      <w:bCs/>
                      <w:color w:val="auto"/>
                      <w:sz w:val="21"/>
                      <w:szCs w:val="21"/>
                      <w:highlight w:val="none"/>
                      <w:lang w:val="en-US" w:eastAsia="zh-CN"/>
                    </w:rPr>
                  </w:pPr>
                  <w:r>
                    <w:rPr>
                      <w:rFonts w:hint="default" w:ascii="Times New Roman" w:hAnsi="Times New Roman" w:eastAsia="宋体" w:cs="Times New Roman"/>
                      <w:bCs/>
                      <w:color w:val="auto"/>
                      <w:sz w:val="21"/>
                      <w:szCs w:val="21"/>
                      <w:highlight w:val="none"/>
                      <w:lang w:val="en-US" w:eastAsia="zh-CN"/>
                    </w:rPr>
                    <w:t>1</w:t>
                  </w:r>
                </w:p>
              </w:tc>
              <w:tc>
                <w:tcPr>
                  <w:tcW w:w="391" w:type="pct"/>
                  <w:vMerge w:val="restart"/>
                  <w:noWrap w:val="0"/>
                  <w:vAlign w:val="center"/>
                </w:tcPr>
                <w:p w14:paraId="06D7D1C8">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bCs/>
                      <w:color w:val="auto"/>
                      <w:sz w:val="21"/>
                      <w:szCs w:val="21"/>
                      <w:highlight w:val="none"/>
                      <w:lang w:val="en-US" w:eastAsia="zh-CN"/>
                    </w:rPr>
                  </w:pPr>
                  <w:r>
                    <w:rPr>
                      <w:rFonts w:hint="default" w:ascii="Times New Roman" w:hAnsi="Times New Roman" w:eastAsia="宋体" w:cs="Times New Roman"/>
                      <w:bCs/>
                      <w:color w:val="auto"/>
                      <w:sz w:val="21"/>
                      <w:szCs w:val="21"/>
                      <w:highlight w:val="none"/>
                      <w:lang w:val="en-US" w:eastAsia="zh-CN"/>
                    </w:rPr>
                    <w:t>废气</w:t>
                  </w:r>
                </w:p>
              </w:tc>
              <w:tc>
                <w:tcPr>
                  <w:tcW w:w="659" w:type="pct"/>
                  <w:shd w:val="clear" w:color="auto" w:fill="auto"/>
                  <w:noWrap w:val="0"/>
                  <w:vAlign w:val="center"/>
                </w:tcPr>
                <w:p w14:paraId="3B9C621D">
                  <w:pPr>
                    <w:jc w:val="center"/>
                    <w:rPr>
                      <w:rFonts w:hint="eastAsia" w:ascii="Times New Roman" w:hAnsi="Times New Roman" w:eastAsia="宋体" w:cs="Times New Roman"/>
                      <w:color w:val="auto"/>
                      <w:kern w:val="2"/>
                      <w:sz w:val="21"/>
                      <w:szCs w:val="24"/>
                      <w:lang w:val="en-US" w:eastAsia="zh-CN" w:bidi="ar-SA"/>
                    </w:rPr>
                  </w:pPr>
                  <w:r>
                    <w:rPr>
                      <w:rFonts w:ascii="Times New Roman" w:hAnsi="Times New Roman"/>
                      <w:color w:val="auto"/>
                    </w:rPr>
                    <w:t>配料、投料、破碎</w:t>
                  </w:r>
                </w:p>
              </w:tc>
              <w:tc>
                <w:tcPr>
                  <w:tcW w:w="1038" w:type="pct"/>
                  <w:noWrap w:val="0"/>
                  <w:vAlign w:val="center"/>
                </w:tcPr>
                <w:p w14:paraId="0E02DC5A">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r>
                    <w:rPr>
                      <w:rFonts w:ascii="Times New Roman" w:hAnsi="Times New Roman"/>
                      <w:color w:val="auto"/>
                    </w:rPr>
                    <w:t>颗粒物</w:t>
                  </w:r>
                </w:p>
              </w:tc>
              <w:tc>
                <w:tcPr>
                  <w:tcW w:w="1373" w:type="pct"/>
                  <w:shd w:val="clear" w:color="auto" w:fill="auto"/>
                  <w:noWrap w:val="0"/>
                  <w:vAlign w:val="center"/>
                </w:tcPr>
                <w:p w14:paraId="37686453">
                  <w:pPr>
                    <w:keepNext w:val="0"/>
                    <w:keepLines w:val="0"/>
                    <w:pageBreakBefore w:val="0"/>
                    <w:widowControl/>
                    <w:suppressLineNumbers w:val="0"/>
                    <w:kinsoku/>
                    <w:wordWrap/>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color w:val="auto"/>
                      <w:spacing w:val="-2"/>
                      <w:kern w:val="28"/>
                      <w:sz w:val="21"/>
                      <w:szCs w:val="21"/>
                      <w:lang w:val="en-US" w:eastAsia="zh-CN" w:bidi="ar-SA"/>
                    </w:rPr>
                  </w:pPr>
                  <w:r>
                    <w:rPr>
                      <w:rFonts w:hint="eastAsia" w:ascii="Times New Roman" w:hAnsi="Times New Roman" w:eastAsia="宋体" w:cs="Times New Roman"/>
                      <w:color w:val="auto"/>
                      <w:spacing w:val="-2"/>
                      <w:kern w:val="28"/>
                      <w:sz w:val="21"/>
                      <w:szCs w:val="21"/>
                      <w:lang w:val="en-US" w:eastAsia="zh-CN"/>
                    </w:rPr>
                    <w:t>经1套布袋除尘器处理后通过1根15米高排气筒DA001排放</w:t>
                  </w:r>
                </w:p>
              </w:tc>
              <w:tc>
                <w:tcPr>
                  <w:tcW w:w="1208" w:type="pct"/>
                  <w:shd w:val="clear" w:color="auto" w:fill="auto"/>
                  <w:noWrap w:val="0"/>
                  <w:vAlign w:val="center"/>
                </w:tcPr>
                <w:p w14:paraId="0267F063">
                  <w:pPr>
                    <w:keepNext w:val="0"/>
                    <w:keepLines w:val="0"/>
                    <w:pageBreakBefore w:val="0"/>
                    <w:widowControl/>
                    <w:suppressLineNumbers w:val="0"/>
                    <w:kinsoku/>
                    <w:wordWrap/>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Times New Roman" w:hAnsi="Times New Roman" w:eastAsia="宋体" w:cs="Times New Roman"/>
                      <w:color w:val="auto"/>
                      <w:spacing w:val="-2"/>
                      <w:kern w:val="28"/>
                      <w:sz w:val="21"/>
                      <w:szCs w:val="21"/>
                      <w:lang w:val="en-US" w:eastAsia="zh-CN" w:bidi="ar-SA"/>
                    </w:rPr>
                  </w:pPr>
                  <w:r>
                    <w:rPr>
                      <w:rFonts w:hint="eastAsia" w:ascii="Times New Roman" w:hAnsi="Times New Roman" w:eastAsia="宋体" w:cs="Times New Roman"/>
                      <w:color w:val="auto"/>
                      <w:spacing w:val="-2"/>
                      <w:kern w:val="28"/>
                      <w:sz w:val="21"/>
                      <w:szCs w:val="21"/>
                      <w:lang w:val="en-US" w:eastAsia="zh-CN"/>
                    </w:rPr>
                    <w:t>经1套布袋除尘器处理后通过1根15米高排气筒DA001排放</w:t>
                  </w:r>
                </w:p>
              </w:tc>
            </w:tr>
            <w:tr w14:paraId="31096C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continue"/>
                  <w:noWrap w:val="0"/>
                  <w:vAlign w:val="center"/>
                </w:tcPr>
                <w:p w14:paraId="68EAE42E">
                  <w:pPr>
                    <w:spacing w:line="240" w:lineRule="auto"/>
                    <w:jc w:val="center"/>
                    <w:rPr>
                      <w:rFonts w:hint="default" w:ascii="Times New Roman" w:hAnsi="Times New Roman" w:eastAsia="宋体" w:cs="Times New Roman"/>
                      <w:bCs/>
                      <w:color w:val="auto"/>
                      <w:sz w:val="21"/>
                      <w:szCs w:val="21"/>
                      <w:highlight w:val="none"/>
                      <w:lang w:val="en-US" w:eastAsia="zh-CN"/>
                    </w:rPr>
                  </w:pPr>
                </w:p>
              </w:tc>
              <w:tc>
                <w:tcPr>
                  <w:tcW w:w="391" w:type="pct"/>
                  <w:vMerge w:val="continue"/>
                  <w:noWrap w:val="0"/>
                  <w:vAlign w:val="center"/>
                </w:tcPr>
                <w:p w14:paraId="53287520">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bCs/>
                      <w:color w:val="auto"/>
                      <w:sz w:val="21"/>
                      <w:szCs w:val="21"/>
                      <w:highlight w:val="none"/>
                      <w:lang w:val="en-US" w:eastAsia="zh-CN"/>
                    </w:rPr>
                  </w:pPr>
                </w:p>
              </w:tc>
              <w:tc>
                <w:tcPr>
                  <w:tcW w:w="659" w:type="pct"/>
                  <w:shd w:val="clear" w:color="auto" w:fill="auto"/>
                  <w:noWrap w:val="0"/>
                  <w:vAlign w:val="center"/>
                </w:tcPr>
                <w:p w14:paraId="1CE52F40">
                  <w:pPr>
                    <w:jc w:val="center"/>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olor w:val="auto"/>
                      <w:lang w:val="en-US" w:eastAsia="zh-CN"/>
                    </w:rPr>
                    <w:t>挤出、开炼废气</w:t>
                  </w:r>
                </w:p>
              </w:tc>
              <w:tc>
                <w:tcPr>
                  <w:tcW w:w="1038" w:type="pct"/>
                  <w:noWrap w:val="0"/>
                  <w:vAlign w:val="center"/>
                </w:tcPr>
                <w:p w14:paraId="2E03FC74">
                  <w:pPr>
                    <w:keepNext w:val="0"/>
                    <w:keepLines w:val="0"/>
                    <w:pageBreakBefore w:val="0"/>
                    <w:kinsoku/>
                    <w:wordWrap/>
                    <w:overflowPunct/>
                    <w:topLinePunct w:val="0"/>
                    <w:bidi w:val="0"/>
                    <w:spacing w:line="240" w:lineRule="auto"/>
                    <w:ind w:left="0" w:leftChars="0" w:right="0" w:rightChars="0"/>
                    <w:jc w:val="center"/>
                    <w:textAlignment w:val="auto"/>
                    <w:rPr>
                      <w:rFonts w:hint="eastAsia" w:ascii="Times New Roman" w:hAnsi="Times New Roman" w:eastAsia="宋体" w:cs="Times New Roman"/>
                      <w:color w:val="auto"/>
                      <w:kern w:val="0"/>
                      <w:sz w:val="21"/>
                      <w:szCs w:val="21"/>
                      <w:highlight w:val="none"/>
                      <w:lang w:val="en-US" w:eastAsia="zh-CN"/>
                    </w:rPr>
                  </w:pPr>
                  <w:r>
                    <w:rPr>
                      <w:rFonts w:ascii="Times New Roman" w:hAnsi="Times New Roman"/>
                      <w:color w:val="auto"/>
                    </w:rPr>
                    <w:t>非甲烷总烃</w:t>
                  </w:r>
                  <w:r>
                    <w:rPr>
                      <w:rFonts w:hint="eastAsia" w:ascii="Times New Roman" w:hAnsi="Times New Roman"/>
                      <w:color w:val="auto"/>
                      <w:lang w:eastAsia="zh-CN"/>
                    </w:rPr>
                    <w:t>、</w:t>
                  </w:r>
                  <w:r>
                    <w:rPr>
                      <w:rFonts w:hint="eastAsia" w:ascii="Times New Roman" w:hAnsi="Times New Roman"/>
                      <w:color w:val="auto"/>
                    </w:rPr>
                    <w:t>颗粒物</w:t>
                  </w:r>
                </w:p>
              </w:tc>
              <w:tc>
                <w:tcPr>
                  <w:tcW w:w="1373" w:type="pct"/>
                  <w:shd w:val="clear" w:color="auto" w:fill="auto"/>
                  <w:noWrap w:val="0"/>
                  <w:vAlign w:val="center"/>
                </w:tcPr>
                <w:p w14:paraId="6839D248">
                  <w:pPr>
                    <w:keepNext w:val="0"/>
                    <w:keepLines w:val="0"/>
                    <w:pageBreakBefore w:val="0"/>
                    <w:widowControl/>
                    <w:suppressLineNumbers w:val="0"/>
                    <w:kinsoku/>
                    <w:wordWrap/>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Times New Roman" w:hAnsi="Times New Roman" w:eastAsia="宋体" w:cs="Times New Roman"/>
                      <w:color w:val="auto"/>
                      <w:spacing w:val="-2"/>
                      <w:kern w:val="28"/>
                      <w:sz w:val="21"/>
                      <w:szCs w:val="21"/>
                      <w:lang w:val="en-US" w:eastAsia="zh-CN" w:bidi="ar-SA"/>
                    </w:rPr>
                  </w:pPr>
                  <w:r>
                    <w:rPr>
                      <w:rFonts w:hint="eastAsia" w:ascii="Times New Roman" w:hAnsi="Times New Roman" w:eastAsia="宋体" w:cs="Times New Roman"/>
                      <w:color w:val="auto"/>
                      <w:spacing w:val="-2"/>
                      <w:kern w:val="28"/>
                      <w:sz w:val="21"/>
                      <w:szCs w:val="21"/>
                      <w:lang w:val="en-US" w:eastAsia="zh-CN"/>
                    </w:rPr>
                    <w:t>经1套水喷淋塔+除湿器+二级活性炭吸附装置处理后通过1根15米高排气筒DA002排放</w:t>
                  </w:r>
                </w:p>
              </w:tc>
              <w:tc>
                <w:tcPr>
                  <w:tcW w:w="1208" w:type="pct"/>
                  <w:shd w:val="clear" w:color="auto" w:fill="auto"/>
                  <w:noWrap w:val="0"/>
                  <w:vAlign w:val="center"/>
                </w:tcPr>
                <w:p w14:paraId="007ED6DB">
                  <w:pPr>
                    <w:keepNext w:val="0"/>
                    <w:keepLines w:val="0"/>
                    <w:pageBreakBefore w:val="0"/>
                    <w:widowControl/>
                    <w:suppressLineNumbers w:val="0"/>
                    <w:kinsoku/>
                    <w:wordWrap/>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Times New Roman" w:hAnsi="Times New Roman" w:eastAsia="宋体" w:cs="Times New Roman"/>
                      <w:color w:val="auto"/>
                      <w:spacing w:val="-2"/>
                      <w:kern w:val="28"/>
                      <w:sz w:val="21"/>
                      <w:szCs w:val="21"/>
                      <w:lang w:val="en-US" w:eastAsia="zh-CN" w:bidi="ar-SA"/>
                    </w:rPr>
                  </w:pPr>
                  <w:r>
                    <w:rPr>
                      <w:rFonts w:hint="eastAsia" w:ascii="Times New Roman" w:hAnsi="Times New Roman" w:eastAsia="宋体" w:cs="Times New Roman"/>
                      <w:color w:val="auto"/>
                      <w:spacing w:val="-2"/>
                      <w:kern w:val="28"/>
                      <w:sz w:val="21"/>
                      <w:szCs w:val="21"/>
                      <w:lang w:val="en-US" w:eastAsia="zh-CN"/>
                    </w:rPr>
                    <w:t>经1套水喷淋塔+除湿器+二级活性炭吸附装置处理后通过1根15米高排气筒DA002排放</w:t>
                  </w:r>
                </w:p>
              </w:tc>
            </w:tr>
            <w:tr w14:paraId="17A560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restart"/>
                  <w:noWrap w:val="0"/>
                  <w:vAlign w:val="center"/>
                </w:tcPr>
                <w:p w14:paraId="3C512FAA">
                  <w:pPr>
                    <w:spacing w:line="240" w:lineRule="auto"/>
                    <w:jc w:val="center"/>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sz w:val="21"/>
                      <w:szCs w:val="21"/>
                      <w:highlight w:val="none"/>
                    </w:rPr>
                    <w:t>2</w:t>
                  </w:r>
                </w:p>
              </w:tc>
              <w:tc>
                <w:tcPr>
                  <w:tcW w:w="391" w:type="pct"/>
                  <w:vMerge w:val="restart"/>
                  <w:noWrap w:val="0"/>
                  <w:vAlign w:val="center"/>
                </w:tcPr>
                <w:p w14:paraId="6ADAB4E4">
                  <w:pPr>
                    <w:spacing w:line="240" w:lineRule="auto"/>
                    <w:jc w:val="center"/>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sz w:val="21"/>
                      <w:szCs w:val="21"/>
                      <w:highlight w:val="none"/>
                    </w:rPr>
                    <w:t>废水</w:t>
                  </w:r>
                </w:p>
              </w:tc>
              <w:tc>
                <w:tcPr>
                  <w:tcW w:w="659" w:type="pct"/>
                  <w:vMerge w:val="restart"/>
                  <w:noWrap w:val="0"/>
                  <w:vAlign w:val="center"/>
                </w:tcPr>
                <w:p w14:paraId="2AD44CEA">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生活污水</w:t>
                  </w:r>
                </w:p>
              </w:tc>
              <w:tc>
                <w:tcPr>
                  <w:tcW w:w="1038" w:type="pct"/>
                  <w:noWrap w:val="0"/>
                  <w:vAlign w:val="center"/>
                </w:tcPr>
                <w:p w14:paraId="70646CFE">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COD</w:t>
                  </w:r>
                </w:p>
              </w:tc>
              <w:tc>
                <w:tcPr>
                  <w:tcW w:w="1373" w:type="pct"/>
                  <w:vMerge w:val="restart"/>
                  <w:shd w:val="clear" w:color="auto" w:fill="auto"/>
                  <w:noWrap w:val="0"/>
                  <w:vAlign w:val="center"/>
                </w:tcPr>
                <w:p w14:paraId="1086C67B">
                  <w:pPr>
                    <w:keepNext w:val="0"/>
                    <w:keepLines w:val="0"/>
                    <w:pageBreakBefore w:val="0"/>
                    <w:widowControl/>
                    <w:suppressLineNumbers w:val="0"/>
                    <w:kinsoku/>
                    <w:wordWrap/>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color w:val="auto"/>
                      <w:spacing w:val="-2"/>
                      <w:kern w:val="28"/>
                      <w:sz w:val="21"/>
                      <w:szCs w:val="21"/>
                      <w:lang w:val="en-US" w:eastAsia="zh-CN" w:bidi="ar-SA"/>
                    </w:rPr>
                  </w:pPr>
                  <w:r>
                    <w:rPr>
                      <w:rFonts w:hint="eastAsia" w:ascii="Times New Roman" w:hAnsi="Times New Roman" w:eastAsia="宋体" w:cs="Times New Roman"/>
                      <w:color w:val="auto"/>
                      <w:spacing w:val="-2"/>
                      <w:kern w:val="28"/>
                      <w:sz w:val="21"/>
                      <w:szCs w:val="21"/>
                      <w:lang w:val="en-US" w:eastAsia="zh-CN"/>
                    </w:rPr>
                    <w:t>生活</w:t>
                  </w:r>
                  <w:r>
                    <w:rPr>
                      <w:rFonts w:hint="default" w:ascii="Times New Roman" w:hAnsi="Times New Roman" w:eastAsia="宋体" w:cs="Times New Roman"/>
                      <w:color w:val="auto"/>
                      <w:spacing w:val="-2"/>
                      <w:kern w:val="28"/>
                      <w:sz w:val="21"/>
                      <w:szCs w:val="21"/>
                    </w:rPr>
                    <w:t>污水经收集后接管至市政污水管网，再排入常州市金坛第二污水处理厂集中处理，尾水排入尧唐河</w:t>
                  </w:r>
                  <w:r>
                    <w:rPr>
                      <w:rFonts w:hint="eastAsia" w:ascii="Times New Roman" w:hAnsi="Times New Roman" w:eastAsia="宋体" w:cs="Times New Roman"/>
                      <w:color w:val="auto"/>
                      <w:spacing w:val="-2"/>
                      <w:kern w:val="28"/>
                      <w:sz w:val="21"/>
                      <w:szCs w:val="21"/>
                      <w:lang w:eastAsia="zh-CN"/>
                    </w:rPr>
                    <w:t>，</w:t>
                  </w:r>
                </w:p>
              </w:tc>
              <w:tc>
                <w:tcPr>
                  <w:tcW w:w="1208" w:type="pct"/>
                  <w:vMerge w:val="restart"/>
                  <w:shd w:val="clear" w:color="auto" w:fill="auto"/>
                  <w:noWrap w:val="0"/>
                  <w:vAlign w:val="center"/>
                </w:tcPr>
                <w:p w14:paraId="48A19EFE">
                  <w:pPr>
                    <w:keepNext w:val="0"/>
                    <w:keepLines w:val="0"/>
                    <w:pageBreakBefore w:val="0"/>
                    <w:widowControl/>
                    <w:suppressLineNumbers w:val="0"/>
                    <w:kinsoku/>
                    <w:wordWrap/>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color w:val="auto"/>
                      <w:spacing w:val="-2"/>
                      <w:kern w:val="28"/>
                      <w:sz w:val="21"/>
                      <w:szCs w:val="21"/>
                      <w:lang w:val="en-US" w:eastAsia="zh-CN" w:bidi="ar-SA"/>
                    </w:rPr>
                  </w:pPr>
                  <w:r>
                    <w:rPr>
                      <w:rFonts w:hint="eastAsia" w:ascii="Times New Roman" w:hAnsi="Times New Roman" w:eastAsia="宋体" w:cs="Times New Roman"/>
                      <w:color w:val="auto"/>
                      <w:spacing w:val="-2"/>
                      <w:kern w:val="28"/>
                      <w:sz w:val="21"/>
                      <w:szCs w:val="21"/>
                      <w:lang w:val="en-US" w:eastAsia="zh-CN"/>
                    </w:rPr>
                    <w:t>生活</w:t>
                  </w:r>
                  <w:r>
                    <w:rPr>
                      <w:rFonts w:hint="default" w:ascii="Times New Roman" w:hAnsi="Times New Roman" w:eastAsia="宋体" w:cs="Times New Roman"/>
                      <w:color w:val="auto"/>
                      <w:spacing w:val="-2"/>
                      <w:kern w:val="28"/>
                      <w:sz w:val="21"/>
                      <w:szCs w:val="21"/>
                    </w:rPr>
                    <w:t>污水经收集后接管至市政污水管网，再排入常州市金坛第二污水处理厂集中处理，尾水排入尧唐河</w:t>
                  </w:r>
                </w:p>
              </w:tc>
            </w:tr>
            <w:tr w14:paraId="207687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continue"/>
                  <w:noWrap w:val="0"/>
                  <w:vAlign w:val="center"/>
                </w:tcPr>
                <w:p w14:paraId="2EABD6AC">
                  <w:pPr>
                    <w:spacing w:line="240" w:lineRule="auto"/>
                    <w:jc w:val="center"/>
                    <w:rPr>
                      <w:rFonts w:hint="default" w:ascii="Times New Roman" w:hAnsi="Times New Roman" w:eastAsia="宋体" w:cs="Times New Roman"/>
                      <w:bCs/>
                      <w:color w:val="auto"/>
                      <w:sz w:val="21"/>
                      <w:szCs w:val="21"/>
                      <w:highlight w:val="none"/>
                    </w:rPr>
                  </w:pPr>
                </w:p>
              </w:tc>
              <w:tc>
                <w:tcPr>
                  <w:tcW w:w="391" w:type="pct"/>
                  <w:vMerge w:val="continue"/>
                  <w:noWrap w:val="0"/>
                  <w:vAlign w:val="center"/>
                </w:tcPr>
                <w:p w14:paraId="7C8BCFEE">
                  <w:pPr>
                    <w:spacing w:line="240" w:lineRule="auto"/>
                    <w:jc w:val="center"/>
                    <w:rPr>
                      <w:rFonts w:hint="default" w:ascii="Times New Roman" w:hAnsi="Times New Roman" w:eastAsia="宋体" w:cs="Times New Roman"/>
                      <w:bCs/>
                      <w:color w:val="auto"/>
                      <w:sz w:val="21"/>
                      <w:szCs w:val="21"/>
                      <w:highlight w:val="none"/>
                    </w:rPr>
                  </w:pPr>
                </w:p>
              </w:tc>
              <w:tc>
                <w:tcPr>
                  <w:tcW w:w="659" w:type="pct"/>
                  <w:vMerge w:val="continue"/>
                  <w:noWrap w:val="0"/>
                  <w:vAlign w:val="center"/>
                </w:tcPr>
                <w:p w14:paraId="1259B27F">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038" w:type="pct"/>
                  <w:noWrap w:val="0"/>
                  <w:vAlign w:val="center"/>
                </w:tcPr>
                <w:p w14:paraId="6470E6DE">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SS</w:t>
                  </w:r>
                </w:p>
              </w:tc>
              <w:tc>
                <w:tcPr>
                  <w:tcW w:w="1373" w:type="pct"/>
                  <w:vMerge w:val="continue"/>
                  <w:noWrap w:val="0"/>
                  <w:vAlign w:val="center"/>
                </w:tcPr>
                <w:p w14:paraId="57FC9BBB">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208" w:type="pct"/>
                  <w:vMerge w:val="continue"/>
                  <w:noWrap w:val="0"/>
                  <w:vAlign w:val="center"/>
                </w:tcPr>
                <w:p w14:paraId="73B7DF17">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r>
            <w:tr w14:paraId="2C65BD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continue"/>
                  <w:noWrap w:val="0"/>
                  <w:vAlign w:val="center"/>
                </w:tcPr>
                <w:p w14:paraId="68EC43D6">
                  <w:pPr>
                    <w:spacing w:line="240" w:lineRule="auto"/>
                    <w:jc w:val="center"/>
                    <w:rPr>
                      <w:rFonts w:hint="default" w:ascii="Times New Roman" w:hAnsi="Times New Roman" w:eastAsia="宋体" w:cs="Times New Roman"/>
                      <w:bCs/>
                      <w:color w:val="auto"/>
                      <w:sz w:val="21"/>
                      <w:szCs w:val="21"/>
                      <w:highlight w:val="none"/>
                    </w:rPr>
                  </w:pPr>
                </w:p>
              </w:tc>
              <w:tc>
                <w:tcPr>
                  <w:tcW w:w="391" w:type="pct"/>
                  <w:vMerge w:val="continue"/>
                  <w:noWrap w:val="0"/>
                  <w:vAlign w:val="center"/>
                </w:tcPr>
                <w:p w14:paraId="1447C2FC">
                  <w:pPr>
                    <w:spacing w:line="240" w:lineRule="auto"/>
                    <w:jc w:val="center"/>
                    <w:rPr>
                      <w:rFonts w:hint="default" w:ascii="Times New Roman" w:hAnsi="Times New Roman" w:eastAsia="宋体" w:cs="Times New Roman"/>
                      <w:bCs/>
                      <w:color w:val="auto"/>
                      <w:sz w:val="21"/>
                      <w:szCs w:val="21"/>
                      <w:highlight w:val="none"/>
                    </w:rPr>
                  </w:pPr>
                </w:p>
              </w:tc>
              <w:tc>
                <w:tcPr>
                  <w:tcW w:w="659" w:type="pct"/>
                  <w:vMerge w:val="continue"/>
                  <w:noWrap w:val="0"/>
                  <w:vAlign w:val="center"/>
                </w:tcPr>
                <w:p w14:paraId="578C776B">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038" w:type="pct"/>
                  <w:noWrap w:val="0"/>
                  <w:vAlign w:val="center"/>
                </w:tcPr>
                <w:p w14:paraId="7AE43589">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NH</w:t>
                  </w:r>
                  <w:r>
                    <w:rPr>
                      <w:rFonts w:hint="default" w:ascii="Times New Roman" w:hAnsi="Times New Roman" w:eastAsia="宋体" w:cs="Times New Roman"/>
                      <w:color w:val="auto"/>
                      <w:kern w:val="0"/>
                      <w:sz w:val="21"/>
                      <w:szCs w:val="21"/>
                      <w:highlight w:val="none"/>
                      <w:vertAlign w:val="subscript"/>
                      <w:lang w:val="en-US" w:eastAsia="zh-CN"/>
                    </w:rPr>
                    <w:t>3</w:t>
                  </w:r>
                  <w:r>
                    <w:rPr>
                      <w:rFonts w:hint="default" w:ascii="Times New Roman" w:hAnsi="Times New Roman" w:eastAsia="宋体" w:cs="Times New Roman"/>
                      <w:color w:val="auto"/>
                      <w:kern w:val="0"/>
                      <w:sz w:val="21"/>
                      <w:szCs w:val="21"/>
                      <w:highlight w:val="none"/>
                      <w:lang w:val="en-US" w:eastAsia="zh-CN"/>
                    </w:rPr>
                    <w:t>-N</w:t>
                  </w:r>
                </w:p>
              </w:tc>
              <w:tc>
                <w:tcPr>
                  <w:tcW w:w="1373" w:type="pct"/>
                  <w:vMerge w:val="continue"/>
                  <w:noWrap w:val="0"/>
                  <w:vAlign w:val="center"/>
                </w:tcPr>
                <w:p w14:paraId="5BAA9036">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208" w:type="pct"/>
                  <w:vMerge w:val="continue"/>
                  <w:noWrap w:val="0"/>
                  <w:vAlign w:val="center"/>
                </w:tcPr>
                <w:p w14:paraId="7D5B06D1">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r>
            <w:tr w14:paraId="368420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continue"/>
                  <w:noWrap w:val="0"/>
                  <w:vAlign w:val="center"/>
                </w:tcPr>
                <w:p w14:paraId="03477B28">
                  <w:pPr>
                    <w:spacing w:line="240" w:lineRule="auto"/>
                    <w:jc w:val="center"/>
                    <w:rPr>
                      <w:rFonts w:hint="default" w:ascii="Times New Roman" w:hAnsi="Times New Roman" w:eastAsia="宋体" w:cs="Times New Roman"/>
                      <w:bCs/>
                      <w:color w:val="auto"/>
                      <w:sz w:val="21"/>
                      <w:szCs w:val="21"/>
                      <w:highlight w:val="none"/>
                    </w:rPr>
                  </w:pPr>
                </w:p>
              </w:tc>
              <w:tc>
                <w:tcPr>
                  <w:tcW w:w="391" w:type="pct"/>
                  <w:vMerge w:val="continue"/>
                  <w:noWrap w:val="0"/>
                  <w:vAlign w:val="center"/>
                </w:tcPr>
                <w:p w14:paraId="755957A6">
                  <w:pPr>
                    <w:spacing w:line="240" w:lineRule="auto"/>
                    <w:jc w:val="center"/>
                    <w:rPr>
                      <w:rFonts w:hint="default" w:ascii="Times New Roman" w:hAnsi="Times New Roman" w:eastAsia="宋体" w:cs="Times New Roman"/>
                      <w:bCs/>
                      <w:color w:val="auto"/>
                      <w:sz w:val="21"/>
                      <w:szCs w:val="21"/>
                      <w:highlight w:val="none"/>
                    </w:rPr>
                  </w:pPr>
                </w:p>
              </w:tc>
              <w:tc>
                <w:tcPr>
                  <w:tcW w:w="659" w:type="pct"/>
                  <w:vMerge w:val="continue"/>
                  <w:noWrap w:val="0"/>
                  <w:vAlign w:val="center"/>
                </w:tcPr>
                <w:p w14:paraId="6C68989A">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038" w:type="pct"/>
                  <w:noWrap w:val="0"/>
                  <w:vAlign w:val="center"/>
                </w:tcPr>
                <w:p w14:paraId="387B78B2">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TP</w:t>
                  </w:r>
                </w:p>
              </w:tc>
              <w:tc>
                <w:tcPr>
                  <w:tcW w:w="1373" w:type="pct"/>
                  <w:vMerge w:val="continue"/>
                  <w:noWrap w:val="0"/>
                  <w:vAlign w:val="center"/>
                </w:tcPr>
                <w:p w14:paraId="2B2EE337">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208" w:type="pct"/>
                  <w:vMerge w:val="continue"/>
                  <w:noWrap w:val="0"/>
                  <w:vAlign w:val="center"/>
                </w:tcPr>
                <w:p w14:paraId="74BE9E8A">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r>
            <w:tr w14:paraId="24517C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continue"/>
                  <w:noWrap w:val="0"/>
                  <w:vAlign w:val="center"/>
                </w:tcPr>
                <w:p w14:paraId="6E4C7855">
                  <w:pPr>
                    <w:spacing w:line="240" w:lineRule="auto"/>
                    <w:jc w:val="center"/>
                    <w:rPr>
                      <w:rFonts w:hint="default" w:ascii="Times New Roman" w:hAnsi="Times New Roman" w:eastAsia="宋体" w:cs="Times New Roman"/>
                      <w:bCs/>
                      <w:color w:val="auto"/>
                      <w:sz w:val="21"/>
                      <w:szCs w:val="21"/>
                      <w:highlight w:val="none"/>
                    </w:rPr>
                  </w:pPr>
                </w:p>
              </w:tc>
              <w:tc>
                <w:tcPr>
                  <w:tcW w:w="391" w:type="pct"/>
                  <w:vMerge w:val="continue"/>
                  <w:noWrap w:val="0"/>
                  <w:vAlign w:val="center"/>
                </w:tcPr>
                <w:p w14:paraId="0AE5F720">
                  <w:pPr>
                    <w:spacing w:line="240" w:lineRule="auto"/>
                    <w:jc w:val="center"/>
                    <w:rPr>
                      <w:rFonts w:hint="default" w:ascii="Times New Roman" w:hAnsi="Times New Roman" w:eastAsia="宋体" w:cs="Times New Roman"/>
                      <w:bCs/>
                      <w:color w:val="auto"/>
                      <w:sz w:val="21"/>
                      <w:szCs w:val="21"/>
                      <w:highlight w:val="none"/>
                    </w:rPr>
                  </w:pPr>
                </w:p>
              </w:tc>
              <w:tc>
                <w:tcPr>
                  <w:tcW w:w="659" w:type="pct"/>
                  <w:vMerge w:val="continue"/>
                  <w:noWrap w:val="0"/>
                  <w:vAlign w:val="center"/>
                </w:tcPr>
                <w:p w14:paraId="2BB7CE1C">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038" w:type="pct"/>
                  <w:noWrap w:val="0"/>
                  <w:vAlign w:val="center"/>
                </w:tcPr>
                <w:p w14:paraId="55E35669">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TN</w:t>
                  </w:r>
                </w:p>
              </w:tc>
              <w:tc>
                <w:tcPr>
                  <w:tcW w:w="1373" w:type="pct"/>
                  <w:vMerge w:val="continue"/>
                  <w:noWrap w:val="0"/>
                  <w:vAlign w:val="center"/>
                </w:tcPr>
                <w:p w14:paraId="480B7C40">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208" w:type="pct"/>
                  <w:vMerge w:val="continue"/>
                  <w:noWrap w:val="0"/>
                  <w:vAlign w:val="center"/>
                </w:tcPr>
                <w:p w14:paraId="058429D1">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r>
            <w:tr w14:paraId="516943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restart"/>
                  <w:noWrap w:val="0"/>
                  <w:vAlign w:val="center"/>
                </w:tcPr>
                <w:p w14:paraId="08B35BBA">
                  <w:pPr>
                    <w:spacing w:line="240" w:lineRule="auto"/>
                    <w:jc w:val="center"/>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3</w:t>
                  </w:r>
                </w:p>
              </w:tc>
              <w:tc>
                <w:tcPr>
                  <w:tcW w:w="391" w:type="pct"/>
                  <w:vMerge w:val="restart"/>
                  <w:noWrap w:val="0"/>
                  <w:vAlign w:val="center"/>
                </w:tcPr>
                <w:p w14:paraId="62A504C2">
                  <w:pPr>
                    <w:spacing w:line="240" w:lineRule="auto"/>
                    <w:jc w:val="center"/>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固废</w:t>
                  </w:r>
                </w:p>
              </w:tc>
              <w:tc>
                <w:tcPr>
                  <w:tcW w:w="659" w:type="pct"/>
                  <w:vMerge w:val="restart"/>
                  <w:noWrap w:val="0"/>
                  <w:vAlign w:val="center"/>
                </w:tcPr>
                <w:p w14:paraId="49027F89">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生产</w:t>
                  </w:r>
                </w:p>
              </w:tc>
              <w:tc>
                <w:tcPr>
                  <w:tcW w:w="1038" w:type="pct"/>
                  <w:shd w:val="clear" w:color="auto" w:fill="auto"/>
                  <w:noWrap w:val="0"/>
                  <w:vAlign w:val="center"/>
                </w:tcPr>
                <w:p w14:paraId="0B51AECC">
                  <w:pPr>
                    <w:pStyle w:val="92"/>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废包装材料</w:t>
                  </w:r>
                </w:p>
              </w:tc>
              <w:tc>
                <w:tcPr>
                  <w:tcW w:w="1373" w:type="pct"/>
                  <w:vMerge w:val="restart"/>
                  <w:noWrap w:val="0"/>
                  <w:vAlign w:val="center"/>
                </w:tcPr>
                <w:p w14:paraId="7AE061E6">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外售综合利用</w:t>
                  </w:r>
                </w:p>
              </w:tc>
              <w:tc>
                <w:tcPr>
                  <w:tcW w:w="1208" w:type="pct"/>
                  <w:vMerge w:val="restart"/>
                  <w:noWrap w:val="0"/>
                  <w:vAlign w:val="center"/>
                </w:tcPr>
                <w:p w14:paraId="19CE5F8B">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外售综合利用</w:t>
                  </w:r>
                </w:p>
              </w:tc>
            </w:tr>
            <w:tr w14:paraId="4D5E4B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continue"/>
                  <w:noWrap w:val="0"/>
                  <w:vAlign w:val="center"/>
                </w:tcPr>
                <w:p w14:paraId="16A5532A">
                  <w:pPr>
                    <w:spacing w:line="240" w:lineRule="auto"/>
                    <w:jc w:val="center"/>
                    <w:rPr>
                      <w:rFonts w:hint="default" w:ascii="Times New Roman" w:hAnsi="Times New Roman" w:eastAsia="宋体" w:cs="Times New Roman"/>
                      <w:bCs/>
                      <w:color w:val="auto"/>
                      <w:sz w:val="21"/>
                      <w:szCs w:val="21"/>
                      <w:highlight w:val="none"/>
                    </w:rPr>
                  </w:pPr>
                </w:p>
              </w:tc>
              <w:tc>
                <w:tcPr>
                  <w:tcW w:w="391" w:type="pct"/>
                  <w:vMerge w:val="continue"/>
                  <w:noWrap w:val="0"/>
                  <w:vAlign w:val="center"/>
                </w:tcPr>
                <w:p w14:paraId="0B7ADB53">
                  <w:pPr>
                    <w:spacing w:line="240" w:lineRule="auto"/>
                    <w:jc w:val="center"/>
                    <w:rPr>
                      <w:rFonts w:hint="default" w:ascii="Times New Roman" w:hAnsi="Times New Roman" w:eastAsia="宋体" w:cs="Times New Roman"/>
                      <w:bCs/>
                      <w:color w:val="auto"/>
                      <w:sz w:val="21"/>
                      <w:szCs w:val="21"/>
                      <w:highlight w:val="none"/>
                    </w:rPr>
                  </w:pPr>
                </w:p>
              </w:tc>
              <w:tc>
                <w:tcPr>
                  <w:tcW w:w="659" w:type="pct"/>
                  <w:vMerge w:val="continue"/>
                  <w:noWrap w:val="0"/>
                  <w:vAlign w:val="center"/>
                </w:tcPr>
                <w:p w14:paraId="3D3D3FC7">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038" w:type="pct"/>
                  <w:shd w:val="clear" w:color="auto" w:fill="auto"/>
                  <w:noWrap w:val="0"/>
                  <w:vAlign w:val="center"/>
                </w:tcPr>
                <w:p w14:paraId="799791D2">
                  <w:pPr>
                    <w:pStyle w:val="92"/>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布袋捕集物、沉渣</w:t>
                  </w:r>
                </w:p>
              </w:tc>
              <w:tc>
                <w:tcPr>
                  <w:tcW w:w="1373" w:type="pct"/>
                  <w:vMerge w:val="continue"/>
                  <w:noWrap w:val="0"/>
                  <w:vAlign w:val="center"/>
                </w:tcPr>
                <w:p w14:paraId="388B34E3">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208" w:type="pct"/>
                  <w:vMerge w:val="continue"/>
                  <w:noWrap w:val="0"/>
                  <w:vAlign w:val="center"/>
                </w:tcPr>
                <w:p w14:paraId="60150B7A">
                  <w:pPr>
                    <w:keepNext w:val="0"/>
                    <w:keepLines w:val="0"/>
                    <w:pageBreakBefore w:val="0"/>
                    <w:kinsoku/>
                    <w:wordWrap/>
                    <w:overflowPunct/>
                    <w:topLinePunct w:val="0"/>
                    <w:bidi w:val="0"/>
                    <w:spacing w:line="240" w:lineRule="auto"/>
                    <w:ind w:left="0" w:leftChars="0" w:right="0" w:rightChars="0"/>
                    <w:jc w:val="center"/>
                    <w:textAlignment w:val="auto"/>
                    <w:rPr>
                      <w:rFonts w:hint="eastAsia" w:ascii="Times New Roman" w:hAnsi="Times New Roman" w:eastAsia="宋体" w:cs="Times New Roman"/>
                      <w:color w:val="auto"/>
                      <w:kern w:val="0"/>
                      <w:sz w:val="21"/>
                      <w:szCs w:val="21"/>
                      <w:highlight w:val="none"/>
                      <w:lang w:val="en-US" w:eastAsia="zh-CN"/>
                    </w:rPr>
                  </w:pPr>
                </w:p>
              </w:tc>
            </w:tr>
            <w:tr w14:paraId="0FCE72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continue"/>
                  <w:noWrap w:val="0"/>
                  <w:vAlign w:val="center"/>
                </w:tcPr>
                <w:p w14:paraId="1FD54642">
                  <w:pPr>
                    <w:spacing w:line="240" w:lineRule="auto"/>
                    <w:jc w:val="center"/>
                    <w:rPr>
                      <w:rFonts w:hint="default" w:ascii="Times New Roman" w:hAnsi="Times New Roman" w:eastAsia="宋体" w:cs="Times New Roman"/>
                      <w:bCs/>
                      <w:color w:val="auto"/>
                      <w:sz w:val="21"/>
                      <w:szCs w:val="21"/>
                      <w:highlight w:val="none"/>
                    </w:rPr>
                  </w:pPr>
                </w:p>
              </w:tc>
              <w:tc>
                <w:tcPr>
                  <w:tcW w:w="391" w:type="pct"/>
                  <w:vMerge w:val="continue"/>
                  <w:noWrap w:val="0"/>
                  <w:vAlign w:val="center"/>
                </w:tcPr>
                <w:p w14:paraId="57D0C7B8">
                  <w:pPr>
                    <w:spacing w:line="240" w:lineRule="auto"/>
                    <w:jc w:val="center"/>
                    <w:rPr>
                      <w:rFonts w:hint="default" w:ascii="Times New Roman" w:hAnsi="Times New Roman" w:eastAsia="宋体" w:cs="Times New Roman"/>
                      <w:bCs/>
                      <w:color w:val="auto"/>
                      <w:sz w:val="21"/>
                      <w:szCs w:val="21"/>
                      <w:highlight w:val="none"/>
                    </w:rPr>
                  </w:pPr>
                </w:p>
              </w:tc>
              <w:tc>
                <w:tcPr>
                  <w:tcW w:w="659" w:type="pct"/>
                  <w:vMerge w:val="continue"/>
                  <w:noWrap w:val="0"/>
                  <w:vAlign w:val="center"/>
                </w:tcPr>
                <w:p w14:paraId="0C9E92FC">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038" w:type="pct"/>
                  <w:shd w:val="clear" w:color="auto" w:fill="auto"/>
                  <w:noWrap w:val="0"/>
                  <w:vAlign w:val="center"/>
                </w:tcPr>
                <w:p w14:paraId="468F9A24">
                  <w:pPr>
                    <w:pStyle w:val="92"/>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rPr>
                    <w:t>水喷淋更换废液</w:t>
                  </w:r>
                </w:p>
              </w:tc>
              <w:tc>
                <w:tcPr>
                  <w:tcW w:w="1373" w:type="pct"/>
                  <w:vMerge w:val="restart"/>
                  <w:noWrap w:val="0"/>
                  <w:vAlign w:val="center"/>
                </w:tcPr>
                <w:p w14:paraId="7C249D54">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委托有资质单位处置</w:t>
                  </w:r>
                </w:p>
              </w:tc>
              <w:tc>
                <w:tcPr>
                  <w:tcW w:w="1208" w:type="pct"/>
                  <w:vMerge w:val="restart"/>
                  <w:noWrap w:val="0"/>
                  <w:vAlign w:val="center"/>
                </w:tcPr>
                <w:p w14:paraId="654B7D2E">
                  <w:pPr>
                    <w:keepNext w:val="0"/>
                    <w:keepLines w:val="0"/>
                    <w:pageBreakBefore w:val="0"/>
                    <w:kinsoku/>
                    <w:wordWrap/>
                    <w:overflowPunct/>
                    <w:topLinePunct w:val="0"/>
                    <w:bidi w:val="0"/>
                    <w:spacing w:line="240" w:lineRule="auto"/>
                    <w:ind w:left="0" w:leftChars="0" w:right="0" w:rightChars="0"/>
                    <w:jc w:val="center"/>
                    <w:textAlignment w:val="auto"/>
                    <w:rPr>
                      <w:rFonts w:hint="eastAsia"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委托有资质单位处置</w:t>
                  </w:r>
                </w:p>
              </w:tc>
            </w:tr>
            <w:tr w14:paraId="27D8B0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continue"/>
                  <w:noWrap w:val="0"/>
                  <w:vAlign w:val="center"/>
                </w:tcPr>
                <w:p w14:paraId="71970525">
                  <w:pPr>
                    <w:spacing w:line="240" w:lineRule="auto"/>
                    <w:jc w:val="center"/>
                    <w:rPr>
                      <w:rFonts w:hint="default" w:ascii="Times New Roman" w:hAnsi="Times New Roman" w:eastAsia="宋体" w:cs="Times New Roman"/>
                      <w:bCs/>
                      <w:color w:val="auto"/>
                      <w:sz w:val="21"/>
                      <w:szCs w:val="21"/>
                      <w:highlight w:val="none"/>
                    </w:rPr>
                  </w:pPr>
                </w:p>
              </w:tc>
              <w:tc>
                <w:tcPr>
                  <w:tcW w:w="391" w:type="pct"/>
                  <w:vMerge w:val="continue"/>
                  <w:noWrap w:val="0"/>
                  <w:vAlign w:val="center"/>
                </w:tcPr>
                <w:p w14:paraId="5131B69F">
                  <w:pPr>
                    <w:spacing w:line="240" w:lineRule="auto"/>
                    <w:jc w:val="center"/>
                    <w:rPr>
                      <w:rFonts w:hint="default" w:ascii="Times New Roman" w:hAnsi="Times New Roman" w:eastAsia="宋体" w:cs="Times New Roman"/>
                      <w:bCs/>
                      <w:color w:val="auto"/>
                      <w:sz w:val="21"/>
                      <w:szCs w:val="21"/>
                      <w:highlight w:val="none"/>
                    </w:rPr>
                  </w:pPr>
                </w:p>
              </w:tc>
              <w:tc>
                <w:tcPr>
                  <w:tcW w:w="659" w:type="pct"/>
                  <w:vMerge w:val="continue"/>
                  <w:noWrap w:val="0"/>
                  <w:vAlign w:val="center"/>
                </w:tcPr>
                <w:p w14:paraId="06360586">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038" w:type="pct"/>
                  <w:shd w:val="clear" w:color="auto" w:fill="auto"/>
                  <w:noWrap w:val="0"/>
                  <w:vAlign w:val="center"/>
                </w:tcPr>
                <w:p w14:paraId="0B301C3D">
                  <w:pPr>
                    <w:pStyle w:val="92"/>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color w:val="auto"/>
                      <w:kern w:val="0"/>
                      <w:sz w:val="21"/>
                      <w:szCs w:val="21"/>
                    </w:rPr>
                    <w:t>废活性炭</w:t>
                  </w:r>
                </w:p>
              </w:tc>
              <w:tc>
                <w:tcPr>
                  <w:tcW w:w="1373" w:type="pct"/>
                  <w:vMerge w:val="continue"/>
                  <w:noWrap w:val="0"/>
                  <w:vAlign w:val="center"/>
                </w:tcPr>
                <w:p w14:paraId="6430AEDD">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208" w:type="pct"/>
                  <w:vMerge w:val="continue"/>
                  <w:noWrap w:val="0"/>
                  <w:vAlign w:val="center"/>
                </w:tcPr>
                <w:p w14:paraId="67E5B5CB">
                  <w:pPr>
                    <w:keepNext w:val="0"/>
                    <w:keepLines w:val="0"/>
                    <w:pageBreakBefore w:val="0"/>
                    <w:kinsoku/>
                    <w:wordWrap/>
                    <w:overflowPunct/>
                    <w:topLinePunct w:val="0"/>
                    <w:bidi w:val="0"/>
                    <w:spacing w:line="240" w:lineRule="auto"/>
                    <w:ind w:left="0" w:leftChars="0" w:right="0" w:rightChars="0"/>
                    <w:jc w:val="center"/>
                    <w:textAlignment w:val="auto"/>
                    <w:rPr>
                      <w:rFonts w:hint="eastAsia" w:ascii="Times New Roman" w:hAnsi="Times New Roman" w:eastAsia="宋体" w:cs="Times New Roman"/>
                      <w:color w:val="auto"/>
                      <w:kern w:val="0"/>
                      <w:sz w:val="21"/>
                      <w:szCs w:val="21"/>
                      <w:highlight w:val="none"/>
                      <w:lang w:val="en-US" w:eastAsia="zh-CN"/>
                    </w:rPr>
                  </w:pPr>
                </w:p>
              </w:tc>
            </w:tr>
            <w:tr w14:paraId="3CE11F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continue"/>
                  <w:noWrap w:val="0"/>
                  <w:vAlign w:val="center"/>
                </w:tcPr>
                <w:p w14:paraId="35235831">
                  <w:pPr>
                    <w:spacing w:line="240" w:lineRule="auto"/>
                    <w:jc w:val="center"/>
                    <w:rPr>
                      <w:rFonts w:hint="default" w:ascii="Times New Roman" w:hAnsi="Times New Roman" w:eastAsia="宋体" w:cs="Times New Roman"/>
                      <w:bCs/>
                      <w:color w:val="auto"/>
                      <w:sz w:val="21"/>
                      <w:szCs w:val="21"/>
                      <w:highlight w:val="none"/>
                    </w:rPr>
                  </w:pPr>
                </w:p>
              </w:tc>
              <w:tc>
                <w:tcPr>
                  <w:tcW w:w="391" w:type="pct"/>
                  <w:vMerge w:val="continue"/>
                  <w:noWrap w:val="0"/>
                  <w:vAlign w:val="center"/>
                </w:tcPr>
                <w:p w14:paraId="164CE776">
                  <w:pPr>
                    <w:spacing w:line="240" w:lineRule="auto"/>
                    <w:jc w:val="center"/>
                    <w:rPr>
                      <w:rFonts w:hint="default" w:ascii="Times New Roman" w:hAnsi="Times New Roman" w:eastAsia="宋体" w:cs="Times New Roman"/>
                      <w:bCs/>
                      <w:color w:val="auto"/>
                      <w:sz w:val="21"/>
                      <w:szCs w:val="21"/>
                      <w:highlight w:val="none"/>
                    </w:rPr>
                  </w:pPr>
                </w:p>
              </w:tc>
              <w:tc>
                <w:tcPr>
                  <w:tcW w:w="659" w:type="pct"/>
                  <w:vMerge w:val="continue"/>
                  <w:noWrap w:val="0"/>
                  <w:vAlign w:val="center"/>
                </w:tcPr>
                <w:p w14:paraId="636453B8">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038" w:type="pct"/>
                  <w:shd w:val="clear" w:color="auto" w:fill="auto"/>
                  <w:noWrap w:val="0"/>
                  <w:vAlign w:val="center"/>
                </w:tcPr>
                <w:p w14:paraId="2C7CC512">
                  <w:pPr>
                    <w:pStyle w:val="92"/>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废润滑油</w:t>
                  </w:r>
                </w:p>
              </w:tc>
              <w:tc>
                <w:tcPr>
                  <w:tcW w:w="1373" w:type="pct"/>
                  <w:vMerge w:val="continue"/>
                  <w:noWrap w:val="0"/>
                  <w:vAlign w:val="center"/>
                </w:tcPr>
                <w:p w14:paraId="04F72442">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208" w:type="pct"/>
                  <w:vMerge w:val="continue"/>
                  <w:noWrap w:val="0"/>
                  <w:vAlign w:val="center"/>
                </w:tcPr>
                <w:p w14:paraId="453A024F">
                  <w:pPr>
                    <w:keepNext w:val="0"/>
                    <w:keepLines w:val="0"/>
                    <w:pageBreakBefore w:val="0"/>
                    <w:kinsoku/>
                    <w:wordWrap/>
                    <w:overflowPunct/>
                    <w:topLinePunct w:val="0"/>
                    <w:bidi w:val="0"/>
                    <w:spacing w:line="240" w:lineRule="auto"/>
                    <w:ind w:left="0" w:leftChars="0" w:right="0" w:rightChars="0"/>
                    <w:jc w:val="center"/>
                    <w:textAlignment w:val="auto"/>
                    <w:rPr>
                      <w:rFonts w:hint="eastAsia" w:ascii="Times New Roman" w:hAnsi="Times New Roman" w:eastAsia="宋体" w:cs="Times New Roman"/>
                      <w:color w:val="auto"/>
                      <w:kern w:val="0"/>
                      <w:sz w:val="21"/>
                      <w:szCs w:val="21"/>
                      <w:highlight w:val="none"/>
                      <w:lang w:val="en-US" w:eastAsia="zh-CN"/>
                    </w:rPr>
                  </w:pPr>
                </w:p>
              </w:tc>
            </w:tr>
            <w:tr w14:paraId="1D672D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continue"/>
                  <w:noWrap w:val="0"/>
                  <w:vAlign w:val="center"/>
                </w:tcPr>
                <w:p w14:paraId="35851D60">
                  <w:pPr>
                    <w:spacing w:line="240" w:lineRule="auto"/>
                    <w:jc w:val="center"/>
                    <w:rPr>
                      <w:rFonts w:hint="default" w:ascii="Times New Roman" w:hAnsi="Times New Roman" w:eastAsia="宋体" w:cs="Times New Roman"/>
                      <w:bCs/>
                      <w:color w:val="auto"/>
                      <w:sz w:val="21"/>
                      <w:szCs w:val="21"/>
                      <w:highlight w:val="none"/>
                    </w:rPr>
                  </w:pPr>
                </w:p>
              </w:tc>
              <w:tc>
                <w:tcPr>
                  <w:tcW w:w="391" w:type="pct"/>
                  <w:vMerge w:val="continue"/>
                  <w:noWrap w:val="0"/>
                  <w:vAlign w:val="center"/>
                </w:tcPr>
                <w:p w14:paraId="6A96D41A">
                  <w:pPr>
                    <w:spacing w:line="240" w:lineRule="auto"/>
                    <w:jc w:val="center"/>
                    <w:rPr>
                      <w:rFonts w:hint="default" w:ascii="Times New Roman" w:hAnsi="Times New Roman" w:eastAsia="宋体" w:cs="Times New Roman"/>
                      <w:bCs/>
                      <w:color w:val="auto"/>
                      <w:sz w:val="21"/>
                      <w:szCs w:val="21"/>
                      <w:highlight w:val="none"/>
                    </w:rPr>
                  </w:pPr>
                </w:p>
              </w:tc>
              <w:tc>
                <w:tcPr>
                  <w:tcW w:w="659" w:type="pct"/>
                  <w:vMerge w:val="continue"/>
                  <w:noWrap w:val="0"/>
                  <w:vAlign w:val="center"/>
                </w:tcPr>
                <w:p w14:paraId="57F250F8">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038" w:type="pct"/>
                  <w:shd w:val="clear" w:color="auto" w:fill="auto"/>
                  <w:noWrap w:val="0"/>
                  <w:vAlign w:val="center"/>
                </w:tcPr>
                <w:p w14:paraId="5637247E">
                  <w:pPr>
                    <w:pStyle w:val="92"/>
                    <w:rPr>
                      <w:rFonts w:hint="eastAsia"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废铁质油桶</w:t>
                  </w:r>
                </w:p>
              </w:tc>
              <w:tc>
                <w:tcPr>
                  <w:tcW w:w="1373" w:type="pct"/>
                  <w:vMerge w:val="continue"/>
                  <w:noWrap w:val="0"/>
                  <w:vAlign w:val="center"/>
                </w:tcPr>
                <w:p w14:paraId="0F35C62E">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208" w:type="pct"/>
                  <w:vMerge w:val="continue"/>
                  <w:noWrap w:val="0"/>
                  <w:vAlign w:val="center"/>
                </w:tcPr>
                <w:p w14:paraId="591174A8">
                  <w:pPr>
                    <w:keepNext w:val="0"/>
                    <w:keepLines w:val="0"/>
                    <w:pageBreakBefore w:val="0"/>
                    <w:kinsoku/>
                    <w:wordWrap/>
                    <w:overflowPunct/>
                    <w:topLinePunct w:val="0"/>
                    <w:bidi w:val="0"/>
                    <w:spacing w:line="240" w:lineRule="auto"/>
                    <w:ind w:left="0" w:leftChars="0" w:right="0" w:rightChars="0"/>
                    <w:jc w:val="center"/>
                    <w:textAlignment w:val="auto"/>
                    <w:rPr>
                      <w:rFonts w:hint="eastAsia" w:ascii="Times New Roman" w:hAnsi="Times New Roman" w:eastAsia="宋体" w:cs="Times New Roman"/>
                      <w:color w:val="auto"/>
                      <w:kern w:val="0"/>
                      <w:sz w:val="21"/>
                      <w:szCs w:val="21"/>
                      <w:highlight w:val="none"/>
                      <w:lang w:val="en-US" w:eastAsia="zh-CN"/>
                    </w:rPr>
                  </w:pPr>
                </w:p>
              </w:tc>
            </w:tr>
            <w:tr w14:paraId="062A40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continue"/>
                  <w:noWrap w:val="0"/>
                  <w:vAlign w:val="center"/>
                </w:tcPr>
                <w:p w14:paraId="21B1D90E">
                  <w:pPr>
                    <w:spacing w:line="240" w:lineRule="auto"/>
                    <w:jc w:val="center"/>
                    <w:rPr>
                      <w:rFonts w:hint="default" w:ascii="Times New Roman" w:hAnsi="Times New Roman" w:eastAsia="宋体" w:cs="Times New Roman"/>
                      <w:bCs/>
                      <w:color w:val="auto"/>
                      <w:sz w:val="21"/>
                      <w:szCs w:val="21"/>
                      <w:highlight w:val="none"/>
                    </w:rPr>
                  </w:pPr>
                </w:p>
              </w:tc>
              <w:tc>
                <w:tcPr>
                  <w:tcW w:w="391" w:type="pct"/>
                  <w:vMerge w:val="continue"/>
                  <w:noWrap w:val="0"/>
                  <w:vAlign w:val="center"/>
                </w:tcPr>
                <w:p w14:paraId="793A771B">
                  <w:pPr>
                    <w:spacing w:line="240" w:lineRule="auto"/>
                    <w:jc w:val="center"/>
                    <w:rPr>
                      <w:rFonts w:hint="default" w:ascii="Times New Roman" w:hAnsi="Times New Roman" w:eastAsia="宋体" w:cs="Times New Roman"/>
                      <w:bCs/>
                      <w:color w:val="auto"/>
                      <w:sz w:val="21"/>
                      <w:szCs w:val="21"/>
                      <w:highlight w:val="none"/>
                    </w:rPr>
                  </w:pPr>
                </w:p>
              </w:tc>
              <w:tc>
                <w:tcPr>
                  <w:tcW w:w="659" w:type="pct"/>
                  <w:vMerge w:val="continue"/>
                  <w:noWrap w:val="0"/>
                  <w:vAlign w:val="center"/>
                </w:tcPr>
                <w:p w14:paraId="775FFB67">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038" w:type="pct"/>
                  <w:shd w:val="clear" w:color="auto" w:fill="auto"/>
                  <w:noWrap w:val="0"/>
                  <w:vAlign w:val="center"/>
                </w:tcPr>
                <w:p w14:paraId="78B67A67">
                  <w:pPr>
                    <w:pStyle w:val="92"/>
                    <w:rPr>
                      <w:rFonts w:hint="eastAsia"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废含油抹布</w:t>
                  </w:r>
                </w:p>
              </w:tc>
              <w:tc>
                <w:tcPr>
                  <w:tcW w:w="1373" w:type="pct"/>
                  <w:vMerge w:val="continue"/>
                  <w:noWrap w:val="0"/>
                  <w:vAlign w:val="center"/>
                </w:tcPr>
                <w:p w14:paraId="79BA97B0">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208" w:type="pct"/>
                  <w:vMerge w:val="continue"/>
                  <w:noWrap w:val="0"/>
                  <w:vAlign w:val="center"/>
                </w:tcPr>
                <w:p w14:paraId="155A04FA">
                  <w:pPr>
                    <w:keepNext w:val="0"/>
                    <w:keepLines w:val="0"/>
                    <w:pageBreakBefore w:val="0"/>
                    <w:kinsoku/>
                    <w:wordWrap/>
                    <w:overflowPunct/>
                    <w:topLinePunct w:val="0"/>
                    <w:bidi w:val="0"/>
                    <w:spacing w:line="240" w:lineRule="auto"/>
                    <w:ind w:left="0" w:leftChars="0" w:right="0" w:rightChars="0"/>
                    <w:jc w:val="center"/>
                    <w:textAlignment w:val="auto"/>
                    <w:rPr>
                      <w:rFonts w:hint="eastAsia" w:ascii="Times New Roman" w:hAnsi="Times New Roman" w:eastAsia="宋体" w:cs="Times New Roman"/>
                      <w:color w:val="auto"/>
                      <w:kern w:val="0"/>
                      <w:sz w:val="21"/>
                      <w:szCs w:val="21"/>
                      <w:highlight w:val="none"/>
                      <w:lang w:val="en-US" w:eastAsia="zh-CN"/>
                    </w:rPr>
                  </w:pPr>
                </w:p>
              </w:tc>
            </w:tr>
            <w:tr w14:paraId="520140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9" w:type="pct"/>
                  <w:vMerge w:val="continue"/>
                  <w:noWrap w:val="0"/>
                  <w:vAlign w:val="center"/>
                </w:tcPr>
                <w:p w14:paraId="10CBCCD0">
                  <w:pPr>
                    <w:spacing w:line="240" w:lineRule="auto"/>
                    <w:jc w:val="center"/>
                    <w:rPr>
                      <w:rFonts w:hint="default" w:ascii="Times New Roman" w:hAnsi="Times New Roman" w:eastAsia="宋体" w:cs="Times New Roman"/>
                      <w:bCs/>
                      <w:color w:val="auto"/>
                      <w:sz w:val="21"/>
                      <w:szCs w:val="21"/>
                      <w:highlight w:val="none"/>
                    </w:rPr>
                  </w:pPr>
                </w:p>
              </w:tc>
              <w:tc>
                <w:tcPr>
                  <w:tcW w:w="391" w:type="pct"/>
                  <w:vMerge w:val="continue"/>
                  <w:noWrap w:val="0"/>
                  <w:vAlign w:val="center"/>
                </w:tcPr>
                <w:p w14:paraId="1CE444E8">
                  <w:pPr>
                    <w:spacing w:line="240" w:lineRule="auto"/>
                    <w:jc w:val="center"/>
                    <w:rPr>
                      <w:rFonts w:hint="default" w:ascii="Times New Roman" w:hAnsi="Times New Roman" w:eastAsia="宋体" w:cs="Times New Roman"/>
                      <w:bCs/>
                      <w:color w:val="auto"/>
                      <w:sz w:val="21"/>
                      <w:szCs w:val="21"/>
                      <w:highlight w:val="none"/>
                    </w:rPr>
                  </w:pPr>
                </w:p>
              </w:tc>
              <w:tc>
                <w:tcPr>
                  <w:tcW w:w="659" w:type="pct"/>
                  <w:noWrap w:val="0"/>
                  <w:vAlign w:val="center"/>
                </w:tcPr>
                <w:p w14:paraId="21305AD1">
                  <w:pPr>
                    <w:spacing w:line="240" w:lineRule="auto"/>
                    <w:jc w:val="center"/>
                    <w:rPr>
                      <w:rFonts w:hint="default" w:ascii="Times New Roman" w:hAnsi="Times New Roman" w:eastAsia="宋体" w:cs="Times New Roman"/>
                      <w:bCs/>
                      <w:color w:val="auto"/>
                      <w:sz w:val="21"/>
                      <w:szCs w:val="21"/>
                      <w:highlight w:val="none"/>
                      <w:lang w:val="en-US" w:eastAsia="zh-CN"/>
                    </w:rPr>
                  </w:pPr>
                  <w:r>
                    <w:rPr>
                      <w:rFonts w:hint="default" w:ascii="Times New Roman" w:hAnsi="Times New Roman" w:eastAsia="宋体" w:cs="Times New Roman"/>
                      <w:bCs/>
                      <w:color w:val="auto"/>
                      <w:sz w:val="21"/>
                      <w:szCs w:val="21"/>
                      <w:highlight w:val="none"/>
                      <w:lang w:val="en-US" w:eastAsia="zh-CN"/>
                    </w:rPr>
                    <w:t>员工生活</w:t>
                  </w:r>
                </w:p>
              </w:tc>
              <w:tc>
                <w:tcPr>
                  <w:tcW w:w="1038" w:type="pct"/>
                  <w:noWrap w:val="0"/>
                  <w:vAlign w:val="center"/>
                </w:tcPr>
                <w:p w14:paraId="3CEA2180">
                  <w:pPr>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生活垃圾</w:t>
                  </w:r>
                </w:p>
              </w:tc>
              <w:tc>
                <w:tcPr>
                  <w:tcW w:w="1373" w:type="pct"/>
                  <w:noWrap w:val="0"/>
                  <w:vAlign w:val="center"/>
                </w:tcPr>
                <w:p w14:paraId="58A4A234">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bCs/>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rPr>
                    <w:t>环卫部门统一处理</w:t>
                  </w:r>
                </w:p>
              </w:tc>
              <w:tc>
                <w:tcPr>
                  <w:tcW w:w="1208" w:type="pct"/>
                  <w:noWrap w:val="0"/>
                  <w:vAlign w:val="center"/>
                </w:tcPr>
                <w:p w14:paraId="2C3F2B58">
                  <w:pPr>
                    <w:keepNext w:val="0"/>
                    <w:keepLines w:val="0"/>
                    <w:pageBreakBefore w:val="0"/>
                    <w:kinsoku/>
                    <w:wordWrap/>
                    <w:overflowPunct/>
                    <w:topLinePunct w:val="0"/>
                    <w:bidi w:val="0"/>
                    <w:spacing w:line="240" w:lineRule="auto"/>
                    <w:ind w:left="0" w:leftChars="0" w:right="0" w:right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rPr>
                    <w:t>环卫部门统一处理</w:t>
                  </w:r>
                </w:p>
              </w:tc>
            </w:tr>
          </w:tbl>
          <w:p w14:paraId="6F108C36">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22" w:firstLineChars="200"/>
              <w:textAlignment w:val="auto"/>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2</w:t>
            </w:r>
            <w:r>
              <w:rPr>
                <w:rFonts w:hint="default" w:ascii="Times New Roman" w:hAnsi="Times New Roman" w:eastAsia="宋体" w:cs="Times New Roman"/>
                <w:b/>
                <w:bCs/>
                <w:color w:val="auto"/>
                <w:sz w:val="21"/>
                <w:szCs w:val="21"/>
                <w:lang w:val="en-US" w:eastAsia="zh-CN"/>
              </w:rPr>
              <w:t>、</w:t>
            </w:r>
            <w:r>
              <w:rPr>
                <w:rFonts w:hint="eastAsia" w:ascii="Times New Roman" w:hAnsi="Times New Roman" w:eastAsia="宋体" w:cs="Times New Roman"/>
                <w:b/>
                <w:bCs/>
                <w:color w:val="auto"/>
                <w:sz w:val="21"/>
                <w:szCs w:val="21"/>
                <w:lang w:val="en-US" w:eastAsia="zh-CN"/>
              </w:rPr>
              <w:t>原</w:t>
            </w:r>
            <w:r>
              <w:rPr>
                <w:rFonts w:hint="default" w:ascii="Times New Roman" w:hAnsi="Times New Roman" w:eastAsia="宋体" w:cs="Times New Roman"/>
                <w:b/>
                <w:bCs/>
                <w:color w:val="auto"/>
                <w:sz w:val="21"/>
                <w:szCs w:val="21"/>
                <w:lang w:val="en-US" w:eastAsia="zh-CN"/>
              </w:rPr>
              <w:t>项目</w:t>
            </w:r>
            <w:r>
              <w:rPr>
                <w:rFonts w:hint="eastAsia"/>
                <w:b/>
                <w:bCs/>
                <w:color w:val="auto"/>
                <w:sz w:val="21"/>
                <w:szCs w:val="21"/>
                <w:highlight w:val="none"/>
              </w:rPr>
              <w:t>污染物达标排放情况</w:t>
            </w:r>
          </w:p>
          <w:p w14:paraId="5EBEBF76">
            <w:pPr>
              <w:pStyle w:val="7"/>
              <w:keepNext w:val="0"/>
              <w:keepLines w:val="0"/>
              <w:pageBreakBefore w:val="0"/>
              <w:widowControl w:val="0"/>
              <w:kinsoku/>
              <w:wordWrap/>
              <w:overflowPunct/>
              <w:topLinePunct w:val="0"/>
              <w:autoSpaceDE/>
              <w:autoSpaceDN/>
              <w:bidi w:val="0"/>
              <w:adjustRightInd w:val="0"/>
              <w:snapToGrid w:val="0"/>
              <w:spacing w:line="360" w:lineRule="auto"/>
              <w:ind w:left="0" w:leftChars="0" w:firstLine="420" w:firstLineChars="200"/>
              <w:textAlignment w:val="auto"/>
              <w:rPr>
                <w:rFonts w:hint="eastAsia" w:ascii="Times New Roman" w:hAnsi="Times New Roman" w:eastAsia="宋体" w:cs="Times New Roman"/>
                <w:b/>
                <w:bCs/>
                <w:color w:val="auto"/>
                <w:kern w:val="2"/>
                <w:sz w:val="21"/>
                <w:szCs w:val="21"/>
                <w:highlight w:val="none"/>
                <w:lang w:val="en-US" w:eastAsia="zh-CN" w:bidi="ar-SA"/>
              </w:rPr>
            </w:pPr>
            <w:r>
              <w:rPr>
                <w:rFonts w:hint="eastAsia" w:eastAsia="宋体"/>
                <w:color w:val="auto"/>
                <w:sz w:val="21"/>
                <w:szCs w:val="21"/>
                <w:highlight w:val="none"/>
              </w:rPr>
              <w:t>根据《常州和瑞新材料科技有限公司新建热塑性弹性体及制品项目竣工环境保护验收</w:t>
            </w:r>
            <w:r>
              <w:rPr>
                <w:rFonts w:hint="eastAsia" w:eastAsia="宋体"/>
                <w:color w:val="auto"/>
                <w:sz w:val="21"/>
                <w:szCs w:val="21"/>
                <w:highlight w:val="none"/>
                <w:lang w:val="en-US" w:eastAsia="zh-CN"/>
              </w:rPr>
              <w:t>监测报告表</w:t>
            </w:r>
            <w:r>
              <w:rPr>
                <w:rFonts w:hint="eastAsia" w:eastAsia="宋体"/>
                <w:color w:val="auto"/>
                <w:sz w:val="21"/>
                <w:szCs w:val="21"/>
                <w:highlight w:val="none"/>
              </w:rPr>
              <w:t>》</w:t>
            </w:r>
            <w:r>
              <w:rPr>
                <w:rFonts w:hint="eastAsia" w:eastAsia="宋体"/>
                <w:color w:val="auto"/>
                <w:sz w:val="21"/>
                <w:szCs w:val="21"/>
                <w:highlight w:val="none"/>
                <w:lang w:val="en-US" w:eastAsia="zh-CN"/>
              </w:rPr>
              <w:t>中验收监测数据可知</w:t>
            </w:r>
            <w:r>
              <w:rPr>
                <w:rFonts w:hint="eastAsia"/>
                <w:color w:val="auto"/>
                <w:sz w:val="21"/>
                <w:szCs w:val="21"/>
                <w:highlight w:val="none"/>
              </w:rPr>
              <w:t>，</w:t>
            </w:r>
            <w:r>
              <w:rPr>
                <w:rFonts w:hint="eastAsia"/>
                <w:color w:val="auto"/>
                <w:sz w:val="21"/>
                <w:szCs w:val="21"/>
                <w:highlight w:val="none"/>
                <w:lang w:val="en-US" w:eastAsia="zh-CN"/>
              </w:rPr>
              <w:t>现有</w:t>
            </w:r>
            <w:r>
              <w:rPr>
                <w:rFonts w:hint="eastAsia"/>
                <w:color w:val="auto"/>
                <w:sz w:val="21"/>
                <w:szCs w:val="21"/>
                <w:highlight w:val="none"/>
              </w:rPr>
              <w:t>项目污染物监测结果见下表。</w:t>
            </w:r>
          </w:p>
          <w:p w14:paraId="59B36218">
            <w:pPr>
              <w:pStyle w:val="7"/>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textAlignment w:val="auto"/>
              <w:rPr>
                <w:rFonts w:hint="default"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（1）废气</w:t>
            </w:r>
          </w:p>
          <w:p w14:paraId="61BACAD2">
            <w:pPr>
              <w:pStyle w:val="7"/>
              <w:adjustRightInd w:val="0"/>
              <w:snapToGrid w:val="0"/>
              <w:spacing w:line="360" w:lineRule="auto"/>
              <w:ind w:left="0" w:leftChars="0" w:firstLine="420" w:firstLineChars="200"/>
              <w:rPr>
                <w:rFonts w:ascii="Times New Roman" w:hAnsi="Times New Roman" w:eastAsia="宋体"/>
                <w:b/>
                <w:bCs/>
                <w:color w:val="auto"/>
                <w:sz w:val="21"/>
                <w:szCs w:val="21"/>
                <w:highlight w:val="none"/>
              </w:rPr>
            </w:pPr>
            <w:r>
              <w:rPr>
                <w:rFonts w:hint="eastAsia"/>
                <w:color w:val="auto"/>
                <w:sz w:val="21"/>
                <w:szCs w:val="21"/>
                <w:highlight w:val="none"/>
              </w:rPr>
              <w:t>项目废气监测结果见</w:t>
            </w:r>
            <w:r>
              <w:rPr>
                <w:rFonts w:hint="eastAsia"/>
                <w:color w:val="auto"/>
                <w:sz w:val="21"/>
                <w:szCs w:val="21"/>
                <w:highlight w:val="none"/>
                <w:lang w:val="en-US" w:eastAsia="zh-CN"/>
              </w:rPr>
              <w:t>下</w:t>
            </w:r>
            <w:r>
              <w:rPr>
                <w:rFonts w:hint="eastAsia"/>
                <w:color w:val="auto"/>
                <w:sz w:val="21"/>
                <w:szCs w:val="21"/>
                <w:highlight w:val="none"/>
              </w:rPr>
              <w:t>表。</w:t>
            </w:r>
          </w:p>
          <w:p w14:paraId="2DEE7F6F">
            <w:pPr>
              <w:pStyle w:val="2"/>
              <w:keepNext w:val="0"/>
              <w:keepLines w:val="0"/>
              <w:pageBreakBefore w:val="0"/>
              <w:widowControl w:val="0"/>
              <w:kinsoku/>
              <w:wordWrap/>
              <w:overflowPunct/>
              <w:topLinePunct w:val="0"/>
              <w:autoSpaceDE/>
              <w:autoSpaceDN/>
              <w:bidi w:val="0"/>
              <w:adjustRightInd/>
              <w:snapToGrid/>
              <w:spacing w:after="0"/>
              <w:jc w:val="center"/>
              <w:textAlignment w:val="auto"/>
              <w:rPr>
                <w:rFonts w:ascii="Times New Roman" w:hAnsi="Times New Roman" w:eastAsia="宋体"/>
                <w:b/>
                <w:bCs/>
                <w:color w:val="auto"/>
                <w:sz w:val="21"/>
                <w:szCs w:val="21"/>
                <w:highlight w:val="none"/>
              </w:rPr>
            </w:pPr>
            <w:r>
              <w:rPr>
                <w:rFonts w:ascii="Times New Roman" w:hAnsi="Times New Roman" w:eastAsia="宋体"/>
                <w:b/>
                <w:bCs/>
                <w:color w:val="auto"/>
                <w:sz w:val="21"/>
                <w:szCs w:val="21"/>
                <w:highlight w:val="none"/>
              </w:rPr>
              <w:t>表</w:t>
            </w:r>
            <w:r>
              <w:rPr>
                <w:rFonts w:hint="eastAsia" w:ascii="Times New Roman" w:hAnsi="Times New Roman" w:eastAsia="宋体"/>
                <w:b/>
                <w:bCs/>
                <w:color w:val="auto"/>
                <w:sz w:val="21"/>
                <w:szCs w:val="21"/>
                <w:highlight w:val="none"/>
              </w:rPr>
              <w:t>2-</w:t>
            </w:r>
            <w:r>
              <w:rPr>
                <w:rFonts w:hint="eastAsia" w:ascii="Times New Roman" w:hAnsi="Times New Roman" w:eastAsia="宋体"/>
                <w:b/>
                <w:bCs/>
                <w:color w:val="auto"/>
                <w:sz w:val="21"/>
                <w:szCs w:val="21"/>
                <w:highlight w:val="none"/>
                <w:lang w:val="en-US" w:eastAsia="zh-CN"/>
              </w:rPr>
              <w:t>9 有组织</w:t>
            </w:r>
            <w:r>
              <w:rPr>
                <w:rFonts w:ascii="Times New Roman" w:hAnsi="Times New Roman" w:eastAsia="宋体"/>
                <w:b/>
                <w:bCs/>
                <w:color w:val="auto"/>
                <w:sz w:val="21"/>
                <w:szCs w:val="21"/>
                <w:highlight w:val="none"/>
              </w:rPr>
              <w:t>废气监测结果</w:t>
            </w:r>
          </w:p>
          <w:tbl>
            <w:tblPr>
              <w:tblStyle w:val="29"/>
              <w:tblW w:w="4998"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10"/>
              <w:gridCol w:w="1038"/>
              <w:gridCol w:w="1410"/>
              <w:gridCol w:w="1121"/>
              <w:gridCol w:w="1209"/>
              <w:gridCol w:w="1208"/>
              <w:gridCol w:w="1295"/>
            </w:tblGrid>
            <w:tr w14:paraId="2B1E64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restart"/>
                  <w:tcBorders>
                    <w:tl2br w:val="nil"/>
                    <w:tr2bl w:val="nil"/>
                  </w:tcBorders>
                  <w:noWrap w:val="0"/>
                  <w:tcMar>
                    <w:top w:w="0" w:type="dxa"/>
                    <w:left w:w="0" w:type="dxa"/>
                    <w:bottom w:w="0" w:type="dxa"/>
                    <w:right w:w="0" w:type="dxa"/>
                  </w:tcMar>
                  <w:vAlign w:val="center"/>
                </w:tcPr>
                <w:p w14:paraId="07181F1F">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rPr>
                    <w:t>采样</w:t>
                  </w:r>
                  <w:r>
                    <w:rPr>
                      <w:rFonts w:hint="default" w:ascii="Times New Roman" w:hAnsi="Times New Roman" w:eastAsia="宋体" w:cs="Times New Roman"/>
                      <w:b/>
                      <w:bCs/>
                      <w:color w:val="auto"/>
                      <w:sz w:val="21"/>
                      <w:szCs w:val="21"/>
                      <w:lang w:eastAsia="zh-CN"/>
                    </w:rPr>
                    <w:t>日期</w:t>
                  </w:r>
                </w:p>
              </w:tc>
              <w:tc>
                <w:tcPr>
                  <w:tcW w:w="626" w:type="pct"/>
                  <w:vMerge w:val="restart"/>
                  <w:tcBorders>
                    <w:tl2br w:val="nil"/>
                    <w:tr2bl w:val="nil"/>
                  </w:tcBorders>
                  <w:noWrap w:val="0"/>
                  <w:tcMar>
                    <w:top w:w="0" w:type="dxa"/>
                    <w:left w:w="0" w:type="dxa"/>
                    <w:bottom w:w="0" w:type="dxa"/>
                    <w:right w:w="0" w:type="dxa"/>
                  </w:tcMar>
                  <w:vAlign w:val="center"/>
                </w:tcPr>
                <w:p w14:paraId="5A3BA10A">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lang w:eastAsia="zh-CN"/>
                    </w:rPr>
                    <w:t>采样</w:t>
                  </w:r>
                  <w:r>
                    <w:rPr>
                      <w:rFonts w:hint="default" w:ascii="Times New Roman" w:hAnsi="Times New Roman" w:eastAsia="宋体" w:cs="Times New Roman"/>
                      <w:b/>
                      <w:bCs/>
                      <w:color w:val="auto"/>
                      <w:sz w:val="21"/>
                      <w:szCs w:val="21"/>
                    </w:rPr>
                    <w:t>点位</w:t>
                  </w:r>
                </w:p>
              </w:tc>
              <w:tc>
                <w:tcPr>
                  <w:tcW w:w="850" w:type="pct"/>
                  <w:vMerge w:val="restart"/>
                  <w:tcBorders>
                    <w:tl2br w:val="nil"/>
                    <w:tr2bl w:val="nil"/>
                  </w:tcBorders>
                  <w:noWrap w:val="0"/>
                  <w:tcMar>
                    <w:top w:w="0" w:type="dxa"/>
                    <w:left w:w="0" w:type="dxa"/>
                    <w:bottom w:w="0" w:type="dxa"/>
                    <w:right w:w="0" w:type="dxa"/>
                  </w:tcMar>
                  <w:vAlign w:val="center"/>
                </w:tcPr>
                <w:p w14:paraId="6B46C4D8">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vertAlign w:val="baseline"/>
                      <w:lang w:eastAsia="zh-CN"/>
                    </w:rPr>
                  </w:pPr>
                  <w:r>
                    <w:rPr>
                      <w:rFonts w:hint="default" w:ascii="Times New Roman" w:hAnsi="Times New Roman" w:eastAsia="宋体" w:cs="Times New Roman"/>
                      <w:b/>
                      <w:bCs/>
                      <w:color w:val="auto"/>
                      <w:sz w:val="21"/>
                      <w:szCs w:val="21"/>
                    </w:rPr>
                    <w:t>检测项目</w:t>
                  </w:r>
                </w:p>
              </w:tc>
              <w:tc>
                <w:tcPr>
                  <w:tcW w:w="676" w:type="pct"/>
                  <w:vMerge w:val="restart"/>
                  <w:tcBorders>
                    <w:tl2br w:val="nil"/>
                    <w:tr2bl w:val="nil"/>
                  </w:tcBorders>
                  <w:noWrap w:val="0"/>
                  <w:tcMar>
                    <w:top w:w="0" w:type="dxa"/>
                    <w:left w:w="0" w:type="dxa"/>
                    <w:bottom w:w="0" w:type="dxa"/>
                    <w:right w:w="0" w:type="dxa"/>
                  </w:tcMar>
                  <w:vAlign w:val="center"/>
                </w:tcPr>
                <w:p w14:paraId="3637CA5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检测频次</w:t>
                  </w:r>
                </w:p>
              </w:tc>
              <w:tc>
                <w:tcPr>
                  <w:tcW w:w="2237" w:type="pct"/>
                  <w:gridSpan w:val="3"/>
                  <w:tcBorders>
                    <w:tl2br w:val="nil"/>
                    <w:tr2bl w:val="nil"/>
                  </w:tcBorders>
                  <w:noWrap w:val="0"/>
                  <w:tcMar>
                    <w:top w:w="0" w:type="dxa"/>
                    <w:left w:w="0" w:type="dxa"/>
                    <w:bottom w:w="0" w:type="dxa"/>
                    <w:right w:w="0" w:type="dxa"/>
                  </w:tcMar>
                  <w:vAlign w:val="center"/>
                </w:tcPr>
                <w:p w14:paraId="126D5F01">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vertAlign w:val="baseline"/>
                      <w:lang w:eastAsia="zh-CN"/>
                    </w:rPr>
                  </w:pPr>
                  <w:r>
                    <w:rPr>
                      <w:rFonts w:hint="default" w:ascii="Times New Roman" w:hAnsi="Times New Roman" w:eastAsia="宋体" w:cs="Times New Roman"/>
                      <w:b/>
                      <w:bCs/>
                      <w:color w:val="auto"/>
                      <w:sz w:val="21"/>
                      <w:szCs w:val="21"/>
                      <w:vertAlign w:val="baseline"/>
                      <w:lang w:eastAsia="zh-CN"/>
                    </w:rPr>
                    <w:t>检测结果</w:t>
                  </w:r>
                </w:p>
              </w:tc>
            </w:tr>
            <w:tr w14:paraId="21E7D7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165E03F2">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4158E06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4E8D862E">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vertAlign w:val="baseline"/>
                      <w:lang w:val="en-US" w:eastAsia="zh-CN"/>
                    </w:rPr>
                  </w:pPr>
                </w:p>
              </w:tc>
              <w:tc>
                <w:tcPr>
                  <w:tcW w:w="676" w:type="pct"/>
                  <w:vMerge w:val="continue"/>
                  <w:tcBorders>
                    <w:tl2br w:val="nil"/>
                    <w:tr2bl w:val="nil"/>
                  </w:tcBorders>
                  <w:noWrap w:val="0"/>
                  <w:tcMar>
                    <w:top w:w="0" w:type="dxa"/>
                    <w:left w:w="0" w:type="dxa"/>
                    <w:bottom w:w="0" w:type="dxa"/>
                    <w:right w:w="0" w:type="dxa"/>
                  </w:tcMar>
                  <w:vAlign w:val="center"/>
                </w:tcPr>
                <w:p w14:paraId="7F28791E">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vertAlign w:val="baseline"/>
                      <w:lang w:val="en-US" w:eastAsia="zh-CN"/>
                    </w:rPr>
                  </w:pPr>
                </w:p>
              </w:tc>
              <w:tc>
                <w:tcPr>
                  <w:tcW w:w="729" w:type="pct"/>
                  <w:tcBorders>
                    <w:tl2br w:val="nil"/>
                    <w:tr2bl w:val="nil"/>
                  </w:tcBorders>
                  <w:noWrap w:val="0"/>
                  <w:tcMar>
                    <w:top w:w="0" w:type="dxa"/>
                    <w:left w:w="0" w:type="dxa"/>
                    <w:bottom w:w="0" w:type="dxa"/>
                    <w:right w:w="0" w:type="dxa"/>
                  </w:tcMar>
                  <w:vAlign w:val="center"/>
                </w:tcPr>
                <w:p w14:paraId="696772E0">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sz w:val="21"/>
                      <w:szCs w:val="21"/>
                      <w:lang w:eastAsia="zh-CN"/>
                    </w:rPr>
                    <w:t>排放</w:t>
                  </w:r>
                  <w:r>
                    <w:rPr>
                      <w:rFonts w:hint="default" w:ascii="Times New Roman" w:hAnsi="Times New Roman" w:eastAsia="宋体" w:cs="Times New Roman"/>
                      <w:b/>
                      <w:bCs/>
                      <w:color w:val="auto"/>
                      <w:sz w:val="21"/>
                      <w:szCs w:val="21"/>
                    </w:rPr>
                    <w:t>浓</w:t>
                  </w:r>
                  <w:r>
                    <w:rPr>
                      <w:rFonts w:hint="default" w:ascii="Times New Roman" w:hAnsi="Times New Roman" w:eastAsia="宋体" w:cs="Times New Roman"/>
                      <w:b/>
                      <w:bCs/>
                      <w:color w:val="auto"/>
                      <w:sz w:val="21"/>
                      <w:szCs w:val="21"/>
                      <w:lang w:eastAsia="zh-CN"/>
                    </w:rPr>
                    <w:t>度</w:t>
                  </w:r>
                  <w:r>
                    <w:rPr>
                      <w:rFonts w:hint="default" w:ascii="Times New Roman" w:hAnsi="Times New Roman" w:eastAsia="宋体" w:cs="Times New Roman"/>
                      <w:b/>
                      <w:bCs/>
                      <w:color w:val="auto"/>
                      <w:sz w:val="21"/>
                      <w:szCs w:val="21"/>
                    </w:rPr>
                    <w:t>（mg/m</w:t>
                  </w:r>
                  <w:r>
                    <w:rPr>
                      <w:rFonts w:hint="default" w:ascii="Times New Roman" w:hAnsi="Times New Roman" w:eastAsia="宋体" w:cs="Times New Roman"/>
                      <w:b/>
                      <w:bCs/>
                      <w:color w:val="auto"/>
                      <w:sz w:val="21"/>
                      <w:szCs w:val="21"/>
                      <w:vertAlign w:val="superscript"/>
                    </w:rPr>
                    <w:t>3</w:t>
                  </w:r>
                  <w:r>
                    <w:rPr>
                      <w:rFonts w:hint="default" w:ascii="Times New Roman" w:hAnsi="Times New Roman" w:eastAsia="宋体" w:cs="Times New Roman"/>
                      <w:b/>
                      <w:bCs/>
                      <w:color w:val="auto"/>
                      <w:sz w:val="21"/>
                      <w:szCs w:val="21"/>
                    </w:rPr>
                    <w:t>）</w:t>
                  </w:r>
                </w:p>
              </w:tc>
              <w:tc>
                <w:tcPr>
                  <w:tcW w:w="728" w:type="pct"/>
                  <w:tcBorders>
                    <w:tl2br w:val="nil"/>
                    <w:tr2bl w:val="nil"/>
                  </w:tcBorders>
                  <w:noWrap w:val="0"/>
                  <w:tcMar>
                    <w:top w:w="0" w:type="dxa"/>
                    <w:left w:w="0" w:type="dxa"/>
                    <w:bottom w:w="0" w:type="dxa"/>
                    <w:right w:w="0" w:type="dxa"/>
                  </w:tcMar>
                  <w:vAlign w:val="center"/>
                </w:tcPr>
                <w:p w14:paraId="4B202516">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sz w:val="21"/>
                      <w:szCs w:val="21"/>
                      <w:lang w:eastAsia="zh-CN"/>
                    </w:rPr>
                    <w:t>标干流量（</w:t>
                  </w:r>
                  <w:r>
                    <w:rPr>
                      <w:rFonts w:hint="default" w:ascii="Times New Roman" w:hAnsi="Times New Roman" w:eastAsia="宋体" w:cs="Times New Roman"/>
                      <w:b/>
                      <w:bCs/>
                      <w:color w:val="auto"/>
                      <w:sz w:val="21"/>
                      <w:szCs w:val="21"/>
                    </w:rPr>
                    <w:t>m</w:t>
                  </w:r>
                  <w:r>
                    <w:rPr>
                      <w:rFonts w:hint="default" w:ascii="Times New Roman" w:hAnsi="Times New Roman" w:eastAsia="宋体" w:cs="Times New Roman"/>
                      <w:b/>
                      <w:bCs/>
                      <w:color w:val="auto"/>
                      <w:sz w:val="21"/>
                      <w:szCs w:val="21"/>
                      <w:vertAlign w:val="superscript"/>
                    </w:rPr>
                    <w:t>3</w:t>
                  </w:r>
                  <w:r>
                    <w:rPr>
                      <w:rFonts w:hint="default" w:ascii="Times New Roman" w:hAnsi="Times New Roman" w:eastAsia="宋体" w:cs="Times New Roman"/>
                      <w:b/>
                      <w:bCs/>
                      <w:color w:val="auto"/>
                      <w:sz w:val="21"/>
                      <w:szCs w:val="21"/>
                    </w:rPr>
                    <w:t>/h</w:t>
                  </w:r>
                  <w:r>
                    <w:rPr>
                      <w:rFonts w:hint="default" w:ascii="Times New Roman" w:hAnsi="Times New Roman" w:eastAsia="宋体" w:cs="Times New Roman"/>
                      <w:b/>
                      <w:bCs/>
                      <w:color w:val="auto"/>
                      <w:sz w:val="21"/>
                      <w:szCs w:val="21"/>
                      <w:lang w:eastAsia="zh-CN"/>
                    </w:rPr>
                    <w:t>）</w:t>
                  </w:r>
                </w:p>
              </w:tc>
              <w:tc>
                <w:tcPr>
                  <w:tcW w:w="779" w:type="pct"/>
                  <w:tcBorders>
                    <w:tl2br w:val="nil"/>
                    <w:tr2bl w:val="nil"/>
                  </w:tcBorders>
                  <w:noWrap w:val="0"/>
                  <w:tcMar>
                    <w:top w:w="0" w:type="dxa"/>
                    <w:left w:w="0" w:type="dxa"/>
                    <w:bottom w:w="0" w:type="dxa"/>
                    <w:right w:w="0" w:type="dxa"/>
                  </w:tcMar>
                  <w:vAlign w:val="center"/>
                </w:tcPr>
                <w:p w14:paraId="7B151A8D">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sz w:val="21"/>
                      <w:szCs w:val="21"/>
                    </w:rPr>
                    <w:t>排放速率（kg/h）</w:t>
                  </w:r>
                </w:p>
              </w:tc>
            </w:tr>
            <w:tr w14:paraId="527F9C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restart"/>
                  <w:tcBorders>
                    <w:tl2br w:val="nil"/>
                    <w:tr2bl w:val="nil"/>
                  </w:tcBorders>
                  <w:noWrap w:val="0"/>
                  <w:tcMar>
                    <w:top w:w="0" w:type="dxa"/>
                    <w:left w:w="0" w:type="dxa"/>
                    <w:bottom w:w="0" w:type="dxa"/>
                    <w:right w:w="0" w:type="dxa"/>
                  </w:tcMar>
                  <w:vAlign w:val="center"/>
                </w:tcPr>
                <w:p w14:paraId="17FFB0C1">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kern w:val="2"/>
                      <w:sz w:val="21"/>
                      <w:szCs w:val="21"/>
                      <w:vertAlign w:val="baseline"/>
                      <w:lang w:val="en-US" w:eastAsia="zh-CN" w:bidi="ar-SA"/>
                    </w:rPr>
                    <w:t>2022.01.07</w:t>
                  </w:r>
                </w:p>
              </w:tc>
              <w:tc>
                <w:tcPr>
                  <w:tcW w:w="626" w:type="pct"/>
                  <w:vMerge w:val="restart"/>
                  <w:tcBorders>
                    <w:tl2br w:val="nil"/>
                    <w:tr2bl w:val="nil"/>
                  </w:tcBorders>
                  <w:noWrap w:val="0"/>
                  <w:tcMar>
                    <w:top w:w="0" w:type="dxa"/>
                    <w:left w:w="0" w:type="dxa"/>
                    <w:bottom w:w="0" w:type="dxa"/>
                    <w:right w:w="0" w:type="dxa"/>
                  </w:tcMar>
                  <w:vAlign w:val="center"/>
                </w:tcPr>
                <w:p w14:paraId="79D02FA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DA001排气筒出口</w:t>
                  </w:r>
                </w:p>
              </w:tc>
              <w:tc>
                <w:tcPr>
                  <w:tcW w:w="850" w:type="pct"/>
                  <w:vMerge w:val="restart"/>
                  <w:tcBorders>
                    <w:tl2br w:val="nil"/>
                    <w:tr2bl w:val="nil"/>
                  </w:tcBorders>
                  <w:noWrap w:val="0"/>
                  <w:tcMar>
                    <w:top w:w="0" w:type="dxa"/>
                    <w:left w:w="0" w:type="dxa"/>
                    <w:bottom w:w="0" w:type="dxa"/>
                    <w:right w:w="0" w:type="dxa"/>
                  </w:tcMar>
                  <w:vAlign w:val="center"/>
                </w:tcPr>
                <w:p w14:paraId="684B82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低浓度颗粒物</w:t>
                  </w:r>
                </w:p>
              </w:tc>
              <w:tc>
                <w:tcPr>
                  <w:tcW w:w="676" w:type="pct"/>
                  <w:tcBorders>
                    <w:tl2br w:val="nil"/>
                    <w:tr2bl w:val="nil"/>
                  </w:tcBorders>
                  <w:noWrap w:val="0"/>
                  <w:tcMar>
                    <w:top w:w="0" w:type="dxa"/>
                    <w:left w:w="0" w:type="dxa"/>
                    <w:bottom w:w="0" w:type="dxa"/>
                    <w:right w:w="0" w:type="dxa"/>
                  </w:tcMar>
                  <w:vAlign w:val="center"/>
                </w:tcPr>
                <w:p w14:paraId="65469B8E">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第一次</w:t>
                  </w:r>
                </w:p>
              </w:tc>
              <w:tc>
                <w:tcPr>
                  <w:tcW w:w="729" w:type="pct"/>
                  <w:tcBorders>
                    <w:tl2br w:val="nil"/>
                    <w:tr2bl w:val="nil"/>
                  </w:tcBorders>
                  <w:noWrap w:val="0"/>
                  <w:tcMar>
                    <w:top w:w="0" w:type="dxa"/>
                    <w:left w:w="0" w:type="dxa"/>
                    <w:bottom w:w="0" w:type="dxa"/>
                    <w:right w:w="0" w:type="dxa"/>
                  </w:tcMar>
                  <w:vAlign w:val="center"/>
                </w:tcPr>
                <w:p w14:paraId="7719B3D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1.8</w:t>
                  </w:r>
                </w:p>
              </w:tc>
              <w:tc>
                <w:tcPr>
                  <w:tcW w:w="728" w:type="pct"/>
                  <w:tcBorders>
                    <w:tl2br w:val="nil"/>
                    <w:tr2bl w:val="nil"/>
                  </w:tcBorders>
                  <w:noWrap w:val="0"/>
                  <w:tcMar>
                    <w:top w:w="0" w:type="dxa"/>
                    <w:left w:w="0" w:type="dxa"/>
                    <w:bottom w:w="0" w:type="dxa"/>
                    <w:right w:w="0" w:type="dxa"/>
                  </w:tcMar>
                  <w:vAlign w:val="center"/>
                </w:tcPr>
                <w:p w14:paraId="3AB416E7">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9316</w:t>
                  </w:r>
                </w:p>
              </w:tc>
              <w:tc>
                <w:tcPr>
                  <w:tcW w:w="779" w:type="pct"/>
                  <w:tcBorders>
                    <w:tl2br w:val="nil"/>
                    <w:tr2bl w:val="nil"/>
                  </w:tcBorders>
                  <w:noWrap w:val="0"/>
                  <w:tcMar>
                    <w:top w:w="0" w:type="dxa"/>
                    <w:left w:w="0" w:type="dxa"/>
                    <w:bottom w:w="0" w:type="dxa"/>
                    <w:right w:w="0" w:type="dxa"/>
                  </w:tcMar>
                  <w:vAlign w:val="center"/>
                </w:tcPr>
                <w:p w14:paraId="22452B1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0.017</w:t>
                  </w:r>
                </w:p>
              </w:tc>
            </w:tr>
            <w:tr w14:paraId="456B4D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4F97F86A">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30287351">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726C313D">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1B52EF7A">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第二次</w:t>
                  </w:r>
                </w:p>
              </w:tc>
              <w:tc>
                <w:tcPr>
                  <w:tcW w:w="729" w:type="pct"/>
                  <w:tcBorders>
                    <w:tl2br w:val="nil"/>
                    <w:tr2bl w:val="nil"/>
                  </w:tcBorders>
                  <w:noWrap w:val="0"/>
                  <w:tcMar>
                    <w:top w:w="0" w:type="dxa"/>
                    <w:left w:w="0" w:type="dxa"/>
                    <w:bottom w:w="0" w:type="dxa"/>
                    <w:right w:w="0" w:type="dxa"/>
                  </w:tcMar>
                  <w:vAlign w:val="center"/>
                </w:tcPr>
                <w:p w14:paraId="62E695D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2.3</w:t>
                  </w:r>
                </w:p>
              </w:tc>
              <w:tc>
                <w:tcPr>
                  <w:tcW w:w="728" w:type="pct"/>
                  <w:tcBorders>
                    <w:tl2br w:val="nil"/>
                    <w:tr2bl w:val="nil"/>
                  </w:tcBorders>
                  <w:noWrap w:val="0"/>
                  <w:tcMar>
                    <w:top w:w="0" w:type="dxa"/>
                    <w:left w:w="0" w:type="dxa"/>
                    <w:bottom w:w="0" w:type="dxa"/>
                    <w:right w:w="0" w:type="dxa"/>
                  </w:tcMar>
                  <w:vAlign w:val="center"/>
                </w:tcPr>
                <w:p w14:paraId="05511F8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9326</w:t>
                  </w:r>
                </w:p>
              </w:tc>
              <w:tc>
                <w:tcPr>
                  <w:tcW w:w="779" w:type="pct"/>
                  <w:tcBorders>
                    <w:tl2br w:val="nil"/>
                    <w:tr2bl w:val="nil"/>
                  </w:tcBorders>
                  <w:noWrap w:val="0"/>
                  <w:tcMar>
                    <w:top w:w="0" w:type="dxa"/>
                    <w:left w:w="0" w:type="dxa"/>
                    <w:bottom w:w="0" w:type="dxa"/>
                    <w:right w:w="0" w:type="dxa"/>
                  </w:tcMar>
                  <w:vAlign w:val="center"/>
                </w:tcPr>
                <w:p w14:paraId="40D2BF3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0.021</w:t>
                  </w:r>
                </w:p>
              </w:tc>
            </w:tr>
            <w:tr w14:paraId="7FDE3E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08E74E8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71161F9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16B6636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1C6C8320">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第三次</w:t>
                  </w:r>
                </w:p>
              </w:tc>
              <w:tc>
                <w:tcPr>
                  <w:tcW w:w="729" w:type="pct"/>
                  <w:tcBorders>
                    <w:tl2br w:val="nil"/>
                    <w:tr2bl w:val="nil"/>
                  </w:tcBorders>
                  <w:noWrap w:val="0"/>
                  <w:tcMar>
                    <w:top w:w="0" w:type="dxa"/>
                    <w:left w:w="0" w:type="dxa"/>
                    <w:bottom w:w="0" w:type="dxa"/>
                    <w:right w:w="0" w:type="dxa"/>
                  </w:tcMar>
                  <w:vAlign w:val="center"/>
                </w:tcPr>
                <w:p w14:paraId="14F5550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2.0</w:t>
                  </w:r>
                </w:p>
              </w:tc>
              <w:tc>
                <w:tcPr>
                  <w:tcW w:w="728" w:type="pct"/>
                  <w:tcBorders>
                    <w:tl2br w:val="nil"/>
                    <w:tr2bl w:val="nil"/>
                  </w:tcBorders>
                  <w:noWrap w:val="0"/>
                  <w:tcMar>
                    <w:top w:w="0" w:type="dxa"/>
                    <w:left w:w="0" w:type="dxa"/>
                    <w:bottom w:w="0" w:type="dxa"/>
                    <w:right w:w="0" w:type="dxa"/>
                  </w:tcMar>
                  <w:vAlign w:val="center"/>
                </w:tcPr>
                <w:p w14:paraId="7FEF6AD1">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9244</w:t>
                  </w:r>
                </w:p>
              </w:tc>
              <w:tc>
                <w:tcPr>
                  <w:tcW w:w="779" w:type="pct"/>
                  <w:tcBorders>
                    <w:tl2br w:val="nil"/>
                    <w:tr2bl w:val="nil"/>
                  </w:tcBorders>
                  <w:noWrap w:val="0"/>
                  <w:tcMar>
                    <w:top w:w="0" w:type="dxa"/>
                    <w:left w:w="0" w:type="dxa"/>
                    <w:bottom w:w="0" w:type="dxa"/>
                    <w:right w:w="0" w:type="dxa"/>
                  </w:tcMar>
                  <w:vAlign w:val="center"/>
                </w:tcPr>
                <w:p w14:paraId="415AE6E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0.018</w:t>
                  </w:r>
                </w:p>
              </w:tc>
            </w:tr>
            <w:tr w14:paraId="383E22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5382005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restart"/>
                  <w:tcBorders>
                    <w:tl2br w:val="nil"/>
                    <w:tr2bl w:val="nil"/>
                  </w:tcBorders>
                  <w:noWrap w:val="0"/>
                  <w:tcMar>
                    <w:top w:w="0" w:type="dxa"/>
                    <w:left w:w="0" w:type="dxa"/>
                    <w:bottom w:w="0" w:type="dxa"/>
                    <w:right w:w="0" w:type="dxa"/>
                  </w:tcMar>
                  <w:vAlign w:val="center"/>
                </w:tcPr>
                <w:p w14:paraId="14CCD04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DA002处理设施进口</w:t>
                  </w:r>
                </w:p>
              </w:tc>
              <w:tc>
                <w:tcPr>
                  <w:tcW w:w="850" w:type="pct"/>
                  <w:vMerge w:val="restart"/>
                  <w:tcBorders>
                    <w:tl2br w:val="nil"/>
                    <w:tr2bl w:val="nil"/>
                  </w:tcBorders>
                  <w:noWrap w:val="0"/>
                  <w:tcMar>
                    <w:top w:w="0" w:type="dxa"/>
                    <w:left w:w="0" w:type="dxa"/>
                    <w:bottom w:w="0" w:type="dxa"/>
                    <w:right w:w="0" w:type="dxa"/>
                  </w:tcMar>
                  <w:vAlign w:val="center"/>
                </w:tcPr>
                <w:p w14:paraId="1BF03B3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颗粒物</w:t>
                  </w:r>
                </w:p>
              </w:tc>
              <w:tc>
                <w:tcPr>
                  <w:tcW w:w="676" w:type="pct"/>
                  <w:tcBorders>
                    <w:tl2br w:val="nil"/>
                    <w:tr2bl w:val="nil"/>
                  </w:tcBorders>
                  <w:noWrap w:val="0"/>
                  <w:tcMar>
                    <w:top w:w="0" w:type="dxa"/>
                    <w:left w:w="0" w:type="dxa"/>
                    <w:bottom w:w="0" w:type="dxa"/>
                    <w:right w:w="0" w:type="dxa"/>
                  </w:tcMar>
                  <w:vAlign w:val="center"/>
                </w:tcPr>
                <w:p w14:paraId="4EBE36DE">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第一次</w:t>
                  </w:r>
                </w:p>
              </w:tc>
              <w:tc>
                <w:tcPr>
                  <w:tcW w:w="729" w:type="pct"/>
                  <w:tcBorders>
                    <w:tl2br w:val="nil"/>
                    <w:tr2bl w:val="nil"/>
                  </w:tcBorders>
                  <w:noWrap w:val="0"/>
                  <w:tcMar>
                    <w:top w:w="0" w:type="dxa"/>
                    <w:left w:w="0" w:type="dxa"/>
                    <w:bottom w:w="0" w:type="dxa"/>
                    <w:right w:w="0" w:type="dxa"/>
                  </w:tcMar>
                  <w:vAlign w:val="center"/>
                </w:tcPr>
                <w:p w14:paraId="54F8BC5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&lt;20</w:t>
                  </w:r>
                </w:p>
              </w:tc>
              <w:tc>
                <w:tcPr>
                  <w:tcW w:w="728" w:type="pct"/>
                  <w:tcBorders>
                    <w:tl2br w:val="nil"/>
                    <w:tr2bl w:val="nil"/>
                  </w:tcBorders>
                  <w:noWrap w:val="0"/>
                  <w:tcMar>
                    <w:top w:w="0" w:type="dxa"/>
                    <w:left w:w="0" w:type="dxa"/>
                    <w:bottom w:w="0" w:type="dxa"/>
                    <w:right w:w="0" w:type="dxa"/>
                  </w:tcMar>
                  <w:vAlign w:val="center"/>
                </w:tcPr>
                <w:p w14:paraId="5955161E">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3388</w:t>
                  </w:r>
                </w:p>
              </w:tc>
              <w:tc>
                <w:tcPr>
                  <w:tcW w:w="779" w:type="pct"/>
                  <w:tcBorders>
                    <w:tl2br w:val="nil"/>
                    <w:tr2bl w:val="nil"/>
                  </w:tcBorders>
                  <w:noWrap w:val="0"/>
                  <w:tcMar>
                    <w:top w:w="0" w:type="dxa"/>
                    <w:left w:w="0" w:type="dxa"/>
                    <w:bottom w:w="0" w:type="dxa"/>
                    <w:right w:w="0" w:type="dxa"/>
                  </w:tcMar>
                  <w:vAlign w:val="center"/>
                </w:tcPr>
                <w:p w14:paraId="11E228F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w:t>
                  </w:r>
                </w:p>
              </w:tc>
            </w:tr>
            <w:tr w14:paraId="04202A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36F7C2B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035F515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6D8DC642">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7A615B6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第二次</w:t>
                  </w:r>
                </w:p>
              </w:tc>
              <w:tc>
                <w:tcPr>
                  <w:tcW w:w="729" w:type="pct"/>
                  <w:tcBorders>
                    <w:tl2br w:val="nil"/>
                    <w:tr2bl w:val="nil"/>
                  </w:tcBorders>
                  <w:noWrap w:val="0"/>
                  <w:tcMar>
                    <w:top w:w="0" w:type="dxa"/>
                    <w:left w:w="0" w:type="dxa"/>
                    <w:bottom w:w="0" w:type="dxa"/>
                    <w:right w:w="0" w:type="dxa"/>
                  </w:tcMar>
                  <w:vAlign w:val="center"/>
                </w:tcPr>
                <w:p w14:paraId="76B364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&lt;20</w:t>
                  </w:r>
                </w:p>
              </w:tc>
              <w:tc>
                <w:tcPr>
                  <w:tcW w:w="728" w:type="pct"/>
                  <w:tcBorders>
                    <w:tl2br w:val="nil"/>
                    <w:tr2bl w:val="nil"/>
                  </w:tcBorders>
                  <w:noWrap w:val="0"/>
                  <w:tcMar>
                    <w:top w:w="0" w:type="dxa"/>
                    <w:left w:w="0" w:type="dxa"/>
                    <w:bottom w:w="0" w:type="dxa"/>
                    <w:right w:w="0" w:type="dxa"/>
                  </w:tcMar>
                  <w:vAlign w:val="center"/>
                </w:tcPr>
                <w:p w14:paraId="3CB9EC23">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3410</w:t>
                  </w:r>
                </w:p>
              </w:tc>
              <w:tc>
                <w:tcPr>
                  <w:tcW w:w="779" w:type="pct"/>
                  <w:tcBorders>
                    <w:tl2br w:val="nil"/>
                    <w:tr2bl w:val="nil"/>
                  </w:tcBorders>
                  <w:noWrap w:val="0"/>
                  <w:tcMar>
                    <w:top w:w="0" w:type="dxa"/>
                    <w:left w:w="0" w:type="dxa"/>
                    <w:bottom w:w="0" w:type="dxa"/>
                    <w:right w:w="0" w:type="dxa"/>
                  </w:tcMar>
                  <w:vAlign w:val="center"/>
                </w:tcPr>
                <w:p w14:paraId="2522507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w:t>
                  </w:r>
                </w:p>
              </w:tc>
            </w:tr>
            <w:tr w14:paraId="2FCA20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45BB8211">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19616CA8">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196961D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2A34D3B8">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第三次</w:t>
                  </w:r>
                </w:p>
              </w:tc>
              <w:tc>
                <w:tcPr>
                  <w:tcW w:w="729" w:type="pct"/>
                  <w:tcBorders>
                    <w:tl2br w:val="nil"/>
                    <w:tr2bl w:val="nil"/>
                  </w:tcBorders>
                  <w:noWrap w:val="0"/>
                  <w:tcMar>
                    <w:top w:w="0" w:type="dxa"/>
                    <w:left w:w="0" w:type="dxa"/>
                    <w:bottom w:w="0" w:type="dxa"/>
                    <w:right w:w="0" w:type="dxa"/>
                  </w:tcMar>
                  <w:vAlign w:val="center"/>
                </w:tcPr>
                <w:p w14:paraId="2BB6465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&lt;20</w:t>
                  </w:r>
                </w:p>
              </w:tc>
              <w:tc>
                <w:tcPr>
                  <w:tcW w:w="728" w:type="pct"/>
                  <w:tcBorders>
                    <w:tl2br w:val="nil"/>
                    <w:tr2bl w:val="nil"/>
                  </w:tcBorders>
                  <w:noWrap w:val="0"/>
                  <w:tcMar>
                    <w:top w:w="0" w:type="dxa"/>
                    <w:left w:w="0" w:type="dxa"/>
                    <w:bottom w:w="0" w:type="dxa"/>
                    <w:right w:w="0" w:type="dxa"/>
                  </w:tcMar>
                  <w:vAlign w:val="center"/>
                </w:tcPr>
                <w:p w14:paraId="575EE326">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3357</w:t>
                  </w:r>
                </w:p>
              </w:tc>
              <w:tc>
                <w:tcPr>
                  <w:tcW w:w="779" w:type="pct"/>
                  <w:tcBorders>
                    <w:tl2br w:val="nil"/>
                    <w:tr2bl w:val="nil"/>
                  </w:tcBorders>
                  <w:noWrap w:val="0"/>
                  <w:tcMar>
                    <w:top w:w="0" w:type="dxa"/>
                    <w:left w:w="0" w:type="dxa"/>
                    <w:bottom w:w="0" w:type="dxa"/>
                    <w:right w:w="0" w:type="dxa"/>
                  </w:tcMar>
                  <w:vAlign w:val="center"/>
                </w:tcPr>
                <w:p w14:paraId="0870F02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w:t>
                  </w:r>
                </w:p>
              </w:tc>
            </w:tr>
            <w:tr w14:paraId="6F1D05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0E9969EA">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14FC7A3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restart"/>
                  <w:tcBorders>
                    <w:tl2br w:val="nil"/>
                    <w:tr2bl w:val="nil"/>
                  </w:tcBorders>
                  <w:noWrap w:val="0"/>
                  <w:tcMar>
                    <w:top w:w="0" w:type="dxa"/>
                    <w:left w:w="0" w:type="dxa"/>
                    <w:bottom w:w="0" w:type="dxa"/>
                    <w:right w:w="0" w:type="dxa"/>
                  </w:tcMar>
                  <w:vAlign w:val="center"/>
                </w:tcPr>
                <w:p w14:paraId="2741650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非甲烷总烃</w:t>
                  </w:r>
                </w:p>
              </w:tc>
              <w:tc>
                <w:tcPr>
                  <w:tcW w:w="676" w:type="pct"/>
                  <w:tcBorders>
                    <w:tl2br w:val="nil"/>
                    <w:tr2bl w:val="nil"/>
                  </w:tcBorders>
                  <w:noWrap w:val="0"/>
                  <w:tcMar>
                    <w:top w:w="0" w:type="dxa"/>
                    <w:left w:w="0" w:type="dxa"/>
                    <w:bottom w:w="0" w:type="dxa"/>
                    <w:right w:w="0" w:type="dxa"/>
                  </w:tcMar>
                  <w:vAlign w:val="center"/>
                </w:tcPr>
                <w:p w14:paraId="1D40524E">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第一次</w:t>
                  </w:r>
                </w:p>
              </w:tc>
              <w:tc>
                <w:tcPr>
                  <w:tcW w:w="729" w:type="pct"/>
                  <w:tcBorders>
                    <w:tl2br w:val="nil"/>
                    <w:tr2bl w:val="nil"/>
                  </w:tcBorders>
                  <w:noWrap w:val="0"/>
                  <w:tcMar>
                    <w:top w:w="0" w:type="dxa"/>
                    <w:left w:w="0" w:type="dxa"/>
                    <w:bottom w:w="0" w:type="dxa"/>
                    <w:right w:w="0" w:type="dxa"/>
                  </w:tcMar>
                  <w:vAlign w:val="center"/>
                </w:tcPr>
                <w:p w14:paraId="670683E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13.1</w:t>
                  </w:r>
                </w:p>
              </w:tc>
              <w:tc>
                <w:tcPr>
                  <w:tcW w:w="728" w:type="pct"/>
                  <w:tcBorders>
                    <w:tl2br w:val="nil"/>
                    <w:tr2bl w:val="nil"/>
                  </w:tcBorders>
                  <w:noWrap w:val="0"/>
                  <w:tcMar>
                    <w:top w:w="0" w:type="dxa"/>
                    <w:left w:w="0" w:type="dxa"/>
                    <w:bottom w:w="0" w:type="dxa"/>
                    <w:right w:w="0" w:type="dxa"/>
                  </w:tcMar>
                  <w:vAlign w:val="center"/>
                </w:tcPr>
                <w:p w14:paraId="651F46A9">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3388</w:t>
                  </w:r>
                </w:p>
              </w:tc>
              <w:tc>
                <w:tcPr>
                  <w:tcW w:w="779" w:type="pct"/>
                  <w:tcBorders>
                    <w:tl2br w:val="nil"/>
                    <w:tr2bl w:val="nil"/>
                  </w:tcBorders>
                  <w:noWrap w:val="0"/>
                  <w:tcMar>
                    <w:top w:w="0" w:type="dxa"/>
                    <w:left w:w="0" w:type="dxa"/>
                    <w:bottom w:w="0" w:type="dxa"/>
                    <w:right w:w="0" w:type="dxa"/>
                  </w:tcMar>
                  <w:vAlign w:val="center"/>
                </w:tcPr>
                <w:p w14:paraId="0AD41A9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0.044</w:t>
                  </w:r>
                </w:p>
              </w:tc>
            </w:tr>
            <w:tr w14:paraId="125456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0BCD89F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21EBCAC1">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55DF5E59">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11C10492">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第二次</w:t>
                  </w:r>
                </w:p>
              </w:tc>
              <w:tc>
                <w:tcPr>
                  <w:tcW w:w="729" w:type="pct"/>
                  <w:tcBorders>
                    <w:tl2br w:val="nil"/>
                    <w:tr2bl w:val="nil"/>
                  </w:tcBorders>
                  <w:noWrap w:val="0"/>
                  <w:tcMar>
                    <w:top w:w="0" w:type="dxa"/>
                    <w:left w:w="0" w:type="dxa"/>
                    <w:bottom w:w="0" w:type="dxa"/>
                    <w:right w:w="0" w:type="dxa"/>
                  </w:tcMar>
                  <w:vAlign w:val="center"/>
                </w:tcPr>
                <w:p w14:paraId="3672CB6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10.7</w:t>
                  </w:r>
                </w:p>
              </w:tc>
              <w:tc>
                <w:tcPr>
                  <w:tcW w:w="728" w:type="pct"/>
                  <w:tcBorders>
                    <w:tl2br w:val="nil"/>
                    <w:tr2bl w:val="nil"/>
                  </w:tcBorders>
                  <w:noWrap w:val="0"/>
                  <w:tcMar>
                    <w:top w:w="0" w:type="dxa"/>
                    <w:left w:w="0" w:type="dxa"/>
                    <w:bottom w:w="0" w:type="dxa"/>
                    <w:right w:w="0" w:type="dxa"/>
                  </w:tcMar>
                  <w:vAlign w:val="center"/>
                </w:tcPr>
                <w:p w14:paraId="17DA5FA4">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3410</w:t>
                  </w:r>
                </w:p>
              </w:tc>
              <w:tc>
                <w:tcPr>
                  <w:tcW w:w="779" w:type="pct"/>
                  <w:tcBorders>
                    <w:tl2br w:val="nil"/>
                    <w:tr2bl w:val="nil"/>
                  </w:tcBorders>
                  <w:noWrap w:val="0"/>
                  <w:tcMar>
                    <w:top w:w="0" w:type="dxa"/>
                    <w:left w:w="0" w:type="dxa"/>
                    <w:bottom w:w="0" w:type="dxa"/>
                    <w:right w:w="0" w:type="dxa"/>
                  </w:tcMar>
                  <w:vAlign w:val="center"/>
                </w:tcPr>
                <w:p w14:paraId="4FDB531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0.036</w:t>
                  </w:r>
                </w:p>
              </w:tc>
            </w:tr>
            <w:tr w14:paraId="66E478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074F524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25753B04">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3378691D">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5B2268F0">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第三次</w:t>
                  </w:r>
                </w:p>
              </w:tc>
              <w:tc>
                <w:tcPr>
                  <w:tcW w:w="729" w:type="pct"/>
                  <w:tcBorders>
                    <w:tl2br w:val="nil"/>
                    <w:tr2bl w:val="nil"/>
                  </w:tcBorders>
                  <w:noWrap w:val="0"/>
                  <w:tcMar>
                    <w:top w:w="0" w:type="dxa"/>
                    <w:left w:w="0" w:type="dxa"/>
                    <w:bottom w:w="0" w:type="dxa"/>
                    <w:right w:w="0" w:type="dxa"/>
                  </w:tcMar>
                  <w:vAlign w:val="center"/>
                </w:tcPr>
                <w:p w14:paraId="6E3F316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10.9</w:t>
                  </w:r>
                </w:p>
              </w:tc>
              <w:tc>
                <w:tcPr>
                  <w:tcW w:w="728" w:type="pct"/>
                  <w:tcBorders>
                    <w:tl2br w:val="nil"/>
                    <w:tr2bl w:val="nil"/>
                  </w:tcBorders>
                  <w:noWrap w:val="0"/>
                  <w:tcMar>
                    <w:top w:w="0" w:type="dxa"/>
                    <w:left w:w="0" w:type="dxa"/>
                    <w:bottom w:w="0" w:type="dxa"/>
                    <w:right w:w="0" w:type="dxa"/>
                  </w:tcMar>
                  <w:vAlign w:val="center"/>
                </w:tcPr>
                <w:p w14:paraId="5AD6C29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3357</w:t>
                  </w:r>
                </w:p>
              </w:tc>
              <w:tc>
                <w:tcPr>
                  <w:tcW w:w="779" w:type="pct"/>
                  <w:tcBorders>
                    <w:tl2br w:val="nil"/>
                    <w:tr2bl w:val="nil"/>
                  </w:tcBorders>
                  <w:noWrap w:val="0"/>
                  <w:tcMar>
                    <w:top w:w="0" w:type="dxa"/>
                    <w:left w:w="0" w:type="dxa"/>
                    <w:bottom w:w="0" w:type="dxa"/>
                    <w:right w:w="0" w:type="dxa"/>
                  </w:tcMar>
                  <w:vAlign w:val="center"/>
                </w:tcPr>
                <w:p w14:paraId="5DE0239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0.037</w:t>
                  </w:r>
                </w:p>
              </w:tc>
            </w:tr>
            <w:tr w14:paraId="5DEDE2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7326447A">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restart"/>
                  <w:tcBorders>
                    <w:tl2br w:val="nil"/>
                    <w:tr2bl w:val="nil"/>
                  </w:tcBorders>
                  <w:noWrap w:val="0"/>
                  <w:tcMar>
                    <w:top w:w="0" w:type="dxa"/>
                    <w:left w:w="0" w:type="dxa"/>
                    <w:bottom w:w="0" w:type="dxa"/>
                    <w:right w:w="0" w:type="dxa"/>
                  </w:tcMar>
                  <w:vAlign w:val="center"/>
                </w:tcPr>
                <w:p w14:paraId="68B789C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DA002处理设施出口</w:t>
                  </w:r>
                </w:p>
              </w:tc>
              <w:tc>
                <w:tcPr>
                  <w:tcW w:w="850" w:type="pct"/>
                  <w:vMerge w:val="restart"/>
                  <w:tcBorders>
                    <w:tl2br w:val="nil"/>
                    <w:tr2bl w:val="nil"/>
                  </w:tcBorders>
                  <w:noWrap w:val="0"/>
                  <w:tcMar>
                    <w:top w:w="0" w:type="dxa"/>
                    <w:left w:w="0" w:type="dxa"/>
                    <w:bottom w:w="0" w:type="dxa"/>
                    <w:right w:w="0" w:type="dxa"/>
                  </w:tcMar>
                  <w:vAlign w:val="center"/>
                </w:tcPr>
                <w:p w14:paraId="06709C8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低浓度颗粒物</w:t>
                  </w:r>
                </w:p>
              </w:tc>
              <w:tc>
                <w:tcPr>
                  <w:tcW w:w="676" w:type="pct"/>
                  <w:tcBorders>
                    <w:tl2br w:val="nil"/>
                    <w:tr2bl w:val="nil"/>
                  </w:tcBorders>
                  <w:noWrap w:val="0"/>
                  <w:tcMar>
                    <w:top w:w="0" w:type="dxa"/>
                    <w:left w:w="0" w:type="dxa"/>
                    <w:bottom w:w="0" w:type="dxa"/>
                    <w:right w:w="0" w:type="dxa"/>
                  </w:tcMar>
                  <w:vAlign w:val="center"/>
                </w:tcPr>
                <w:p w14:paraId="631BA6FD">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第一次</w:t>
                  </w:r>
                </w:p>
              </w:tc>
              <w:tc>
                <w:tcPr>
                  <w:tcW w:w="729" w:type="pct"/>
                  <w:tcBorders>
                    <w:tl2br w:val="nil"/>
                    <w:tr2bl w:val="nil"/>
                  </w:tcBorders>
                  <w:noWrap w:val="0"/>
                  <w:tcMar>
                    <w:top w:w="0" w:type="dxa"/>
                    <w:left w:w="0" w:type="dxa"/>
                    <w:bottom w:w="0" w:type="dxa"/>
                    <w:right w:w="0" w:type="dxa"/>
                  </w:tcMar>
                  <w:vAlign w:val="center"/>
                </w:tcPr>
                <w:p w14:paraId="74806F3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1.2</w:t>
                  </w:r>
                </w:p>
              </w:tc>
              <w:tc>
                <w:tcPr>
                  <w:tcW w:w="728" w:type="pct"/>
                  <w:tcBorders>
                    <w:tl2br w:val="nil"/>
                    <w:tr2bl w:val="nil"/>
                  </w:tcBorders>
                  <w:noWrap w:val="0"/>
                  <w:tcMar>
                    <w:top w:w="0" w:type="dxa"/>
                    <w:left w:w="0" w:type="dxa"/>
                    <w:bottom w:w="0" w:type="dxa"/>
                    <w:right w:w="0" w:type="dxa"/>
                  </w:tcMar>
                  <w:vAlign w:val="center"/>
                </w:tcPr>
                <w:p w14:paraId="18DEA929">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3507</w:t>
                  </w:r>
                </w:p>
              </w:tc>
              <w:tc>
                <w:tcPr>
                  <w:tcW w:w="779" w:type="pct"/>
                  <w:tcBorders>
                    <w:tl2br w:val="nil"/>
                    <w:tr2bl w:val="nil"/>
                  </w:tcBorders>
                  <w:noWrap w:val="0"/>
                  <w:tcMar>
                    <w:top w:w="0" w:type="dxa"/>
                    <w:left w:w="0" w:type="dxa"/>
                    <w:bottom w:w="0" w:type="dxa"/>
                    <w:right w:w="0" w:type="dxa"/>
                  </w:tcMar>
                  <w:vAlign w:val="center"/>
                </w:tcPr>
                <w:p w14:paraId="3E56A3E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4.21×10</w:t>
                  </w:r>
                  <w:r>
                    <w:rPr>
                      <w:rFonts w:hint="default" w:ascii="Times New Roman" w:hAnsi="Times New Roman" w:eastAsia="宋体" w:cs="Times New Roman"/>
                      <w:i w:val="0"/>
                      <w:color w:val="auto"/>
                      <w:kern w:val="0"/>
                      <w:sz w:val="21"/>
                      <w:szCs w:val="21"/>
                      <w:u w:val="none"/>
                      <w:vertAlign w:val="superscript"/>
                      <w:lang w:val="en-US" w:eastAsia="zh-CN" w:bidi="ar"/>
                    </w:rPr>
                    <w:t>-3</w:t>
                  </w:r>
                </w:p>
              </w:tc>
            </w:tr>
            <w:tr w14:paraId="6896A9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12295877">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6090CBE1">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4CB6942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1D48CA41">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第二次</w:t>
                  </w:r>
                </w:p>
              </w:tc>
              <w:tc>
                <w:tcPr>
                  <w:tcW w:w="729" w:type="pct"/>
                  <w:tcBorders>
                    <w:tl2br w:val="nil"/>
                    <w:tr2bl w:val="nil"/>
                  </w:tcBorders>
                  <w:noWrap w:val="0"/>
                  <w:tcMar>
                    <w:top w:w="0" w:type="dxa"/>
                    <w:left w:w="0" w:type="dxa"/>
                    <w:bottom w:w="0" w:type="dxa"/>
                    <w:right w:w="0" w:type="dxa"/>
                  </w:tcMar>
                  <w:vAlign w:val="center"/>
                </w:tcPr>
                <w:p w14:paraId="1679E2F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1.7</w:t>
                  </w:r>
                </w:p>
              </w:tc>
              <w:tc>
                <w:tcPr>
                  <w:tcW w:w="728" w:type="pct"/>
                  <w:tcBorders>
                    <w:tl2br w:val="nil"/>
                    <w:tr2bl w:val="nil"/>
                  </w:tcBorders>
                  <w:noWrap w:val="0"/>
                  <w:tcMar>
                    <w:top w:w="0" w:type="dxa"/>
                    <w:left w:w="0" w:type="dxa"/>
                    <w:bottom w:w="0" w:type="dxa"/>
                    <w:right w:w="0" w:type="dxa"/>
                  </w:tcMar>
                  <w:vAlign w:val="center"/>
                </w:tcPr>
                <w:p w14:paraId="65BC1D4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3530</w:t>
                  </w:r>
                </w:p>
              </w:tc>
              <w:tc>
                <w:tcPr>
                  <w:tcW w:w="779" w:type="pct"/>
                  <w:tcBorders>
                    <w:tl2br w:val="nil"/>
                    <w:tr2bl w:val="nil"/>
                  </w:tcBorders>
                  <w:noWrap w:val="0"/>
                  <w:tcMar>
                    <w:top w:w="0" w:type="dxa"/>
                    <w:left w:w="0" w:type="dxa"/>
                    <w:bottom w:w="0" w:type="dxa"/>
                    <w:right w:w="0" w:type="dxa"/>
                  </w:tcMar>
                  <w:vAlign w:val="center"/>
                </w:tcPr>
                <w:p w14:paraId="755F643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6.00×10</w:t>
                  </w:r>
                  <w:r>
                    <w:rPr>
                      <w:rFonts w:hint="default" w:ascii="Times New Roman" w:hAnsi="Times New Roman" w:eastAsia="宋体" w:cs="Times New Roman"/>
                      <w:i w:val="0"/>
                      <w:color w:val="auto"/>
                      <w:kern w:val="0"/>
                      <w:sz w:val="21"/>
                      <w:szCs w:val="21"/>
                      <w:u w:val="none"/>
                      <w:vertAlign w:val="superscript"/>
                      <w:lang w:val="en-US" w:eastAsia="zh-CN" w:bidi="ar"/>
                    </w:rPr>
                    <w:t>-3</w:t>
                  </w:r>
                </w:p>
              </w:tc>
            </w:tr>
            <w:tr w14:paraId="76B96C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13B1506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769AC170">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6151E969">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464146A7">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第三次</w:t>
                  </w:r>
                </w:p>
              </w:tc>
              <w:tc>
                <w:tcPr>
                  <w:tcW w:w="729" w:type="pct"/>
                  <w:tcBorders>
                    <w:tl2br w:val="nil"/>
                    <w:tr2bl w:val="nil"/>
                  </w:tcBorders>
                  <w:noWrap w:val="0"/>
                  <w:tcMar>
                    <w:top w:w="0" w:type="dxa"/>
                    <w:left w:w="0" w:type="dxa"/>
                    <w:bottom w:w="0" w:type="dxa"/>
                    <w:right w:w="0" w:type="dxa"/>
                  </w:tcMar>
                  <w:vAlign w:val="center"/>
                </w:tcPr>
                <w:p w14:paraId="7BB647D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1.4</w:t>
                  </w:r>
                </w:p>
              </w:tc>
              <w:tc>
                <w:tcPr>
                  <w:tcW w:w="728" w:type="pct"/>
                  <w:tcBorders>
                    <w:tl2br w:val="nil"/>
                    <w:tr2bl w:val="nil"/>
                  </w:tcBorders>
                  <w:noWrap w:val="0"/>
                  <w:tcMar>
                    <w:top w:w="0" w:type="dxa"/>
                    <w:left w:w="0" w:type="dxa"/>
                    <w:bottom w:w="0" w:type="dxa"/>
                    <w:right w:w="0" w:type="dxa"/>
                  </w:tcMar>
                  <w:vAlign w:val="center"/>
                </w:tcPr>
                <w:p w14:paraId="4E1D4C93">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3540</w:t>
                  </w:r>
                </w:p>
              </w:tc>
              <w:tc>
                <w:tcPr>
                  <w:tcW w:w="779" w:type="pct"/>
                  <w:tcBorders>
                    <w:tl2br w:val="nil"/>
                    <w:tr2bl w:val="nil"/>
                  </w:tcBorders>
                  <w:noWrap w:val="0"/>
                  <w:tcMar>
                    <w:top w:w="0" w:type="dxa"/>
                    <w:left w:w="0" w:type="dxa"/>
                    <w:bottom w:w="0" w:type="dxa"/>
                    <w:right w:w="0" w:type="dxa"/>
                  </w:tcMar>
                  <w:vAlign w:val="center"/>
                </w:tcPr>
                <w:p w14:paraId="1903362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4.96×10</w:t>
                  </w:r>
                  <w:r>
                    <w:rPr>
                      <w:rFonts w:hint="default" w:ascii="Times New Roman" w:hAnsi="Times New Roman" w:eastAsia="宋体" w:cs="Times New Roman"/>
                      <w:i w:val="0"/>
                      <w:color w:val="auto"/>
                      <w:kern w:val="0"/>
                      <w:sz w:val="21"/>
                      <w:szCs w:val="21"/>
                      <w:u w:val="none"/>
                      <w:vertAlign w:val="superscript"/>
                      <w:lang w:val="en-US" w:eastAsia="zh-CN" w:bidi="ar"/>
                    </w:rPr>
                    <w:t>-3</w:t>
                  </w:r>
                </w:p>
              </w:tc>
            </w:tr>
            <w:tr w14:paraId="2F1962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123FD13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31EC6EA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restart"/>
                  <w:tcBorders>
                    <w:tl2br w:val="nil"/>
                    <w:tr2bl w:val="nil"/>
                  </w:tcBorders>
                  <w:noWrap w:val="0"/>
                  <w:tcMar>
                    <w:top w:w="0" w:type="dxa"/>
                    <w:left w:w="0" w:type="dxa"/>
                    <w:bottom w:w="0" w:type="dxa"/>
                    <w:right w:w="0" w:type="dxa"/>
                  </w:tcMar>
                  <w:vAlign w:val="center"/>
                </w:tcPr>
                <w:p w14:paraId="6D12CF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非甲烷总烃</w:t>
                  </w:r>
                </w:p>
              </w:tc>
              <w:tc>
                <w:tcPr>
                  <w:tcW w:w="676" w:type="pct"/>
                  <w:tcBorders>
                    <w:tl2br w:val="nil"/>
                    <w:tr2bl w:val="nil"/>
                  </w:tcBorders>
                  <w:noWrap w:val="0"/>
                  <w:tcMar>
                    <w:top w:w="0" w:type="dxa"/>
                    <w:left w:w="0" w:type="dxa"/>
                    <w:bottom w:w="0" w:type="dxa"/>
                    <w:right w:w="0" w:type="dxa"/>
                  </w:tcMar>
                  <w:vAlign w:val="center"/>
                </w:tcPr>
                <w:p w14:paraId="21D77C4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第一次</w:t>
                  </w:r>
                </w:p>
              </w:tc>
              <w:tc>
                <w:tcPr>
                  <w:tcW w:w="729" w:type="pct"/>
                  <w:tcBorders>
                    <w:tl2br w:val="nil"/>
                    <w:tr2bl w:val="nil"/>
                  </w:tcBorders>
                  <w:noWrap w:val="0"/>
                  <w:tcMar>
                    <w:top w:w="0" w:type="dxa"/>
                    <w:left w:w="0" w:type="dxa"/>
                    <w:bottom w:w="0" w:type="dxa"/>
                    <w:right w:w="0" w:type="dxa"/>
                  </w:tcMar>
                  <w:vAlign w:val="center"/>
                </w:tcPr>
                <w:p w14:paraId="3C8D93B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1.52</w:t>
                  </w:r>
                </w:p>
              </w:tc>
              <w:tc>
                <w:tcPr>
                  <w:tcW w:w="728" w:type="pct"/>
                  <w:tcBorders>
                    <w:tl2br w:val="nil"/>
                    <w:tr2bl w:val="nil"/>
                  </w:tcBorders>
                  <w:noWrap w:val="0"/>
                  <w:tcMar>
                    <w:top w:w="0" w:type="dxa"/>
                    <w:left w:w="0" w:type="dxa"/>
                    <w:bottom w:w="0" w:type="dxa"/>
                    <w:right w:w="0" w:type="dxa"/>
                  </w:tcMar>
                  <w:vAlign w:val="center"/>
                </w:tcPr>
                <w:p w14:paraId="2098A3B9">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3507</w:t>
                  </w:r>
                </w:p>
              </w:tc>
              <w:tc>
                <w:tcPr>
                  <w:tcW w:w="779" w:type="pct"/>
                  <w:tcBorders>
                    <w:tl2br w:val="nil"/>
                    <w:tr2bl w:val="nil"/>
                  </w:tcBorders>
                  <w:noWrap w:val="0"/>
                  <w:tcMar>
                    <w:top w:w="0" w:type="dxa"/>
                    <w:left w:w="0" w:type="dxa"/>
                    <w:bottom w:w="0" w:type="dxa"/>
                    <w:right w:w="0" w:type="dxa"/>
                  </w:tcMar>
                  <w:vAlign w:val="center"/>
                </w:tcPr>
                <w:p w14:paraId="3EB097D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5.33×10</w:t>
                  </w:r>
                  <w:r>
                    <w:rPr>
                      <w:rFonts w:hint="default" w:ascii="Times New Roman" w:hAnsi="Times New Roman" w:eastAsia="宋体" w:cs="Times New Roman"/>
                      <w:i w:val="0"/>
                      <w:color w:val="auto"/>
                      <w:kern w:val="0"/>
                      <w:sz w:val="21"/>
                      <w:szCs w:val="21"/>
                      <w:u w:val="none"/>
                      <w:vertAlign w:val="superscript"/>
                      <w:lang w:val="en-US" w:eastAsia="zh-CN" w:bidi="ar"/>
                    </w:rPr>
                    <w:t>-3</w:t>
                  </w:r>
                </w:p>
              </w:tc>
            </w:tr>
            <w:tr w14:paraId="2E6C78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364A6040">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1901317A">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4E296D73">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6409BC4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第二次</w:t>
                  </w:r>
                </w:p>
              </w:tc>
              <w:tc>
                <w:tcPr>
                  <w:tcW w:w="729" w:type="pct"/>
                  <w:tcBorders>
                    <w:tl2br w:val="nil"/>
                    <w:tr2bl w:val="nil"/>
                  </w:tcBorders>
                  <w:noWrap w:val="0"/>
                  <w:tcMar>
                    <w:top w:w="0" w:type="dxa"/>
                    <w:left w:w="0" w:type="dxa"/>
                    <w:bottom w:w="0" w:type="dxa"/>
                    <w:right w:w="0" w:type="dxa"/>
                  </w:tcMar>
                  <w:vAlign w:val="center"/>
                </w:tcPr>
                <w:p w14:paraId="7400199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1.56</w:t>
                  </w:r>
                </w:p>
              </w:tc>
              <w:tc>
                <w:tcPr>
                  <w:tcW w:w="728" w:type="pct"/>
                  <w:tcBorders>
                    <w:tl2br w:val="nil"/>
                    <w:tr2bl w:val="nil"/>
                  </w:tcBorders>
                  <w:noWrap w:val="0"/>
                  <w:tcMar>
                    <w:top w:w="0" w:type="dxa"/>
                    <w:left w:w="0" w:type="dxa"/>
                    <w:bottom w:w="0" w:type="dxa"/>
                    <w:right w:w="0" w:type="dxa"/>
                  </w:tcMar>
                  <w:vAlign w:val="center"/>
                </w:tcPr>
                <w:p w14:paraId="622D669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3530</w:t>
                  </w:r>
                </w:p>
              </w:tc>
              <w:tc>
                <w:tcPr>
                  <w:tcW w:w="779" w:type="pct"/>
                  <w:tcBorders>
                    <w:tl2br w:val="nil"/>
                    <w:tr2bl w:val="nil"/>
                  </w:tcBorders>
                  <w:noWrap w:val="0"/>
                  <w:tcMar>
                    <w:top w:w="0" w:type="dxa"/>
                    <w:left w:w="0" w:type="dxa"/>
                    <w:bottom w:w="0" w:type="dxa"/>
                    <w:right w:w="0" w:type="dxa"/>
                  </w:tcMar>
                  <w:vAlign w:val="center"/>
                </w:tcPr>
                <w:p w14:paraId="6A8D614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5.51×10</w:t>
                  </w:r>
                  <w:r>
                    <w:rPr>
                      <w:rFonts w:hint="default" w:ascii="Times New Roman" w:hAnsi="Times New Roman" w:eastAsia="宋体" w:cs="Times New Roman"/>
                      <w:i w:val="0"/>
                      <w:color w:val="auto"/>
                      <w:kern w:val="0"/>
                      <w:sz w:val="21"/>
                      <w:szCs w:val="21"/>
                      <w:u w:val="none"/>
                      <w:vertAlign w:val="superscript"/>
                      <w:lang w:val="en-US" w:eastAsia="zh-CN" w:bidi="ar"/>
                    </w:rPr>
                    <w:t>-3</w:t>
                  </w:r>
                </w:p>
              </w:tc>
            </w:tr>
            <w:tr w14:paraId="6384B7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115AAA41">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122E31AF">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7309AA84">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2440A518">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第三次</w:t>
                  </w:r>
                </w:p>
              </w:tc>
              <w:tc>
                <w:tcPr>
                  <w:tcW w:w="729" w:type="pct"/>
                  <w:tcBorders>
                    <w:tl2br w:val="nil"/>
                    <w:tr2bl w:val="nil"/>
                  </w:tcBorders>
                  <w:noWrap w:val="0"/>
                  <w:tcMar>
                    <w:top w:w="0" w:type="dxa"/>
                    <w:left w:w="0" w:type="dxa"/>
                    <w:bottom w:w="0" w:type="dxa"/>
                    <w:right w:w="0" w:type="dxa"/>
                  </w:tcMar>
                  <w:vAlign w:val="center"/>
                </w:tcPr>
                <w:p w14:paraId="68FF9D8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1.62</w:t>
                  </w:r>
                </w:p>
              </w:tc>
              <w:tc>
                <w:tcPr>
                  <w:tcW w:w="728" w:type="pct"/>
                  <w:tcBorders>
                    <w:tl2br w:val="nil"/>
                    <w:tr2bl w:val="nil"/>
                  </w:tcBorders>
                  <w:noWrap w:val="0"/>
                  <w:tcMar>
                    <w:top w:w="0" w:type="dxa"/>
                    <w:left w:w="0" w:type="dxa"/>
                    <w:bottom w:w="0" w:type="dxa"/>
                    <w:right w:w="0" w:type="dxa"/>
                  </w:tcMar>
                  <w:vAlign w:val="center"/>
                </w:tcPr>
                <w:p w14:paraId="1F3EB2D1">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3540</w:t>
                  </w:r>
                </w:p>
              </w:tc>
              <w:tc>
                <w:tcPr>
                  <w:tcW w:w="779" w:type="pct"/>
                  <w:tcBorders>
                    <w:tl2br w:val="nil"/>
                    <w:tr2bl w:val="nil"/>
                  </w:tcBorders>
                  <w:noWrap w:val="0"/>
                  <w:tcMar>
                    <w:top w:w="0" w:type="dxa"/>
                    <w:left w:w="0" w:type="dxa"/>
                    <w:bottom w:w="0" w:type="dxa"/>
                    <w:right w:w="0" w:type="dxa"/>
                  </w:tcMar>
                  <w:vAlign w:val="center"/>
                </w:tcPr>
                <w:p w14:paraId="44E3910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5.73×10</w:t>
                  </w:r>
                  <w:r>
                    <w:rPr>
                      <w:rFonts w:hint="default" w:ascii="Times New Roman" w:hAnsi="Times New Roman" w:eastAsia="宋体" w:cs="Times New Roman"/>
                      <w:i w:val="0"/>
                      <w:color w:val="auto"/>
                      <w:kern w:val="0"/>
                      <w:sz w:val="21"/>
                      <w:szCs w:val="21"/>
                      <w:u w:val="none"/>
                      <w:vertAlign w:val="superscript"/>
                      <w:lang w:val="en-US" w:eastAsia="zh-CN" w:bidi="ar"/>
                    </w:rPr>
                    <w:t>-3</w:t>
                  </w:r>
                </w:p>
              </w:tc>
            </w:tr>
            <w:tr w14:paraId="73FB70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restart"/>
                  <w:tcBorders>
                    <w:tl2br w:val="nil"/>
                    <w:tr2bl w:val="nil"/>
                  </w:tcBorders>
                  <w:noWrap w:val="0"/>
                  <w:tcMar>
                    <w:top w:w="0" w:type="dxa"/>
                    <w:left w:w="0" w:type="dxa"/>
                    <w:bottom w:w="0" w:type="dxa"/>
                    <w:right w:w="0" w:type="dxa"/>
                  </w:tcMar>
                  <w:vAlign w:val="center"/>
                </w:tcPr>
                <w:p w14:paraId="7277C2B3">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kern w:val="2"/>
                      <w:sz w:val="21"/>
                      <w:szCs w:val="21"/>
                      <w:vertAlign w:val="baseline"/>
                      <w:lang w:val="en-US" w:eastAsia="zh-CN" w:bidi="ar-SA"/>
                    </w:rPr>
                    <w:t>2022.01.08</w:t>
                  </w:r>
                </w:p>
              </w:tc>
              <w:tc>
                <w:tcPr>
                  <w:tcW w:w="626" w:type="pct"/>
                  <w:vMerge w:val="restart"/>
                  <w:tcBorders>
                    <w:tl2br w:val="nil"/>
                    <w:tr2bl w:val="nil"/>
                  </w:tcBorders>
                  <w:noWrap w:val="0"/>
                  <w:tcMar>
                    <w:top w:w="0" w:type="dxa"/>
                    <w:left w:w="0" w:type="dxa"/>
                    <w:bottom w:w="0" w:type="dxa"/>
                    <w:right w:w="0" w:type="dxa"/>
                  </w:tcMar>
                  <w:vAlign w:val="center"/>
                </w:tcPr>
                <w:p w14:paraId="26C3AC8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DA001排气筒出口</w:t>
                  </w:r>
                </w:p>
              </w:tc>
              <w:tc>
                <w:tcPr>
                  <w:tcW w:w="850" w:type="pct"/>
                  <w:vMerge w:val="restart"/>
                  <w:tcBorders>
                    <w:tl2br w:val="nil"/>
                    <w:tr2bl w:val="nil"/>
                  </w:tcBorders>
                  <w:noWrap w:val="0"/>
                  <w:tcMar>
                    <w:top w:w="0" w:type="dxa"/>
                    <w:left w:w="0" w:type="dxa"/>
                    <w:bottom w:w="0" w:type="dxa"/>
                    <w:right w:w="0" w:type="dxa"/>
                  </w:tcMar>
                  <w:vAlign w:val="center"/>
                </w:tcPr>
                <w:p w14:paraId="2A2E203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低浓度颗粒物</w:t>
                  </w:r>
                </w:p>
              </w:tc>
              <w:tc>
                <w:tcPr>
                  <w:tcW w:w="676" w:type="pct"/>
                  <w:tcBorders>
                    <w:tl2br w:val="nil"/>
                    <w:tr2bl w:val="nil"/>
                  </w:tcBorders>
                  <w:noWrap w:val="0"/>
                  <w:tcMar>
                    <w:top w:w="0" w:type="dxa"/>
                    <w:left w:w="0" w:type="dxa"/>
                    <w:bottom w:w="0" w:type="dxa"/>
                    <w:right w:w="0" w:type="dxa"/>
                  </w:tcMar>
                  <w:vAlign w:val="center"/>
                </w:tcPr>
                <w:p w14:paraId="7B409B12">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第一次</w:t>
                  </w:r>
                </w:p>
              </w:tc>
              <w:tc>
                <w:tcPr>
                  <w:tcW w:w="729" w:type="pct"/>
                  <w:tcBorders>
                    <w:tl2br w:val="nil"/>
                    <w:tr2bl w:val="nil"/>
                  </w:tcBorders>
                  <w:noWrap w:val="0"/>
                  <w:tcMar>
                    <w:top w:w="0" w:type="dxa"/>
                    <w:left w:w="0" w:type="dxa"/>
                    <w:bottom w:w="0" w:type="dxa"/>
                    <w:right w:w="0" w:type="dxa"/>
                  </w:tcMar>
                  <w:vAlign w:val="center"/>
                </w:tcPr>
                <w:p w14:paraId="5DFE5A3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1.5</w:t>
                  </w:r>
                </w:p>
              </w:tc>
              <w:tc>
                <w:tcPr>
                  <w:tcW w:w="728" w:type="pct"/>
                  <w:tcBorders>
                    <w:tl2br w:val="nil"/>
                    <w:tr2bl w:val="nil"/>
                  </w:tcBorders>
                  <w:noWrap w:val="0"/>
                  <w:tcMar>
                    <w:top w:w="0" w:type="dxa"/>
                    <w:left w:w="0" w:type="dxa"/>
                    <w:bottom w:w="0" w:type="dxa"/>
                    <w:right w:w="0" w:type="dxa"/>
                  </w:tcMar>
                  <w:vAlign w:val="center"/>
                </w:tcPr>
                <w:p w14:paraId="3C5B111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9384</w:t>
                  </w:r>
                </w:p>
              </w:tc>
              <w:tc>
                <w:tcPr>
                  <w:tcW w:w="779" w:type="pct"/>
                  <w:tcBorders>
                    <w:tl2br w:val="nil"/>
                    <w:tr2bl w:val="nil"/>
                  </w:tcBorders>
                  <w:noWrap w:val="0"/>
                  <w:tcMar>
                    <w:top w:w="0" w:type="dxa"/>
                    <w:left w:w="0" w:type="dxa"/>
                    <w:bottom w:w="0" w:type="dxa"/>
                    <w:right w:w="0" w:type="dxa"/>
                  </w:tcMar>
                  <w:vAlign w:val="center"/>
                </w:tcPr>
                <w:p w14:paraId="237C5F7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0.014</w:t>
                  </w:r>
                </w:p>
              </w:tc>
            </w:tr>
            <w:tr w14:paraId="1560E5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3E96E289">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193352D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448A7FE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71865030">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第二次</w:t>
                  </w:r>
                </w:p>
              </w:tc>
              <w:tc>
                <w:tcPr>
                  <w:tcW w:w="729" w:type="pct"/>
                  <w:tcBorders>
                    <w:tl2br w:val="nil"/>
                    <w:tr2bl w:val="nil"/>
                  </w:tcBorders>
                  <w:noWrap w:val="0"/>
                  <w:tcMar>
                    <w:top w:w="0" w:type="dxa"/>
                    <w:left w:w="0" w:type="dxa"/>
                    <w:bottom w:w="0" w:type="dxa"/>
                    <w:right w:w="0" w:type="dxa"/>
                  </w:tcMar>
                  <w:vAlign w:val="center"/>
                </w:tcPr>
                <w:p w14:paraId="13C4F3E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2.7</w:t>
                  </w:r>
                </w:p>
              </w:tc>
              <w:tc>
                <w:tcPr>
                  <w:tcW w:w="728" w:type="pct"/>
                  <w:tcBorders>
                    <w:tl2br w:val="nil"/>
                    <w:tr2bl w:val="nil"/>
                  </w:tcBorders>
                  <w:noWrap w:val="0"/>
                  <w:tcMar>
                    <w:top w:w="0" w:type="dxa"/>
                    <w:left w:w="0" w:type="dxa"/>
                    <w:bottom w:w="0" w:type="dxa"/>
                    <w:right w:w="0" w:type="dxa"/>
                  </w:tcMar>
                  <w:vAlign w:val="center"/>
                </w:tcPr>
                <w:p w14:paraId="4E76A15E">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9261</w:t>
                  </w:r>
                </w:p>
              </w:tc>
              <w:tc>
                <w:tcPr>
                  <w:tcW w:w="779" w:type="pct"/>
                  <w:tcBorders>
                    <w:tl2br w:val="nil"/>
                    <w:tr2bl w:val="nil"/>
                  </w:tcBorders>
                  <w:noWrap w:val="0"/>
                  <w:tcMar>
                    <w:top w:w="0" w:type="dxa"/>
                    <w:left w:w="0" w:type="dxa"/>
                    <w:bottom w:w="0" w:type="dxa"/>
                    <w:right w:w="0" w:type="dxa"/>
                  </w:tcMar>
                  <w:vAlign w:val="center"/>
                </w:tcPr>
                <w:p w14:paraId="6DA0D77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0.025</w:t>
                  </w:r>
                </w:p>
              </w:tc>
            </w:tr>
            <w:tr w14:paraId="74F4DD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3D95731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7FCC1C60">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2AE2A478">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38C661B9">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第三次</w:t>
                  </w:r>
                </w:p>
              </w:tc>
              <w:tc>
                <w:tcPr>
                  <w:tcW w:w="729" w:type="pct"/>
                  <w:tcBorders>
                    <w:tl2br w:val="nil"/>
                    <w:tr2bl w:val="nil"/>
                  </w:tcBorders>
                  <w:noWrap w:val="0"/>
                  <w:tcMar>
                    <w:top w:w="0" w:type="dxa"/>
                    <w:left w:w="0" w:type="dxa"/>
                    <w:bottom w:w="0" w:type="dxa"/>
                    <w:right w:w="0" w:type="dxa"/>
                  </w:tcMar>
                  <w:vAlign w:val="center"/>
                </w:tcPr>
                <w:p w14:paraId="3D65474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2.5</w:t>
                  </w:r>
                </w:p>
              </w:tc>
              <w:tc>
                <w:tcPr>
                  <w:tcW w:w="728" w:type="pct"/>
                  <w:tcBorders>
                    <w:tl2br w:val="nil"/>
                    <w:tr2bl w:val="nil"/>
                  </w:tcBorders>
                  <w:noWrap w:val="0"/>
                  <w:tcMar>
                    <w:top w:w="0" w:type="dxa"/>
                    <w:left w:w="0" w:type="dxa"/>
                    <w:bottom w:w="0" w:type="dxa"/>
                    <w:right w:w="0" w:type="dxa"/>
                  </w:tcMar>
                  <w:vAlign w:val="center"/>
                </w:tcPr>
                <w:p w14:paraId="0F87321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9304</w:t>
                  </w:r>
                </w:p>
              </w:tc>
              <w:tc>
                <w:tcPr>
                  <w:tcW w:w="779" w:type="pct"/>
                  <w:tcBorders>
                    <w:tl2br w:val="nil"/>
                    <w:tr2bl w:val="nil"/>
                  </w:tcBorders>
                  <w:noWrap w:val="0"/>
                  <w:tcMar>
                    <w:top w:w="0" w:type="dxa"/>
                    <w:left w:w="0" w:type="dxa"/>
                    <w:bottom w:w="0" w:type="dxa"/>
                    <w:right w:w="0" w:type="dxa"/>
                  </w:tcMar>
                  <w:vAlign w:val="center"/>
                </w:tcPr>
                <w:p w14:paraId="40EDA3D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0.023</w:t>
                  </w:r>
                </w:p>
              </w:tc>
            </w:tr>
            <w:tr w14:paraId="616F1F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794FCF0E">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restart"/>
                  <w:tcBorders>
                    <w:tl2br w:val="nil"/>
                    <w:tr2bl w:val="nil"/>
                  </w:tcBorders>
                  <w:noWrap w:val="0"/>
                  <w:tcMar>
                    <w:top w:w="0" w:type="dxa"/>
                    <w:left w:w="0" w:type="dxa"/>
                    <w:bottom w:w="0" w:type="dxa"/>
                    <w:right w:w="0" w:type="dxa"/>
                  </w:tcMar>
                  <w:vAlign w:val="center"/>
                </w:tcPr>
                <w:p w14:paraId="1205B02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DA002处理设施进口</w:t>
                  </w:r>
                </w:p>
              </w:tc>
              <w:tc>
                <w:tcPr>
                  <w:tcW w:w="850" w:type="pct"/>
                  <w:vMerge w:val="restart"/>
                  <w:tcBorders>
                    <w:tl2br w:val="nil"/>
                    <w:tr2bl w:val="nil"/>
                  </w:tcBorders>
                  <w:noWrap w:val="0"/>
                  <w:tcMar>
                    <w:top w:w="0" w:type="dxa"/>
                    <w:left w:w="0" w:type="dxa"/>
                    <w:bottom w:w="0" w:type="dxa"/>
                    <w:right w:w="0" w:type="dxa"/>
                  </w:tcMar>
                  <w:vAlign w:val="center"/>
                </w:tcPr>
                <w:p w14:paraId="2D1E363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颗粒物</w:t>
                  </w:r>
                </w:p>
              </w:tc>
              <w:tc>
                <w:tcPr>
                  <w:tcW w:w="676" w:type="pct"/>
                  <w:tcBorders>
                    <w:tl2br w:val="nil"/>
                    <w:tr2bl w:val="nil"/>
                  </w:tcBorders>
                  <w:noWrap w:val="0"/>
                  <w:tcMar>
                    <w:top w:w="0" w:type="dxa"/>
                    <w:left w:w="0" w:type="dxa"/>
                    <w:bottom w:w="0" w:type="dxa"/>
                    <w:right w:w="0" w:type="dxa"/>
                  </w:tcMar>
                  <w:vAlign w:val="center"/>
                </w:tcPr>
                <w:p w14:paraId="6B52ABDD">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第一次</w:t>
                  </w:r>
                </w:p>
              </w:tc>
              <w:tc>
                <w:tcPr>
                  <w:tcW w:w="729" w:type="pct"/>
                  <w:tcBorders>
                    <w:tl2br w:val="nil"/>
                    <w:tr2bl w:val="nil"/>
                  </w:tcBorders>
                  <w:noWrap w:val="0"/>
                  <w:tcMar>
                    <w:top w:w="0" w:type="dxa"/>
                    <w:left w:w="0" w:type="dxa"/>
                    <w:bottom w:w="0" w:type="dxa"/>
                    <w:right w:w="0" w:type="dxa"/>
                  </w:tcMar>
                  <w:vAlign w:val="center"/>
                </w:tcPr>
                <w:p w14:paraId="5650831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&lt;20</w:t>
                  </w:r>
                </w:p>
              </w:tc>
              <w:tc>
                <w:tcPr>
                  <w:tcW w:w="728" w:type="pct"/>
                  <w:tcBorders>
                    <w:tl2br w:val="nil"/>
                    <w:tr2bl w:val="nil"/>
                  </w:tcBorders>
                  <w:noWrap w:val="0"/>
                  <w:tcMar>
                    <w:top w:w="0" w:type="dxa"/>
                    <w:left w:w="0" w:type="dxa"/>
                    <w:bottom w:w="0" w:type="dxa"/>
                    <w:right w:w="0" w:type="dxa"/>
                  </w:tcMar>
                  <w:vAlign w:val="center"/>
                </w:tcPr>
                <w:p w14:paraId="6AD3CCD2">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3365</w:t>
                  </w:r>
                </w:p>
              </w:tc>
              <w:tc>
                <w:tcPr>
                  <w:tcW w:w="779" w:type="pct"/>
                  <w:tcBorders>
                    <w:tl2br w:val="nil"/>
                    <w:tr2bl w:val="nil"/>
                  </w:tcBorders>
                  <w:noWrap w:val="0"/>
                  <w:tcMar>
                    <w:top w:w="0" w:type="dxa"/>
                    <w:left w:w="0" w:type="dxa"/>
                    <w:bottom w:w="0" w:type="dxa"/>
                    <w:right w:w="0" w:type="dxa"/>
                  </w:tcMar>
                  <w:vAlign w:val="center"/>
                </w:tcPr>
                <w:p w14:paraId="4FD679F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w:t>
                  </w:r>
                </w:p>
              </w:tc>
            </w:tr>
            <w:tr w14:paraId="132002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05DF8B72">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4D76E99E">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0A18D348">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673B0FC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第二次</w:t>
                  </w:r>
                </w:p>
              </w:tc>
              <w:tc>
                <w:tcPr>
                  <w:tcW w:w="729" w:type="pct"/>
                  <w:tcBorders>
                    <w:tl2br w:val="nil"/>
                    <w:tr2bl w:val="nil"/>
                  </w:tcBorders>
                  <w:noWrap w:val="0"/>
                  <w:tcMar>
                    <w:top w:w="0" w:type="dxa"/>
                    <w:left w:w="0" w:type="dxa"/>
                    <w:bottom w:w="0" w:type="dxa"/>
                    <w:right w:w="0" w:type="dxa"/>
                  </w:tcMar>
                  <w:vAlign w:val="center"/>
                </w:tcPr>
                <w:p w14:paraId="3737653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&lt;20</w:t>
                  </w:r>
                </w:p>
              </w:tc>
              <w:tc>
                <w:tcPr>
                  <w:tcW w:w="728" w:type="pct"/>
                  <w:tcBorders>
                    <w:tl2br w:val="nil"/>
                    <w:tr2bl w:val="nil"/>
                  </w:tcBorders>
                  <w:noWrap w:val="0"/>
                  <w:tcMar>
                    <w:top w:w="0" w:type="dxa"/>
                    <w:left w:w="0" w:type="dxa"/>
                    <w:bottom w:w="0" w:type="dxa"/>
                    <w:right w:w="0" w:type="dxa"/>
                  </w:tcMar>
                  <w:vAlign w:val="center"/>
                </w:tcPr>
                <w:p w14:paraId="5D3177AD">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3359</w:t>
                  </w:r>
                </w:p>
              </w:tc>
              <w:tc>
                <w:tcPr>
                  <w:tcW w:w="779" w:type="pct"/>
                  <w:tcBorders>
                    <w:tl2br w:val="nil"/>
                    <w:tr2bl w:val="nil"/>
                  </w:tcBorders>
                  <w:noWrap w:val="0"/>
                  <w:tcMar>
                    <w:top w:w="0" w:type="dxa"/>
                    <w:left w:w="0" w:type="dxa"/>
                    <w:bottom w:w="0" w:type="dxa"/>
                    <w:right w:w="0" w:type="dxa"/>
                  </w:tcMar>
                  <w:vAlign w:val="center"/>
                </w:tcPr>
                <w:p w14:paraId="349E453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w:t>
                  </w:r>
                </w:p>
              </w:tc>
            </w:tr>
            <w:tr w14:paraId="14E83E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77251DA0">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7AEA98C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6E96CF47">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7E6A4286">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第三次</w:t>
                  </w:r>
                </w:p>
              </w:tc>
              <w:tc>
                <w:tcPr>
                  <w:tcW w:w="729" w:type="pct"/>
                  <w:tcBorders>
                    <w:tl2br w:val="nil"/>
                    <w:tr2bl w:val="nil"/>
                  </w:tcBorders>
                  <w:noWrap w:val="0"/>
                  <w:tcMar>
                    <w:top w:w="0" w:type="dxa"/>
                    <w:left w:w="0" w:type="dxa"/>
                    <w:bottom w:w="0" w:type="dxa"/>
                    <w:right w:w="0" w:type="dxa"/>
                  </w:tcMar>
                  <w:vAlign w:val="center"/>
                </w:tcPr>
                <w:p w14:paraId="435A4B7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&lt;20</w:t>
                  </w:r>
                </w:p>
              </w:tc>
              <w:tc>
                <w:tcPr>
                  <w:tcW w:w="728" w:type="pct"/>
                  <w:tcBorders>
                    <w:tl2br w:val="nil"/>
                    <w:tr2bl w:val="nil"/>
                  </w:tcBorders>
                  <w:noWrap w:val="0"/>
                  <w:tcMar>
                    <w:top w:w="0" w:type="dxa"/>
                    <w:left w:w="0" w:type="dxa"/>
                    <w:bottom w:w="0" w:type="dxa"/>
                    <w:right w:w="0" w:type="dxa"/>
                  </w:tcMar>
                  <w:vAlign w:val="center"/>
                </w:tcPr>
                <w:p w14:paraId="308F5E64">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3387</w:t>
                  </w:r>
                </w:p>
              </w:tc>
              <w:tc>
                <w:tcPr>
                  <w:tcW w:w="779" w:type="pct"/>
                  <w:tcBorders>
                    <w:tl2br w:val="nil"/>
                    <w:tr2bl w:val="nil"/>
                  </w:tcBorders>
                  <w:noWrap w:val="0"/>
                  <w:tcMar>
                    <w:top w:w="0" w:type="dxa"/>
                    <w:left w:w="0" w:type="dxa"/>
                    <w:bottom w:w="0" w:type="dxa"/>
                    <w:right w:w="0" w:type="dxa"/>
                  </w:tcMar>
                  <w:vAlign w:val="center"/>
                </w:tcPr>
                <w:p w14:paraId="0EDB6A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w:t>
                  </w:r>
                </w:p>
              </w:tc>
            </w:tr>
            <w:tr w14:paraId="080950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7E8F60A3">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2E404C3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restart"/>
                  <w:tcBorders>
                    <w:tl2br w:val="nil"/>
                    <w:tr2bl w:val="nil"/>
                  </w:tcBorders>
                  <w:noWrap w:val="0"/>
                  <w:tcMar>
                    <w:top w:w="0" w:type="dxa"/>
                    <w:left w:w="0" w:type="dxa"/>
                    <w:bottom w:w="0" w:type="dxa"/>
                    <w:right w:w="0" w:type="dxa"/>
                  </w:tcMar>
                  <w:vAlign w:val="center"/>
                </w:tcPr>
                <w:p w14:paraId="4E98577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非甲烷总烃</w:t>
                  </w:r>
                </w:p>
              </w:tc>
              <w:tc>
                <w:tcPr>
                  <w:tcW w:w="676" w:type="pct"/>
                  <w:tcBorders>
                    <w:tl2br w:val="nil"/>
                    <w:tr2bl w:val="nil"/>
                  </w:tcBorders>
                  <w:noWrap w:val="0"/>
                  <w:tcMar>
                    <w:top w:w="0" w:type="dxa"/>
                    <w:left w:w="0" w:type="dxa"/>
                    <w:bottom w:w="0" w:type="dxa"/>
                    <w:right w:w="0" w:type="dxa"/>
                  </w:tcMar>
                  <w:vAlign w:val="center"/>
                </w:tcPr>
                <w:p w14:paraId="5B94233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第一次</w:t>
                  </w:r>
                </w:p>
              </w:tc>
              <w:tc>
                <w:tcPr>
                  <w:tcW w:w="729" w:type="pct"/>
                  <w:tcBorders>
                    <w:tl2br w:val="nil"/>
                    <w:tr2bl w:val="nil"/>
                  </w:tcBorders>
                  <w:noWrap w:val="0"/>
                  <w:tcMar>
                    <w:top w:w="0" w:type="dxa"/>
                    <w:left w:w="0" w:type="dxa"/>
                    <w:bottom w:w="0" w:type="dxa"/>
                    <w:right w:w="0" w:type="dxa"/>
                  </w:tcMar>
                  <w:vAlign w:val="center"/>
                </w:tcPr>
                <w:p w14:paraId="1899D08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15.0</w:t>
                  </w:r>
                </w:p>
              </w:tc>
              <w:tc>
                <w:tcPr>
                  <w:tcW w:w="728" w:type="pct"/>
                  <w:tcBorders>
                    <w:tl2br w:val="nil"/>
                    <w:tr2bl w:val="nil"/>
                  </w:tcBorders>
                  <w:noWrap w:val="0"/>
                  <w:tcMar>
                    <w:top w:w="0" w:type="dxa"/>
                    <w:left w:w="0" w:type="dxa"/>
                    <w:bottom w:w="0" w:type="dxa"/>
                    <w:right w:w="0" w:type="dxa"/>
                  </w:tcMar>
                  <w:vAlign w:val="center"/>
                </w:tcPr>
                <w:p w14:paraId="34B12DA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3365</w:t>
                  </w:r>
                </w:p>
              </w:tc>
              <w:tc>
                <w:tcPr>
                  <w:tcW w:w="779" w:type="pct"/>
                  <w:tcBorders>
                    <w:tl2br w:val="nil"/>
                    <w:tr2bl w:val="nil"/>
                  </w:tcBorders>
                  <w:noWrap w:val="0"/>
                  <w:tcMar>
                    <w:top w:w="0" w:type="dxa"/>
                    <w:left w:w="0" w:type="dxa"/>
                    <w:bottom w:w="0" w:type="dxa"/>
                    <w:right w:w="0" w:type="dxa"/>
                  </w:tcMar>
                  <w:vAlign w:val="center"/>
                </w:tcPr>
                <w:p w14:paraId="3AC395F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0.050</w:t>
                  </w:r>
                </w:p>
              </w:tc>
            </w:tr>
            <w:tr w14:paraId="2F567E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51D50459">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0D494B4D">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5B35A09D">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7D5CEE06">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第二次</w:t>
                  </w:r>
                </w:p>
              </w:tc>
              <w:tc>
                <w:tcPr>
                  <w:tcW w:w="729" w:type="pct"/>
                  <w:tcBorders>
                    <w:tl2br w:val="nil"/>
                    <w:tr2bl w:val="nil"/>
                  </w:tcBorders>
                  <w:noWrap w:val="0"/>
                  <w:tcMar>
                    <w:top w:w="0" w:type="dxa"/>
                    <w:left w:w="0" w:type="dxa"/>
                    <w:bottom w:w="0" w:type="dxa"/>
                    <w:right w:w="0" w:type="dxa"/>
                  </w:tcMar>
                  <w:vAlign w:val="center"/>
                </w:tcPr>
                <w:p w14:paraId="5274E39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11.8</w:t>
                  </w:r>
                </w:p>
              </w:tc>
              <w:tc>
                <w:tcPr>
                  <w:tcW w:w="728" w:type="pct"/>
                  <w:tcBorders>
                    <w:tl2br w:val="nil"/>
                    <w:tr2bl w:val="nil"/>
                  </w:tcBorders>
                  <w:noWrap w:val="0"/>
                  <w:tcMar>
                    <w:top w:w="0" w:type="dxa"/>
                    <w:left w:w="0" w:type="dxa"/>
                    <w:bottom w:w="0" w:type="dxa"/>
                    <w:right w:w="0" w:type="dxa"/>
                  </w:tcMar>
                  <w:vAlign w:val="center"/>
                </w:tcPr>
                <w:p w14:paraId="002406F3">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3359</w:t>
                  </w:r>
                </w:p>
              </w:tc>
              <w:tc>
                <w:tcPr>
                  <w:tcW w:w="779" w:type="pct"/>
                  <w:tcBorders>
                    <w:tl2br w:val="nil"/>
                    <w:tr2bl w:val="nil"/>
                  </w:tcBorders>
                  <w:noWrap w:val="0"/>
                  <w:tcMar>
                    <w:top w:w="0" w:type="dxa"/>
                    <w:left w:w="0" w:type="dxa"/>
                    <w:bottom w:w="0" w:type="dxa"/>
                    <w:right w:w="0" w:type="dxa"/>
                  </w:tcMar>
                  <w:vAlign w:val="center"/>
                </w:tcPr>
                <w:p w14:paraId="1658FBD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0.040</w:t>
                  </w:r>
                </w:p>
              </w:tc>
            </w:tr>
            <w:tr w14:paraId="48A692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2CBC932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1F4EEE5F">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113536A8">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69BED043">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第三次</w:t>
                  </w:r>
                </w:p>
              </w:tc>
              <w:tc>
                <w:tcPr>
                  <w:tcW w:w="729" w:type="pct"/>
                  <w:tcBorders>
                    <w:tl2br w:val="nil"/>
                    <w:tr2bl w:val="nil"/>
                  </w:tcBorders>
                  <w:noWrap w:val="0"/>
                  <w:tcMar>
                    <w:top w:w="0" w:type="dxa"/>
                    <w:left w:w="0" w:type="dxa"/>
                    <w:bottom w:w="0" w:type="dxa"/>
                    <w:right w:w="0" w:type="dxa"/>
                  </w:tcMar>
                  <w:vAlign w:val="center"/>
                </w:tcPr>
                <w:p w14:paraId="4B3D8AF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10.2</w:t>
                  </w:r>
                </w:p>
              </w:tc>
              <w:tc>
                <w:tcPr>
                  <w:tcW w:w="728" w:type="pct"/>
                  <w:tcBorders>
                    <w:tl2br w:val="nil"/>
                    <w:tr2bl w:val="nil"/>
                  </w:tcBorders>
                  <w:noWrap w:val="0"/>
                  <w:tcMar>
                    <w:top w:w="0" w:type="dxa"/>
                    <w:left w:w="0" w:type="dxa"/>
                    <w:bottom w:w="0" w:type="dxa"/>
                    <w:right w:w="0" w:type="dxa"/>
                  </w:tcMar>
                  <w:vAlign w:val="center"/>
                </w:tcPr>
                <w:p w14:paraId="356CF333">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3387</w:t>
                  </w:r>
                </w:p>
              </w:tc>
              <w:tc>
                <w:tcPr>
                  <w:tcW w:w="779" w:type="pct"/>
                  <w:tcBorders>
                    <w:tl2br w:val="nil"/>
                    <w:tr2bl w:val="nil"/>
                  </w:tcBorders>
                  <w:noWrap w:val="0"/>
                  <w:tcMar>
                    <w:top w:w="0" w:type="dxa"/>
                    <w:left w:w="0" w:type="dxa"/>
                    <w:bottom w:w="0" w:type="dxa"/>
                    <w:right w:w="0" w:type="dxa"/>
                  </w:tcMar>
                  <w:vAlign w:val="center"/>
                </w:tcPr>
                <w:p w14:paraId="4234F6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0.035</w:t>
                  </w:r>
                </w:p>
              </w:tc>
            </w:tr>
            <w:tr w14:paraId="3D8144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68DC677D">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restart"/>
                  <w:tcBorders>
                    <w:tl2br w:val="nil"/>
                    <w:tr2bl w:val="nil"/>
                  </w:tcBorders>
                  <w:noWrap w:val="0"/>
                  <w:tcMar>
                    <w:top w:w="0" w:type="dxa"/>
                    <w:left w:w="0" w:type="dxa"/>
                    <w:bottom w:w="0" w:type="dxa"/>
                    <w:right w:w="0" w:type="dxa"/>
                  </w:tcMar>
                  <w:vAlign w:val="center"/>
                </w:tcPr>
                <w:p w14:paraId="33929E6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DA002处理设施出口</w:t>
                  </w:r>
                </w:p>
              </w:tc>
              <w:tc>
                <w:tcPr>
                  <w:tcW w:w="850" w:type="pct"/>
                  <w:vMerge w:val="restart"/>
                  <w:tcBorders>
                    <w:tl2br w:val="nil"/>
                    <w:tr2bl w:val="nil"/>
                  </w:tcBorders>
                  <w:noWrap w:val="0"/>
                  <w:tcMar>
                    <w:top w:w="0" w:type="dxa"/>
                    <w:left w:w="0" w:type="dxa"/>
                    <w:bottom w:w="0" w:type="dxa"/>
                    <w:right w:w="0" w:type="dxa"/>
                  </w:tcMar>
                  <w:vAlign w:val="center"/>
                </w:tcPr>
                <w:p w14:paraId="33F7629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低浓度颗粒物</w:t>
                  </w:r>
                </w:p>
              </w:tc>
              <w:tc>
                <w:tcPr>
                  <w:tcW w:w="676" w:type="pct"/>
                  <w:tcBorders>
                    <w:tl2br w:val="nil"/>
                    <w:tr2bl w:val="nil"/>
                  </w:tcBorders>
                  <w:noWrap w:val="0"/>
                  <w:tcMar>
                    <w:top w:w="0" w:type="dxa"/>
                    <w:left w:w="0" w:type="dxa"/>
                    <w:bottom w:w="0" w:type="dxa"/>
                    <w:right w:w="0" w:type="dxa"/>
                  </w:tcMar>
                  <w:vAlign w:val="center"/>
                </w:tcPr>
                <w:p w14:paraId="501443B6">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第一次</w:t>
                  </w:r>
                </w:p>
              </w:tc>
              <w:tc>
                <w:tcPr>
                  <w:tcW w:w="729" w:type="pct"/>
                  <w:tcBorders>
                    <w:tl2br w:val="nil"/>
                    <w:tr2bl w:val="nil"/>
                  </w:tcBorders>
                  <w:noWrap w:val="0"/>
                  <w:tcMar>
                    <w:top w:w="0" w:type="dxa"/>
                    <w:left w:w="0" w:type="dxa"/>
                    <w:bottom w:w="0" w:type="dxa"/>
                    <w:right w:w="0" w:type="dxa"/>
                  </w:tcMar>
                  <w:vAlign w:val="center"/>
                </w:tcPr>
                <w:p w14:paraId="7285692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1.5</w:t>
                  </w:r>
                </w:p>
              </w:tc>
              <w:tc>
                <w:tcPr>
                  <w:tcW w:w="728" w:type="pct"/>
                  <w:tcBorders>
                    <w:tl2br w:val="nil"/>
                    <w:tr2bl w:val="nil"/>
                  </w:tcBorders>
                  <w:noWrap w:val="0"/>
                  <w:tcMar>
                    <w:top w:w="0" w:type="dxa"/>
                    <w:left w:w="0" w:type="dxa"/>
                    <w:bottom w:w="0" w:type="dxa"/>
                    <w:right w:w="0" w:type="dxa"/>
                  </w:tcMar>
                  <w:vAlign w:val="center"/>
                </w:tcPr>
                <w:p w14:paraId="7AF44DBD">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3533</w:t>
                  </w:r>
                </w:p>
              </w:tc>
              <w:tc>
                <w:tcPr>
                  <w:tcW w:w="779" w:type="pct"/>
                  <w:tcBorders>
                    <w:tl2br w:val="nil"/>
                    <w:tr2bl w:val="nil"/>
                  </w:tcBorders>
                  <w:noWrap w:val="0"/>
                  <w:tcMar>
                    <w:top w:w="0" w:type="dxa"/>
                    <w:left w:w="0" w:type="dxa"/>
                    <w:bottom w:w="0" w:type="dxa"/>
                    <w:right w:w="0" w:type="dxa"/>
                  </w:tcMar>
                  <w:vAlign w:val="center"/>
                </w:tcPr>
                <w:p w14:paraId="454223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5.30×10</w:t>
                  </w:r>
                  <w:r>
                    <w:rPr>
                      <w:rFonts w:hint="default" w:ascii="Times New Roman" w:hAnsi="Times New Roman" w:eastAsia="宋体" w:cs="Times New Roman"/>
                      <w:i w:val="0"/>
                      <w:color w:val="auto"/>
                      <w:kern w:val="0"/>
                      <w:sz w:val="21"/>
                      <w:szCs w:val="21"/>
                      <w:u w:val="none"/>
                      <w:vertAlign w:val="superscript"/>
                      <w:lang w:val="en-US" w:eastAsia="zh-CN" w:bidi="ar"/>
                    </w:rPr>
                    <w:t>-3</w:t>
                  </w:r>
                </w:p>
              </w:tc>
            </w:tr>
            <w:tr w14:paraId="23DE6B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283CF6E2">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0E7E5E9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6CA453E4">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2E578322">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第二次</w:t>
                  </w:r>
                </w:p>
              </w:tc>
              <w:tc>
                <w:tcPr>
                  <w:tcW w:w="729" w:type="pct"/>
                  <w:tcBorders>
                    <w:tl2br w:val="nil"/>
                    <w:tr2bl w:val="nil"/>
                  </w:tcBorders>
                  <w:noWrap w:val="0"/>
                  <w:tcMar>
                    <w:top w:w="0" w:type="dxa"/>
                    <w:left w:w="0" w:type="dxa"/>
                    <w:bottom w:w="0" w:type="dxa"/>
                    <w:right w:w="0" w:type="dxa"/>
                  </w:tcMar>
                  <w:vAlign w:val="center"/>
                </w:tcPr>
                <w:p w14:paraId="77B0BDB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2.0</w:t>
                  </w:r>
                </w:p>
              </w:tc>
              <w:tc>
                <w:tcPr>
                  <w:tcW w:w="728" w:type="pct"/>
                  <w:tcBorders>
                    <w:tl2br w:val="nil"/>
                    <w:tr2bl w:val="nil"/>
                  </w:tcBorders>
                  <w:noWrap w:val="0"/>
                  <w:tcMar>
                    <w:top w:w="0" w:type="dxa"/>
                    <w:left w:w="0" w:type="dxa"/>
                    <w:bottom w:w="0" w:type="dxa"/>
                    <w:right w:w="0" w:type="dxa"/>
                  </w:tcMar>
                  <w:vAlign w:val="center"/>
                </w:tcPr>
                <w:p w14:paraId="2035A106">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3506</w:t>
                  </w:r>
                </w:p>
              </w:tc>
              <w:tc>
                <w:tcPr>
                  <w:tcW w:w="779" w:type="pct"/>
                  <w:tcBorders>
                    <w:tl2br w:val="nil"/>
                    <w:tr2bl w:val="nil"/>
                  </w:tcBorders>
                  <w:noWrap w:val="0"/>
                  <w:tcMar>
                    <w:top w:w="0" w:type="dxa"/>
                    <w:left w:w="0" w:type="dxa"/>
                    <w:bottom w:w="0" w:type="dxa"/>
                    <w:right w:w="0" w:type="dxa"/>
                  </w:tcMar>
                  <w:vAlign w:val="center"/>
                </w:tcPr>
                <w:p w14:paraId="4D3C184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7.01×10</w:t>
                  </w:r>
                  <w:r>
                    <w:rPr>
                      <w:rFonts w:hint="default" w:ascii="Times New Roman" w:hAnsi="Times New Roman" w:eastAsia="宋体" w:cs="Times New Roman"/>
                      <w:i w:val="0"/>
                      <w:color w:val="auto"/>
                      <w:kern w:val="0"/>
                      <w:sz w:val="21"/>
                      <w:szCs w:val="21"/>
                      <w:u w:val="none"/>
                      <w:vertAlign w:val="superscript"/>
                      <w:lang w:val="en-US" w:eastAsia="zh-CN" w:bidi="ar"/>
                    </w:rPr>
                    <w:t>-3</w:t>
                  </w:r>
                </w:p>
              </w:tc>
            </w:tr>
            <w:tr w14:paraId="2CF6EB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2D0A5FF6">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3088C657">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58B4A197">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1D732B09">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第三次</w:t>
                  </w:r>
                </w:p>
              </w:tc>
              <w:tc>
                <w:tcPr>
                  <w:tcW w:w="729" w:type="pct"/>
                  <w:tcBorders>
                    <w:tl2br w:val="nil"/>
                    <w:tr2bl w:val="nil"/>
                  </w:tcBorders>
                  <w:noWrap w:val="0"/>
                  <w:tcMar>
                    <w:top w:w="0" w:type="dxa"/>
                    <w:left w:w="0" w:type="dxa"/>
                    <w:bottom w:w="0" w:type="dxa"/>
                    <w:right w:w="0" w:type="dxa"/>
                  </w:tcMar>
                  <w:vAlign w:val="center"/>
                </w:tcPr>
                <w:p w14:paraId="2745C59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1.3</w:t>
                  </w:r>
                </w:p>
              </w:tc>
              <w:tc>
                <w:tcPr>
                  <w:tcW w:w="728" w:type="pct"/>
                  <w:tcBorders>
                    <w:tl2br w:val="nil"/>
                    <w:tr2bl w:val="nil"/>
                  </w:tcBorders>
                  <w:noWrap w:val="0"/>
                  <w:tcMar>
                    <w:top w:w="0" w:type="dxa"/>
                    <w:left w:w="0" w:type="dxa"/>
                    <w:bottom w:w="0" w:type="dxa"/>
                    <w:right w:w="0" w:type="dxa"/>
                  </w:tcMar>
                  <w:vAlign w:val="center"/>
                </w:tcPr>
                <w:p w14:paraId="05E5503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3558</w:t>
                  </w:r>
                </w:p>
              </w:tc>
              <w:tc>
                <w:tcPr>
                  <w:tcW w:w="779" w:type="pct"/>
                  <w:tcBorders>
                    <w:tl2br w:val="nil"/>
                    <w:tr2bl w:val="nil"/>
                  </w:tcBorders>
                  <w:noWrap w:val="0"/>
                  <w:tcMar>
                    <w:top w:w="0" w:type="dxa"/>
                    <w:left w:w="0" w:type="dxa"/>
                    <w:bottom w:w="0" w:type="dxa"/>
                    <w:right w:w="0" w:type="dxa"/>
                  </w:tcMar>
                  <w:vAlign w:val="center"/>
                </w:tcPr>
                <w:p w14:paraId="5199815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4.63×10</w:t>
                  </w:r>
                  <w:r>
                    <w:rPr>
                      <w:rFonts w:hint="default" w:ascii="Times New Roman" w:hAnsi="Times New Roman" w:eastAsia="宋体" w:cs="Times New Roman"/>
                      <w:i w:val="0"/>
                      <w:color w:val="auto"/>
                      <w:kern w:val="0"/>
                      <w:sz w:val="21"/>
                      <w:szCs w:val="21"/>
                      <w:u w:val="none"/>
                      <w:vertAlign w:val="superscript"/>
                      <w:lang w:val="en-US" w:eastAsia="zh-CN" w:bidi="ar"/>
                    </w:rPr>
                    <w:t>-3</w:t>
                  </w:r>
                </w:p>
              </w:tc>
            </w:tr>
            <w:tr w14:paraId="3F6B8A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40EB8814">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41F868F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restart"/>
                  <w:tcBorders>
                    <w:tl2br w:val="nil"/>
                    <w:tr2bl w:val="nil"/>
                  </w:tcBorders>
                  <w:noWrap w:val="0"/>
                  <w:tcMar>
                    <w:top w:w="0" w:type="dxa"/>
                    <w:left w:w="0" w:type="dxa"/>
                    <w:bottom w:w="0" w:type="dxa"/>
                    <w:right w:w="0" w:type="dxa"/>
                  </w:tcMar>
                  <w:vAlign w:val="center"/>
                </w:tcPr>
                <w:p w14:paraId="4817427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i w:val="0"/>
                      <w:iCs w:val="0"/>
                      <w:color w:val="auto"/>
                      <w:kern w:val="0"/>
                      <w:sz w:val="21"/>
                      <w:szCs w:val="21"/>
                      <w:u w:val="none"/>
                      <w:lang w:val="en-US" w:eastAsia="zh-CN" w:bidi="ar"/>
                    </w:rPr>
                    <w:t>非甲烷总烃</w:t>
                  </w:r>
                </w:p>
              </w:tc>
              <w:tc>
                <w:tcPr>
                  <w:tcW w:w="676" w:type="pct"/>
                  <w:tcBorders>
                    <w:tl2br w:val="nil"/>
                    <w:tr2bl w:val="nil"/>
                  </w:tcBorders>
                  <w:noWrap w:val="0"/>
                  <w:tcMar>
                    <w:top w:w="0" w:type="dxa"/>
                    <w:left w:w="0" w:type="dxa"/>
                    <w:bottom w:w="0" w:type="dxa"/>
                    <w:right w:w="0" w:type="dxa"/>
                  </w:tcMar>
                  <w:vAlign w:val="center"/>
                </w:tcPr>
                <w:p w14:paraId="7F28A107">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第一次</w:t>
                  </w:r>
                </w:p>
              </w:tc>
              <w:tc>
                <w:tcPr>
                  <w:tcW w:w="729" w:type="pct"/>
                  <w:tcBorders>
                    <w:tl2br w:val="nil"/>
                    <w:tr2bl w:val="nil"/>
                  </w:tcBorders>
                  <w:noWrap w:val="0"/>
                  <w:tcMar>
                    <w:top w:w="0" w:type="dxa"/>
                    <w:left w:w="0" w:type="dxa"/>
                    <w:bottom w:w="0" w:type="dxa"/>
                    <w:right w:w="0" w:type="dxa"/>
                  </w:tcMar>
                  <w:vAlign w:val="center"/>
                </w:tcPr>
                <w:p w14:paraId="08988FD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1.52</w:t>
                  </w:r>
                </w:p>
              </w:tc>
              <w:tc>
                <w:tcPr>
                  <w:tcW w:w="728" w:type="pct"/>
                  <w:tcBorders>
                    <w:tl2br w:val="nil"/>
                    <w:tr2bl w:val="nil"/>
                  </w:tcBorders>
                  <w:noWrap w:val="0"/>
                  <w:tcMar>
                    <w:top w:w="0" w:type="dxa"/>
                    <w:left w:w="0" w:type="dxa"/>
                    <w:bottom w:w="0" w:type="dxa"/>
                    <w:right w:w="0" w:type="dxa"/>
                  </w:tcMar>
                  <w:vAlign w:val="center"/>
                </w:tcPr>
                <w:p w14:paraId="108AC4DE">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3533</w:t>
                  </w:r>
                </w:p>
              </w:tc>
              <w:tc>
                <w:tcPr>
                  <w:tcW w:w="779" w:type="pct"/>
                  <w:tcBorders>
                    <w:tl2br w:val="nil"/>
                    <w:tr2bl w:val="nil"/>
                  </w:tcBorders>
                  <w:noWrap w:val="0"/>
                  <w:tcMar>
                    <w:top w:w="0" w:type="dxa"/>
                    <w:left w:w="0" w:type="dxa"/>
                    <w:bottom w:w="0" w:type="dxa"/>
                    <w:right w:w="0" w:type="dxa"/>
                  </w:tcMar>
                  <w:vAlign w:val="center"/>
                </w:tcPr>
                <w:p w14:paraId="35D1D21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5.37×10</w:t>
                  </w:r>
                  <w:r>
                    <w:rPr>
                      <w:rFonts w:hint="default" w:ascii="Times New Roman" w:hAnsi="Times New Roman" w:eastAsia="宋体" w:cs="Times New Roman"/>
                      <w:i w:val="0"/>
                      <w:color w:val="auto"/>
                      <w:kern w:val="0"/>
                      <w:sz w:val="21"/>
                      <w:szCs w:val="21"/>
                      <w:u w:val="none"/>
                      <w:vertAlign w:val="superscript"/>
                      <w:lang w:val="en-US" w:eastAsia="zh-CN" w:bidi="ar"/>
                    </w:rPr>
                    <w:t>-3</w:t>
                  </w:r>
                </w:p>
              </w:tc>
            </w:tr>
            <w:tr w14:paraId="391361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7C36E7B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719D17C6">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2FD254AA">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579F6BA2">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第二次</w:t>
                  </w:r>
                </w:p>
              </w:tc>
              <w:tc>
                <w:tcPr>
                  <w:tcW w:w="729" w:type="pct"/>
                  <w:tcBorders>
                    <w:tl2br w:val="nil"/>
                    <w:tr2bl w:val="nil"/>
                  </w:tcBorders>
                  <w:noWrap w:val="0"/>
                  <w:tcMar>
                    <w:top w:w="0" w:type="dxa"/>
                    <w:left w:w="0" w:type="dxa"/>
                    <w:bottom w:w="0" w:type="dxa"/>
                    <w:right w:w="0" w:type="dxa"/>
                  </w:tcMar>
                  <w:vAlign w:val="center"/>
                </w:tcPr>
                <w:p w14:paraId="2B3BB3D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1.46</w:t>
                  </w:r>
                </w:p>
              </w:tc>
              <w:tc>
                <w:tcPr>
                  <w:tcW w:w="728" w:type="pct"/>
                  <w:tcBorders>
                    <w:tl2br w:val="nil"/>
                    <w:tr2bl w:val="nil"/>
                  </w:tcBorders>
                  <w:noWrap w:val="0"/>
                  <w:tcMar>
                    <w:top w:w="0" w:type="dxa"/>
                    <w:left w:w="0" w:type="dxa"/>
                    <w:bottom w:w="0" w:type="dxa"/>
                    <w:right w:w="0" w:type="dxa"/>
                  </w:tcMar>
                  <w:vAlign w:val="center"/>
                </w:tcPr>
                <w:p w14:paraId="476DBD8F">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3506</w:t>
                  </w:r>
                </w:p>
              </w:tc>
              <w:tc>
                <w:tcPr>
                  <w:tcW w:w="779" w:type="pct"/>
                  <w:tcBorders>
                    <w:tl2br w:val="nil"/>
                    <w:tr2bl w:val="nil"/>
                  </w:tcBorders>
                  <w:noWrap w:val="0"/>
                  <w:tcMar>
                    <w:top w:w="0" w:type="dxa"/>
                    <w:left w:w="0" w:type="dxa"/>
                    <w:bottom w:w="0" w:type="dxa"/>
                    <w:right w:w="0" w:type="dxa"/>
                  </w:tcMar>
                  <w:vAlign w:val="center"/>
                </w:tcPr>
                <w:p w14:paraId="63B3B60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5.12×10</w:t>
                  </w:r>
                  <w:r>
                    <w:rPr>
                      <w:rFonts w:hint="default" w:ascii="Times New Roman" w:hAnsi="Times New Roman" w:eastAsia="宋体" w:cs="Times New Roman"/>
                      <w:i w:val="0"/>
                      <w:color w:val="auto"/>
                      <w:kern w:val="0"/>
                      <w:sz w:val="21"/>
                      <w:szCs w:val="21"/>
                      <w:u w:val="none"/>
                      <w:vertAlign w:val="superscript"/>
                      <w:lang w:val="en-US" w:eastAsia="zh-CN" w:bidi="ar"/>
                    </w:rPr>
                    <w:t>-3</w:t>
                  </w:r>
                </w:p>
              </w:tc>
            </w:tr>
            <w:tr w14:paraId="0F235B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Merge w:val="continue"/>
                  <w:tcBorders>
                    <w:tl2br w:val="nil"/>
                    <w:tr2bl w:val="nil"/>
                  </w:tcBorders>
                  <w:noWrap w:val="0"/>
                  <w:tcMar>
                    <w:top w:w="0" w:type="dxa"/>
                    <w:left w:w="0" w:type="dxa"/>
                    <w:bottom w:w="0" w:type="dxa"/>
                    <w:right w:w="0" w:type="dxa"/>
                  </w:tcMar>
                  <w:vAlign w:val="center"/>
                </w:tcPr>
                <w:p w14:paraId="3DAB090F">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26" w:type="pct"/>
                  <w:vMerge w:val="continue"/>
                  <w:tcBorders>
                    <w:tl2br w:val="nil"/>
                    <w:tr2bl w:val="nil"/>
                  </w:tcBorders>
                  <w:noWrap w:val="0"/>
                  <w:tcMar>
                    <w:top w:w="0" w:type="dxa"/>
                    <w:left w:w="0" w:type="dxa"/>
                    <w:bottom w:w="0" w:type="dxa"/>
                    <w:right w:w="0" w:type="dxa"/>
                  </w:tcMar>
                  <w:vAlign w:val="center"/>
                </w:tcPr>
                <w:p w14:paraId="778B71AA">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50" w:type="pct"/>
                  <w:vMerge w:val="continue"/>
                  <w:tcBorders>
                    <w:tl2br w:val="nil"/>
                    <w:tr2bl w:val="nil"/>
                  </w:tcBorders>
                  <w:noWrap w:val="0"/>
                  <w:tcMar>
                    <w:top w:w="0" w:type="dxa"/>
                    <w:left w:w="0" w:type="dxa"/>
                    <w:bottom w:w="0" w:type="dxa"/>
                    <w:right w:w="0" w:type="dxa"/>
                  </w:tcMar>
                  <w:vAlign w:val="center"/>
                </w:tcPr>
                <w:p w14:paraId="62181CC2">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676" w:type="pct"/>
                  <w:tcBorders>
                    <w:tl2br w:val="nil"/>
                    <w:tr2bl w:val="nil"/>
                  </w:tcBorders>
                  <w:noWrap w:val="0"/>
                  <w:tcMar>
                    <w:top w:w="0" w:type="dxa"/>
                    <w:left w:w="0" w:type="dxa"/>
                    <w:bottom w:w="0" w:type="dxa"/>
                    <w:right w:w="0" w:type="dxa"/>
                  </w:tcMar>
                  <w:vAlign w:val="center"/>
                </w:tcPr>
                <w:p w14:paraId="297E1760">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第三次</w:t>
                  </w:r>
                </w:p>
              </w:tc>
              <w:tc>
                <w:tcPr>
                  <w:tcW w:w="729" w:type="pct"/>
                  <w:tcBorders>
                    <w:tl2br w:val="nil"/>
                    <w:tr2bl w:val="nil"/>
                  </w:tcBorders>
                  <w:noWrap w:val="0"/>
                  <w:tcMar>
                    <w:top w:w="0" w:type="dxa"/>
                    <w:left w:w="0" w:type="dxa"/>
                    <w:bottom w:w="0" w:type="dxa"/>
                    <w:right w:w="0" w:type="dxa"/>
                  </w:tcMar>
                  <w:vAlign w:val="center"/>
                </w:tcPr>
                <w:p w14:paraId="0EABC5F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1.54</w:t>
                  </w:r>
                </w:p>
              </w:tc>
              <w:tc>
                <w:tcPr>
                  <w:tcW w:w="728" w:type="pct"/>
                  <w:tcBorders>
                    <w:tl2br w:val="nil"/>
                    <w:tr2bl w:val="nil"/>
                  </w:tcBorders>
                  <w:noWrap w:val="0"/>
                  <w:tcMar>
                    <w:top w:w="0" w:type="dxa"/>
                    <w:left w:w="0" w:type="dxa"/>
                    <w:bottom w:w="0" w:type="dxa"/>
                    <w:right w:w="0" w:type="dxa"/>
                  </w:tcMar>
                  <w:vAlign w:val="center"/>
                </w:tcPr>
                <w:p w14:paraId="590B2DD4">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3558</w:t>
                  </w:r>
                </w:p>
              </w:tc>
              <w:tc>
                <w:tcPr>
                  <w:tcW w:w="779" w:type="pct"/>
                  <w:tcBorders>
                    <w:tl2br w:val="nil"/>
                    <w:tr2bl w:val="nil"/>
                  </w:tcBorders>
                  <w:noWrap w:val="0"/>
                  <w:tcMar>
                    <w:top w:w="0" w:type="dxa"/>
                    <w:left w:w="0" w:type="dxa"/>
                    <w:bottom w:w="0" w:type="dxa"/>
                    <w:right w:w="0" w:type="dxa"/>
                  </w:tcMar>
                  <w:vAlign w:val="center"/>
                </w:tcPr>
                <w:p w14:paraId="4E9867E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ottom"/>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5.48×10</w:t>
                  </w:r>
                  <w:r>
                    <w:rPr>
                      <w:rFonts w:hint="default" w:ascii="Times New Roman" w:hAnsi="Times New Roman" w:eastAsia="宋体" w:cs="Times New Roman"/>
                      <w:i w:val="0"/>
                      <w:color w:val="auto"/>
                      <w:kern w:val="0"/>
                      <w:sz w:val="21"/>
                      <w:szCs w:val="21"/>
                      <w:u w:val="none"/>
                      <w:vertAlign w:val="superscript"/>
                      <w:lang w:val="en-US" w:eastAsia="zh-CN" w:bidi="ar"/>
                    </w:rPr>
                    <w:t>-3</w:t>
                  </w:r>
                </w:p>
              </w:tc>
            </w:tr>
          </w:tbl>
          <w:p w14:paraId="41F7141E">
            <w:pPr>
              <w:pStyle w:val="2"/>
              <w:keepNext w:val="0"/>
              <w:keepLines w:val="0"/>
              <w:pageBreakBefore w:val="0"/>
              <w:widowControl/>
              <w:kinsoku/>
              <w:wordWrap/>
              <w:overflowPunct/>
              <w:topLinePunct w:val="0"/>
              <w:autoSpaceDE/>
              <w:autoSpaceDN/>
              <w:bidi w:val="0"/>
              <w:adjustRightInd w:val="0"/>
              <w:snapToGrid w:val="0"/>
              <w:spacing w:before="181" w:beforeLines="50" w:after="0"/>
              <w:jc w:val="center"/>
              <w:textAlignment w:val="auto"/>
              <w:rPr>
                <w:rFonts w:ascii="Times New Roman" w:hAnsi="Times New Roman" w:eastAsia="宋体"/>
                <w:b/>
                <w:color w:val="auto"/>
                <w:sz w:val="21"/>
                <w:szCs w:val="21"/>
                <w:highlight w:val="none"/>
              </w:rPr>
            </w:pPr>
            <w:r>
              <w:rPr>
                <w:rFonts w:hint="eastAsia" w:ascii="Times New Roman" w:hAnsi="Times New Roman" w:eastAsia="宋体"/>
                <w:b/>
                <w:bCs/>
                <w:color w:val="auto"/>
                <w:sz w:val="21"/>
                <w:szCs w:val="21"/>
                <w:highlight w:val="none"/>
              </w:rPr>
              <w:t>表</w:t>
            </w:r>
            <w:r>
              <w:rPr>
                <w:rFonts w:hint="eastAsia" w:ascii="Times New Roman" w:hAnsi="Times New Roman" w:eastAsia="宋体"/>
                <w:b/>
                <w:bCs/>
                <w:color w:val="auto"/>
                <w:sz w:val="21"/>
                <w:szCs w:val="21"/>
                <w:highlight w:val="none"/>
                <w:lang w:val="en-US" w:eastAsia="zh-CN"/>
              </w:rPr>
              <w:t>2-10 厂界</w:t>
            </w:r>
            <w:r>
              <w:rPr>
                <w:rFonts w:hint="eastAsia" w:ascii="Times New Roman" w:hAnsi="Times New Roman" w:eastAsia="宋体"/>
                <w:b/>
                <w:color w:val="auto"/>
                <w:sz w:val="21"/>
                <w:szCs w:val="21"/>
                <w:highlight w:val="none"/>
              </w:rPr>
              <w:t>无</w:t>
            </w:r>
            <w:r>
              <w:rPr>
                <w:rFonts w:ascii="Times New Roman" w:hAnsi="Times New Roman" w:eastAsia="宋体"/>
                <w:b/>
                <w:color w:val="auto"/>
                <w:sz w:val="21"/>
                <w:szCs w:val="21"/>
                <w:highlight w:val="none"/>
              </w:rPr>
              <w:t>组织废气监测结果</w:t>
            </w:r>
          </w:p>
          <w:tbl>
            <w:tblPr>
              <w:tblStyle w:val="28"/>
              <w:tblW w:w="4997"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137"/>
              <w:gridCol w:w="1056"/>
              <w:gridCol w:w="890"/>
              <w:gridCol w:w="740"/>
              <w:gridCol w:w="1121"/>
              <w:gridCol w:w="1113"/>
              <w:gridCol w:w="1106"/>
              <w:gridCol w:w="1126"/>
            </w:tblGrid>
            <w:tr w14:paraId="136658C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restart"/>
                  <w:tcBorders>
                    <w:tl2br w:val="nil"/>
                    <w:tr2bl w:val="nil"/>
                  </w:tcBorders>
                  <w:noWrap w:val="0"/>
                  <w:tcMar>
                    <w:top w:w="0" w:type="dxa"/>
                    <w:left w:w="0" w:type="dxa"/>
                    <w:bottom w:w="0" w:type="dxa"/>
                    <w:right w:w="0" w:type="dxa"/>
                  </w:tcMar>
                  <w:vAlign w:val="center"/>
                </w:tcPr>
                <w:p w14:paraId="0681F90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采样</w:t>
                  </w:r>
                </w:p>
                <w:p w14:paraId="3BF1F16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日期</w:t>
                  </w:r>
                </w:p>
              </w:tc>
              <w:tc>
                <w:tcPr>
                  <w:tcW w:w="637" w:type="pct"/>
                  <w:vMerge w:val="restart"/>
                  <w:tcBorders>
                    <w:tl2br w:val="nil"/>
                    <w:tr2bl w:val="nil"/>
                  </w:tcBorders>
                  <w:noWrap w:val="0"/>
                  <w:tcMar>
                    <w:top w:w="0" w:type="dxa"/>
                    <w:left w:w="0" w:type="dxa"/>
                    <w:bottom w:w="0" w:type="dxa"/>
                    <w:right w:w="0" w:type="dxa"/>
                  </w:tcMar>
                  <w:vAlign w:val="center"/>
                </w:tcPr>
                <w:p w14:paraId="5FA12F3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检测项目</w:t>
                  </w:r>
                </w:p>
              </w:tc>
              <w:tc>
                <w:tcPr>
                  <w:tcW w:w="537" w:type="pct"/>
                  <w:vMerge w:val="restart"/>
                  <w:tcBorders>
                    <w:tl2br w:val="nil"/>
                    <w:tr2bl w:val="nil"/>
                  </w:tcBorders>
                  <w:noWrap w:val="0"/>
                  <w:tcMar>
                    <w:top w:w="0" w:type="dxa"/>
                    <w:left w:w="0" w:type="dxa"/>
                    <w:bottom w:w="0" w:type="dxa"/>
                    <w:right w:w="0" w:type="dxa"/>
                  </w:tcMar>
                  <w:vAlign w:val="center"/>
                </w:tcPr>
                <w:p w14:paraId="212FF94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单位</w:t>
                  </w:r>
                </w:p>
              </w:tc>
              <w:tc>
                <w:tcPr>
                  <w:tcW w:w="446" w:type="pct"/>
                  <w:vMerge w:val="restart"/>
                  <w:tcBorders>
                    <w:tl2br w:val="nil"/>
                    <w:tr2bl w:val="nil"/>
                  </w:tcBorders>
                  <w:noWrap w:val="0"/>
                  <w:tcMar>
                    <w:top w:w="0" w:type="dxa"/>
                    <w:left w:w="0" w:type="dxa"/>
                    <w:bottom w:w="0" w:type="dxa"/>
                    <w:right w:w="0" w:type="dxa"/>
                  </w:tcMar>
                  <w:vAlign w:val="center"/>
                </w:tcPr>
                <w:p w14:paraId="6C31F1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检测</w:t>
                  </w:r>
                </w:p>
                <w:p w14:paraId="465F939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eastAsia="zh-CN"/>
                    </w:rPr>
                    <w:t>频次</w:t>
                  </w:r>
                </w:p>
              </w:tc>
              <w:tc>
                <w:tcPr>
                  <w:tcW w:w="2693" w:type="pct"/>
                  <w:gridSpan w:val="4"/>
                  <w:tcBorders>
                    <w:tl2br w:val="nil"/>
                    <w:tr2bl w:val="nil"/>
                  </w:tcBorders>
                  <w:noWrap w:val="0"/>
                  <w:tcMar>
                    <w:top w:w="0" w:type="dxa"/>
                    <w:left w:w="0" w:type="dxa"/>
                    <w:bottom w:w="0" w:type="dxa"/>
                    <w:right w:w="0" w:type="dxa"/>
                  </w:tcMar>
                  <w:vAlign w:val="center"/>
                </w:tcPr>
                <w:p w14:paraId="0A19F1E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vertAlign w:val="baseline"/>
                      <w:lang w:eastAsia="zh-CN"/>
                    </w:rPr>
                    <w:t>检测结果</w:t>
                  </w:r>
                </w:p>
              </w:tc>
            </w:tr>
            <w:tr w14:paraId="7F0E756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continue"/>
                  <w:tcBorders>
                    <w:tl2br w:val="nil"/>
                    <w:tr2bl w:val="nil"/>
                  </w:tcBorders>
                  <w:noWrap w:val="0"/>
                  <w:tcMar>
                    <w:top w:w="0" w:type="dxa"/>
                    <w:left w:w="0" w:type="dxa"/>
                    <w:bottom w:w="0" w:type="dxa"/>
                    <w:right w:w="0" w:type="dxa"/>
                  </w:tcMar>
                  <w:vAlign w:val="center"/>
                </w:tcPr>
                <w:p w14:paraId="677066D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sz w:val="21"/>
                      <w:szCs w:val="21"/>
                    </w:rPr>
                  </w:pPr>
                </w:p>
              </w:tc>
              <w:tc>
                <w:tcPr>
                  <w:tcW w:w="637" w:type="pct"/>
                  <w:vMerge w:val="continue"/>
                  <w:tcBorders>
                    <w:tl2br w:val="nil"/>
                    <w:tr2bl w:val="nil"/>
                  </w:tcBorders>
                  <w:noWrap w:val="0"/>
                  <w:tcMar>
                    <w:top w:w="0" w:type="dxa"/>
                    <w:left w:w="0" w:type="dxa"/>
                    <w:bottom w:w="0" w:type="dxa"/>
                    <w:right w:w="0" w:type="dxa"/>
                  </w:tcMar>
                  <w:vAlign w:val="center"/>
                </w:tcPr>
                <w:p w14:paraId="7106703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sz w:val="21"/>
                      <w:szCs w:val="21"/>
                    </w:rPr>
                  </w:pPr>
                </w:p>
              </w:tc>
              <w:tc>
                <w:tcPr>
                  <w:tcW w:w="537" w:type="pct"/>
                  <w:vMerge w:val="continue"/>
                  <w:tcBorders>
                    <w:tl2br w:val="nil"/>
                    <w:tr2bl w:val="nil"/>
                  </w:tcBorders>
                  <w:noWrap w:val="0"/>
                  <w:tcMar>
                    <w:top w:w="0" w:type="dxa"/>
                    <w:left w:w="0" w:type="dxa"/>
                    <w:bottom w:w="0" w:type="dxa"/>
                    <w:right w:w="0" w:type="dxa"/>
                  </w:tcMar>
                  <w:vAlign w:val="center"/>
                </w:tcPr>
                <w:p w14:paraId="512BE93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sz w:val="21"/>
                      <w:szCs w:val="21"/>
                    </w:rPr>
                  </w:pPr>
                </w:p>
              </w:tc>
              <w:tc>
                <w:tcPr>
                  <w:tcW w:w="446" w:type="pct"/>
                  <w:vMerge w:val="continue"/>
                  <w:tcBorders>
                    <w:tl2br w:val="nil"/>
                    <w:tr2bl w:val="nil"/>
                  </w:tcBorders>
                  <w:noWrap w:val="0"/>
                  <w:tcMar>
                    <w:top w:w="0" w:type="dxa"/>
                    <w:left w:w="0" w:type="dxa"/>
                    <w:bottom w:w="0" w:type="dxa"/>
                    <w:right w:w="0" w:type="dxa"/>
                  </w:tcMar>
                  <w:vAlign w:val="center"/>
                </w:tcPr>
                <w:p w14:paraId="6E5E902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sz w:val="21"/>
                      <w:szCs w:val="21"/>
                    </w:rPr>
                  </w:pPr>
                </w:p>
              </w:tc>
              <w:tc>
                <w:tcPr>
                  <w:tcW w:w="676" w:type="pct"/>
                  <w:tcBorders>
                    <w:tl2br w:val="nil"/>
                    <w:tr2bl w:val="nil"/>
                  </w:tcBorders>
                  <w:noWrap w:val="0"/>
                  <w:tcMar>
                    <w:top w:w="0" w:type="dxa"/>
                    <w:left w:w="0" w:type="dxa"/>
                    <w:bottom w:w="0" w:type="dxa"/>
                    <w:right w:w="0" w:type="dxa"/>
                  </w:tcMar>
                  <w:vAlign w:val="center"/>
                </w:tcPr>
                <w:p w14:paraId="0460925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sz w:val="21"/>
                      <w:szCs w:val="21"/>
                      <w:lang w:eastAsia="zh-CN"/>
                    </w:rPr>
                    <w:t>厂界上风向</w:t>
                  </w:r>
                  <w:r>
                    <w:rPr>
                      <w:rFonts w:hint="default" w:ascii="Times New Roman" w:hAnsi="Times New Roman" w:eastAsia="宋体" w:cs="Times New Roman"/>
                      <w:b/>
                      <w:bCs/>
                      <w:color w:val="auto"/>
                      <w:sz w:val="21"/>
                      <w:szCs w:val="21"/>
                      <w:lang w:val="en-US" w:eastAsia="zh-CN"/>
                    </w:rPr>
                    <w:t>1#监测点</w:t>
                  </w:r>
                </w:p>
              </w:tc>
              <w:tc>
                <w:tcPr>
                  <w:tcW w:w="671" w:type="pct"/>
                  <w:tcBorders>
                    <w:tl2br w:val="nil"/>
                    <w:tr2bl w:val="nil"/>
                  </w:tcBorders>
                  <w:noWrap w:val="0"/>
                  <w:tcMar>
                    <w:top w:w="0" w:type="dxa"/>
                    <w:left w:w="0" w:type="dxa"/>
                    <w:bottom w:w="0" w:type="dxa"/>
                    <w:right w:w="0" w:type="dxa"/>
                  </w:tcMar>
                  <w:vAlign w:val="center"/>
                </w:tcPr>
                <w:p w14:paraId="770701E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sz w:val="21"/>
                      <w:szCs w:val="21"/>
                      <w:lang w:eastAsia="zh-CN"/>
                    </w:rPr>
                    <w:t>厂界下风向</w:t>
                  </w:r>
                  <w:r>
                    <w:rPr>
                      <w:rFonts w:hint="default" w:ascii="Times New Roman" w:hAnsi="Times New Roman" w:eastAsia="宋体" w:cs="Times New Roman"/>
                      <w:b/>
                      <w:bCs/>
                      <w:color w:val="auto"/>
                      <w:sz w:val="21"/>
                      <w:szCs w:val="21"/>
                      <w:lang w:val="en-US" w:eastAsia="zh-CN"/>
                    </w:rPr>
                    <w:t>2#监测点</w:t>
                  </w:r>
                </w:p>
              </w:tc>
              <w:tc>
                <w:tcPr>
                  <w:tcW w:w="667" w:type="pct"/>
                  <w:tcBorders>
                    <w:tl2br w:val="nil"/>
                    <w:tr2bl w:val="nil"/>
                  </w:tcBorders>
                  <w:noWrap w:val="0"/>
                  <w:tcMar>
                    <w:top w:w="0" w:type="dxa"/>
                    <w:left w:w="0" w:type="dxa"/>
                    <w:bottom w:w="0" w:type="dxa"/>
                    <w:right w:w="0" w:type="dxa"/>
                  </w:tcMar>
                  <w:vAlign w:val="center"/>
                </w:tcPr>
                <w:p w14:paraId="7F2B2DA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sz w:val="21"/>
                      <w:szCs w:val="21"/>
                      <w:lang w:eastAsia="zh-CN"/>
                    </w:rPr>
                    <w:t>厂界下风向</w:t>
                  </w:r>
                  <w:r>
                    <w:rPr>
                      <w:rFonts w:hint="default" w:ascii="Times New Roman" w:hAnsi="Times New Roman" w:eastAsia="宋体" w:cs="Times New Roman"/>
                      <w:b/>
                      <w:bCs/>
                      <w:color w:val="auto"/>
                      <w:sz w:val="21"/>
                      <w:szCs w:val="21"/>
                      <w:lang w:val="en-US" w:eastAsia="zh-CN"/>
                    </w:rPr>
                    <w:t>3#监测点</w:t>
                  </w:r>
                </w:p>
              </w:tc>
              <w:tc>
                <w:tcPr>
                  <w:tcW w:w="676" w:type="pct"/>
                  <w:tcBorders>
                    <w:tl2br w:val="nil"/>
                    <w:tr2bl w:val="nil"/>
                  </w:tcBorders>
                  <w:noWrap w:val="0"/>
                  <w:tcMar>
                    <w:top w:w="0" w:type="dxa"/>
                    <w:left w:w="0" w:type="dxa"/>
                    <w:bottom w:w="0" w:type="dxa"/>
                    <w:right w:w="0" w:type="dxa"/>
                  </w:tcMar>
                  <w:vAlign w:val="center"/>
                </w:tcPr>
                <w:p w14:paraId="5A2D174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sz w:val="21"/>
                      <w:szCs w:val="21"/>
                      <w:lang w:eastAsia="zh-CN"/>
                    </w:rPr>
                    <w:t>厂界下风向</w:t>
                  </w:r>
                  <w:r>
                    <w:rPr>
                      <w:rFonts w:hint="default" w:ascii="Times New Roman" w:hAnsi="Times New Roman" w:eastAsia="宋体" w:cs="Times New Roman"/>
                      <w:b/>
                      <w:bCs/>
                      <w:color w:val="auto"/>
                      <w:sz w:val="21"/>
                      <w:szCs w:val="21"/>
                      <w:lang w:val="en-US" w:eastAsia="zh-CN"/>
                    </w:rPr>
                    <w:t>4#监测点</w:t>
                  </w:r>
                </w:p>
              </w:tc>
            </w:tr>
            <w:tr w14:paraId="7D677C7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restart"/>
                  <w:tcBorders>
                    <w:tl2br w:val="nil"/>
                    <w:tr2bl w:val="nil"/>
                  </w:tcBorders>
                  <w:noWrap w:val="0"/>
                  <w:tcMar>
                    <w:top w:w="0" w:type="dxa"/>
                    <w:left w:w="0" w:type="dxa"/>
                    <w:bottom w:w="0" w:type="dxa"/>
                    <w:right w:w="0" w:type="dxa"/>
                  </w:tcMar>
                  <w:vAlign w:val="center"/>
                </w:tcPr>
                <w:p w14:paraId="17FF5356">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val="0"/>
                      <w:bCs w:val="0"/>
                      <w:color w:val="auto"/>
                      <w:kern w:val="2"/>
                      <w:sz w:val="21"/>
                      <w:szCs w:val="21"/>
                      <w:vertAlign w:val="baseline"/>
                      <w:lang w:val="en-US" w:eastAsia="zh-CN" w:bidi="ar-SA"/>
                    </w:rPr>
                    <w:t>2022.01.07</w:t>
                  </w:r>
                </w:p>
              </w:tc>
              <w:tc>
                <w:tcPr>
                  <w:tcW w:w="637" w:type="pct"/>
                  <w:vMerge w:val="restart"/>
                  <w:tcBorders>
                    <w:tl2br w:val="nil"/>
                    <w:tr2bl w:val="nil"/>
                  </w:tcBorders>
                  <w:noWrap w:val="0"/>
                  <w:tcMar>
                    <w:top w:w="0" w:type="dxa"/>
                    <w:left w:w="0" w:type="dxa"/>
                    <w:bottom w:w="0" w:type="dxa"/>
                    <w:right w:w="0" w:type="dxa"/>
                  </w:tcMar>
                  <w:vAlign w:val="center"/>
                </w:tcPr>
                <w:p w14:paraId="31C361C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总悬浮</w:t>
                  </w:r>
                </w:p>
                <w:p w14:paraId="692F5E9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颗粒物</w:t>
                  </w:r>
                </w:p>
              </w:tc>
              <w:tc>
                <w:tcPr>
                  <w:tcW w:w="537" w:type="pct"/>
                  <w:vMerge w:val="restart"/>
                  <w:tcBorders>
                    <w:tl2br w:val="nil"/>
                    <w:tr2bl w:val="nil"/>
                  </w:tcBorders>
                  <w:noWrap w:val="0"/>
                  <w:tcMar>
                    <w:top w:w="0" w:type="dxa"/>
                    <w:left w:w="0" w:type="dxa"/>
                    <w:bottom w:w="0" w:type="dxa"/>
                    <w:right w:w="0" w:type="dxa"/>
                  </w:tcMar>
                  <w:vAlign w:val="center"/>
                </w:tcPr>
                <w:p w14:paraId="53C70239">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mg/m</w:t>
                  </w:r>
                  <w:r>
                    <w:rPr>
                      <w:rFonts w:hint="default" w:ascii="Times New Roman" w:hAnsi="Times New Roman" w:eastAsia="宋体" w:cs="Times New Roman"/>
                      <w:color w:val="auto"/>
                      <w:sz w:val="21"/>
                      <w:szCs w:val="21"/>
                      <w:vertAlign w:val="superscript"/>
                    </w:rPr>
                    <w:t>3</w:t>
                  </w:r>
                </w:p>
              </w:tc>
              <w:tc>
                <w:tcPr>
                  <w:tcW w:w="446" w:type="pct"/>
                  <w:tcBorders>
                    <w:tl2br w:val="nil"/>
                    <w:tr2bl w:val="nil"/>
                  </w:tcBorders>
                  <w:noWrap w:val="0"/>
                  <w:tcMar>
                    <w:top w:w="0" w:type="dxa"/>
                    <w:left w:w="0" w:type="dxa"/>
                    <w:bottom w:w="0" w:type="dxa"/>
                    <w:right w:w="0" w:type="dxa"/>
                  </w:tcMar>
                  <w:vAlign w:val="center"/>
                </w:tcPr>
                <w:p w14:paraId="73CD548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第一次</w:t>
                  </w:r>
                </w:p>
              </w:tc>
              <w:tc>
                <w:tcPr>
                  <w:tcW w:w="676" w:type="pct"/>
                  <w:tcBorders>
                    <w:tl2br w:val="nil"/>
                    <w:tr2bl w:val="nil"/>
                  </w:tcBorders>
                  <w:noWrap w:val="0"/>
                  <w:tcMar>
                    <w:top w:w="0" w:type="dxa"/>
                    <w:left w:w="0" w:type="dxa"/>
                    <w:bottom w:w="0" w:type="dxa"/>
                    <w:right w:w="0" w:type="dxa"/>
                  </w:tcMar>
                  <w:vAlign w:val="center"/>
                </w:tcPr>
                <w:p w14:paraId="0C8B8C4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0.133</w:t>
                  </w:r>
                </w:p>
              </w:tc>
              <w:tc>
                <w:tcPr>
                  <w:tcW w:w="671" w:type="pct"/>
                  <w:tcBorders>
                    <w:tl2br w:val="nil"/>
                    <w:tr2bl w:val="nil"/>
                  </w:tcBorders>
                  <w:noWrap w:val="0"/>
                  <w:tcMar>
                    <w:top w:w="0" w:type="dxa"/>
                    <w:left w:w="0" w:type="dxa"/>
                    <w:bottom w:w="0" w:type="dxa"/>
                    <w:right w:w="0" w:type="dxa"/>
                  </w:tcMar>
                  <w:vAlign w:val="center"/>
                </w:tcPr>
                <w:p w14:paraId="0AB7425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0.233</w:t>
                  </w:r>
                </w:p>
              </w:tc>
              <w:tc>
                <w:tcPr>
                  <w:tcW w:w="667" w:type="pct"/>
                  <w:tcBorders>
                    <w:tl2br w:val="nil"/>
                    <w:tr2bl w:val="nil"/>
                  </w:tcBorders>
                  <w:noWrap w:val="0"/>
                  <w:tcMar>
                    <w:top w:w="0" w:type="dxa"/>
                    <w:left w:w="0" w:type="dxa"/>
                    <w:bottom w:w="0" w:type="dxa"/>
                    <w:right w:w="0" w:type="dxa"/>
                  </w:tcMar>
                  <w:vAlign w:val="center"/>
                </w:tcPr>
                <w:p w14:paraId="724AB5E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0.200</w:t>
                  </w:r>
                </w:p>
              </w:tc>
              <w:tc>
                <w:tcPr>
                  <w:tcW w:w="676" w:type="pct"/>
                  <w:tcBorders>
                    <w:tl2br w:val="nil"/>
                    <w:tr2bl w:val="nil"/>
                  </w:tcBorders>
                  <w:noWrap w:val="0"/>
                  <w:tcMar>
                    <w:top w:w="0" w:type="dxa"/>
                    <w:left w:w="0" w:type="dxa"/>
                    <w:bottom w:w="0" w:type="dxa"/>
                    <w:right w:w="0" w:type="dxa"/>
                  </w:tcMar>
                  <w:vAlign w:val="center"/>
                </w:tcPr>
                <w:p w14:paraId="454202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0.250</w:t>
                  </w:r>
                </w:p>
              </w:tc>
            </w:tr>
            <w:tr w14:paraId="65F17A7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continue"/>
                  <w:tcBorders>
                    <w:tl2br w:val="nil"/>
                    <w:tr2bl w:val="nil"/>
                  </w:tcBorders>
                  <w:noWrap w:val="0"/>
                  <w:tcMar>
                    <w:top w:w="0" w:type="dxa"/>
                    <w:left w:w="0" w:type="dxa"/>
                    <w:bottom w:w="0" w:type="dxa"/>
                    <w:right w:w="0" w:type="dxa"/>
                  </w:tcMar>
                  <w:vAlign w:val="center"/>
                </w:tcPr>
                <w:p w14:paraId="2380E95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637" w:type="pct"/>
                  <w:vMerge w:val="continue"/>
                  <w:tcBorders>
                    <w:tl2br w:val="nil"/>
                    <w:tr2bl w:val="nil"/>
                  </w:tcBorders>
                  <w:noWrap w:val="0"/>
                  <w:tcMar>
                    <w:top w:w="0" w:type="dxa"/>
                    <w:left w:w="0" w:type="dxa"/>
                    <w:bottom w:w="0" w:type="dxa"/>
                    <w:right w:w="0" w:type="dxa"/>
                  </w:tcMar>
                  <w:vAlign w:val="center"/>
                </w:tcPr>
                <w:p w14:paraId="0E8BF8C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eastAsia="zh-CN"/>
                    </w:rPr>
                  </w:pPr>
                </w:p>
              </w:tc>
              <w:tc>
                <w:tcPr>
                  <w:tcW w:w="537" w:type="pct"/>
                  <w:vMerge w:val="continue"/>
                  <w:tcBorders>
                    <w:tl2br w:val="nil"/>
                    <w:tr2bl w:val="nil"/>
                  </w:tcBorders>
                  <w:noWrap w:val="0"/>
                  <w:tcMar>
                    <w:top w:w="0" w:type="dxa"/>
                    <w:left w:w="0" w:type="dxa"/>
                    <w:bottom w:w="0" w:type="dxa"/>
                    <w:right w:w="0" w:type="dxa"/>
                  </w:tcMar>
                  <w:vAlign w:val="center"/>
                </w:tcPr>
                <w:p w14:paraId="555CAF4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eastAsia="zh-CN"/>
                    </w:rPr>
                  </w:pPr>
                </w:p>
              </w:tc>
              <w:tc>
                <w:tcPr>
                  <w:tcW w:w="446" w:type="pct"/>
                  <w:tcBorders>
                    <w:tl2br w:val="nil"/>
                    <w:tr2bl w:val="nil"/>
                  </w:tcBorders>
                  <w:noWrap w:val="0"/>
                  <w:tcMar>
                    <w:top w:w="0" w:type="dxa"/>
                    <w:left w:w="0" w:type="dxa"/>
                    <w:bottom w:w="0" w:type="dxa"/>
                    <w:right w:w="0" w:type="dxa"/>
                  </w:tcMar>
                  <w:vAlign w:val="center"/>
                </w:tcPr>
                <w:p w14:paraId="5E80A73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第二次</w:t>
                  </w:r>
                </w:p>
              </w:tc>
              <w:tc>
                <w:tcPr>
                  <w:tcW w:w="676" w:type="pct"/>
                  <w:tcBorders>
                    <w:tl2br w:val="nil"/>
                    <w:tr2bl w:val="nil"/>
                  </w:tcBorders>
                  <w:noWrap w:val="0"/>
                  <w:tcMar>
                    <w:top w:w="0" w:type="dxa"/>
                    <w:left w:w="0" w:type="dxa"/>
                    <w:bottom w:w="0" w:type="dxa"/>
                    <w:right w:w="0" w:type="dxa"/>
                  </w:tcMar>
                  <w:vAlign w:val="center"/>
                </w:tcPr>
                <w:p w14:paraId="58E271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0.117</w:t>
                  </w:r>
                </w:p>
              </w:tc>
              <w:tc>
                <w:tcPr>
                  <w:tcW w:w="671" w:type="pct"/>
                  <w:tcBorders>
                    <w:tl2br w:val="nil"/>
                    <w:tr2bl w:val="nil"/>
                  </w:tcBorders>
                  <w:noWrap w:val="0"/>
                  <w:tcMar>
                    <w:top w:w="0" w:type="dxa"/>
                    <w:left w:w="0" w:type="dxa"/>
                    <w:bottom w:w="0" w:type="dxa"/>
                    <w:right w:w="0" w:type="dxa"/>
                  </w:tcMar>
                  <w:vAlign w:val="center"/>
                </w:tcPr>
                <w:p w14:paraId="24C1A14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0.284</w:t>
                  </w:r>
                </w:p>
              </w:tc>
              <w:tc>
                <w:tcPr>
                  <w:tcW w:w="667" w:type="pct"/>
                  <w:tcBorders>
                    <w:tl2br w:val="nil"/>
                    <w:tr2bl w:val="nil"/>
                  </w:tcBorders>
                  <w:noWrap w:val="0"/>
                  <w:tcMar>
                    <w:top w:w="0" w:type="dxa"/>
                    <w:left w:w="0" w:type="dxa"/>
                    <w:bottom w:w="0" w:type="dxa"/>
                    <w:right w:w="0" w:type="dxa"/>
                  </w:tcMar>
                  <w:vAlign w:val="center"/>
                </w:tcPr>
                <w:p w14:paraId="23349A8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0.268</w:t>
                  </w:r>
                </w:p>
              </w:tc>
              <w:tc>
                <w:tcPr>
                  <w:tcW w:w="676" w:type="pct"/>
                  <w:tcBorders>
                    <w:tl2br w:val="nil"/>
                    <w:tr2bl w:val="nil"/>
                  </w:tcBorders>
                  <w:noWrap w:val="0"/>
                  <w:tcMar>
                    <w:top w:w="0" w:type="dxa"/>
                    <w:left w:w="0" w:type="dxa"/>
                    <w:bottom w:w="0" w:type="dxa"/>
                    <w:right w:w="0" w:type="dxa"/>
                  </w:tcMar>
                  <w:vAlign w:val="center"/>
                </w:tcPr>
                <w:p w14:paraId="58B50FF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0.335</w:t>
                  </w:r>
                </w:p>
              </w:tc>
            </w:tr>
            <w:tr w14:paraId="04B8438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continue"/>
                  <w:tcBorders>
                    <w:tl2br w:val="nil"/>
                    <w:tr2bl w:val="nil"/>
                  </w:tcBorders>
                  <w:noWrap w:val="0"/>
                  <w:tcMar>
                    <w:top w:w="0" w:type="dxa"/>
                    <w:left w:w="0" w:type="dxa"/>
                    <w:bottom w:w="0" w:type="dxa"/>
                    <w:right w:w="0" w:type="dxa"/>
                  </w:tcMar>
                  <w:vAlign w:val="center"/>
                </w:tcPr>
                <w:p w14:paraId="7E7ADE4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637" w:type="pct"/>
                  <w:vMerge w:val="continue"/>
                  <w:tcBorders>
                    <w:tl2br w:val="nil"/>
                    <w:tr2bl w:val="nil"/>
                  </w:tcBorders>
                  <w:noWrap w:val="0"/>
                  <w:tcMar>
                    <w:top w:w="0" w:type="dxa"/>
                    <w:left w:w="0" w:type="dxa"/>
                    <w:bottom w:w="0" w:type="dxa"/>
                    <w:right w:w="0" w:type="dxa"/>
                  </w:tcMar>
                  <w:vAlign w:val="center"/>
                </w:tcPr>
                <w:p w14:paraId="0C84352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537" w:type="pct"/>
                  <w:vMerge w:val="continue"/>
                  <w:tcBorders>
                    <w:tl2br w:val="nil"/>
                    <w:tr2bl w:val="nil"/>
                  </w:tcBorders>
                  <w:noWrap w:val="0"/>
                  <w:tcMar>
                    <w:top w:w="0" w:type="dxa"/>
                    <w:left w:w="0" w:type="dxa"/>
                    <w:bottom w:w="0" w:type="dxa"/>
                    <w:right w:w="0" w:type="dxa"/>
                  </w:tcMar>
                  <w:vAlign w:val="center"/>
                </w:tcPr>
                <w:p w14:paraId="2060318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446" w:type="pct"/>
                  <w:tcBorders>
                    <w:tl2br w:val="nil"/>
                    <w:tr2bl w:val="nil"/>
                  </w:tcBorders>
                  <w:noWrap w:val="0"/>
                  <w:tcMar>
                    <w:top w:w="0" w:type="dxa"/>
                    <w:left w:w="0" w:type="dxa"/>
                    <w:bottom w:w="0" w:type="dxa"/>
                    <w:right w:w="0" w:type="dxa"/>
                  </w:tcMar>
                  <w:vAlign w:val="center"/>
                </w:tcPr>
                <w:p w14:paraId="4CE9121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第三次</w:t>
                  </w:r>
                </w:p>
              </w:tc>
              <w:tc>
                <w:tcPr>
                  <w:tcW w:w="676" w:type="pct"/>
                  <w:tcBorders>
                    <w:tl2br w:val="nil"/>
                    <w:tr2bl w:val="nil"/>
                  </w:tcBorders>
                  <w:noWrap w:val="0"/>
                  <w:tcMar>
                    <w:top w:w="0" w:type="dxa"/>
                    <w:left w:w="0" w:type="dxa"/>
                    <w:bottom w:w="0" w:type="dxa"/>
                    <w:right w:w="0" w:type="dxa"/>
                  </w:tcMar>
                  <w:vAlign w:val="center"/>
                </w:tcPr>
                <w:p w14:paraId="08E631E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0.151</w:t>
                  </w:r>
                </w:p>
              </w:tc>
              <w:tc>
                <w:tcPr>
                  <w:tcW w:w="671" w:type="pct"/>
                  <w:tcBorders>
                    <w:tl2br w:val="nil"/>
                    <w:tr2bl w:val="nil"/>
                  </w:tcBorders>
                  <w:noWrap w:val="0"/>
                  <w:tcMar>
                    <w:top w:w="0" w:type="dxa"/>
                    <w:left w:w="0" w:type="dxa"/>
                    <w:bottom w:w="0" w:type="dxa"/>
                    <w:right w:w="0" w:type="dxa"/>
                  </w:tcMar>
                  <w:vAlign w:val="center"/>
                </w:tcPr>
                <w:p w14:paraId="62E91DE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0.185</w:t>
                  </w:r>
                </w:p>
              </w:tc>
              <w:tc>
                <w:tcPr>
                  <w:tcW w:w="667" w:type="pct"/>
                  <w:tcBorders>
                    <w:tl2br w:val="nil"/>
                    <w:tr2bl w:val="nil"/>
                  </w:tcBorders>
                  <w:noWrap w:val="0"/>
                  <w:tcMar>
                    <w:top w:w="0" w:type="dxa"/>
                    <w:left w:w="0" w:type="dxa"/>
                    <w:bottom w:w="0" w:type="dxa"/>
                    <w:right w:w="0" w:type="dxa"/>
                  </w:tcMar>
                  <w:vAlign w:val="center"/>
                </w:tcPr>
                <w:p w14:paraId="5DFB80A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0.219</w:t>
                  </w:r>
                </w:p>
              </w:tc>
              <w:tc>
                <w:tcPr>
                  <w:tcW w:w="676" w:type="pct"/>
                  <w:tcBorders>
                    <w:tl2br w:val="nil"/>
                    <w:tr2bl w:val="nil"/>
                  </w:tcBorders>
                  <w:noWrap w:val="0"/>
                  <w:tcMar>
                    <w:top w:w="0" w:type="dxa"/>
                    <w:left w:w="0" w:type="dxa"/>
                    <w:bottom w:w="0" w:type="dxa"/>
                    <w:right w:w="0" w:type="dxa"/>
                  </w:tcMar>
                  <w:vAlign w:val="center"/>
                </w:tcPr>
                <w:p w14:paraId="37CDEB0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0.303</w:t>
                  </w:r>
                </w:p>
              </w:tc>
            </w:tr>
            <w:tr w14:paraId="64D0BF5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restart"/>
                  <w:tcBorders>
                    <w:tl2br w:val="nil"/>
                    <w:tr2bl w:val="nil"/>
                  </w:tcBorders>
                  <w:noWrap w:val="0"/>
                  <w:tcMar>
                    <w:top w:w="0" w:type="dxa"/>
                    <w:left w:w="0" w:type="dxa"/>
                    <w:bottom w:w="0" w:type="dxa"/>
                    <w:right w:w="0" w:type="dxa"/>
                  </w:tcMar>
                  <w:vAlign w:val="center"/>
                </w:tcPr>
                <w:p w14:paraId="498E2EB6">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val="0"/>
                      <w:bCs w:val="0"/>
                      <w:color w:val="auto"/>
                      <w:kern w:val="2"/>
                      <w:sz w:val="21"/>
                      <w:szCs w:val="21"/>
                      <w:vertAlign w:val="baseline"/>
                      <w:lang w:val="en-US" w:eastAsia="zh-CN" w:bidi="ar-SA"/>
                    </w:rPr>
                    <w:t>2022.01.08</w:t>
                  </w:r>
                </w:p>
              </w:tc>
              <w:tc>
                <w:tcPr>
                  <w:tcW w:w="637" w:type="pct"/>
                  <w:vMerge w:val="continue"/>
                  <w:tcBorders>
                    <w:tl2br w:val="nil"/>
                    <w:tr2bl w:val="nil"/>
                  </w:tcBorders>
                  <w:noWrap w:val="0"/>
                  <w:tcMar>
                    <w:top w:w="0" w:type="dxa"/>
                    <w:left w:w="0" w:type="dxa"/>
                    <w:bottom w:w="0" w:type="dxa"/>
                    <w:right w:w="0" w:type="dxa"/>
                  </w:tcMar>
                  <w:vAlign w:val="center"/>
                </w:tcPr>
                <w:p w14:paraId="45F19CE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537" w:type="pct"/>
                  <w:vMerge w:val="continue"/>
                  <w:tcBorders>
                    <w:tl2br w:val="nil"/>
                    <w:tr2bl w:val="nil"/>
                  </w:tcBorders>
                  <w:noWrap w:val="0"/>
                  <w:tcMar>
                    <w:top w:w="0" w:type="dxa"/>
                    <w:left w:w="0" w:type="dxa"/>
                    <w:bottom w:w="0" w:type="dxa"/>
                    <w:right w:w="0" w:type="dxa"/>
                  </w:tcMar>
                  <w:vAlign w:val="center"/>
                </w:tcPr>
                <w:p w14:paraId="4E28710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446" w:type="pct"/>
                  <w:tcBorders>
                    <w:tl2br w:val="nil"/>
                    <w:tr2bl w:val="nil"/>
                  </w:tcBorders>
                  <w:noWrap w:val="0"/>
                  <w:tcMar>
                    <w:top w:w="0" w:type="dxa"/>
                    <w:left w:w="0" w:type="dxa"/>
                    <w:bottom w:w="0" w:type="dxa"/>
                    <w:right w:w="0" w:type="dxa"/>
                  </w:tcMar>
                  <w:vAlign w:val="center"/>
                </w:tcPr>
                <w:p w14:paraId="213F6A5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第一次</w:t>
                  </w:r>
                </w:p>
              </w:tc>
              <w:tc>
                <w:tcPr>
                  <w:tcW w:w="676" w:type="pct"/>
                  <w:tcBorders>
                    <w:tl2br w:val="nil"/>
                    <w:tr2bl w:val="nil"/>
                  </w:tcBorders>
                  <w:noWrap w:val="0"/>
                  <w:tcMar>
                    <w:top w:w="0" w:type="dxa"/>
                    <w:left w:w="0" w:type="dxa"/>
                    <w:bottom w:w="0" w:type="dxa"/>
                    <w:right w:w="0" w:type="dxa"/>
                  </w:tcMar>
                  <w:vAlign w:val="center"/>
                </w:tcPr>
                <w:p w14:paraId="54442F0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0.100</w:t>
                  </w:r>
                </w:p>
              </w:tc>
              <w:tc>
                <w:tcPr>
                  <w:tcW w:w="671" w:type="pct"/>
                  <w:tcBorders>
                    <w:tl2br w:val="nil"/>
                    <w:tr2bl w:val="nil"/>
                  </w:tcBorders>
                  <w:noWrap w:val="0"/>
                  <w:tcMar>
                    <w:top w:w="0" w:type="dxa"/>
                    <w:left w:w="0" w:type="dxa"/>
                    <w:bottom w:w="0" w:type="dxa"/>
                    <w:right w:w="0" w:type="dxa"/>
                  </w:tcMar>
                  <w:vAlign w:val="center"/>
                </w:tcPr>
                <w:p w14:paraId="4B2964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0.217</w:t>
                  </w:r>
                </w:p>
              </w:tc>
              <w:tc>
                <w:tcPr>
                  <w:tcW w:w="667" w:type="pct"/>
                  <w:tcBorders>
                    <w:tl2br w:val="nil"/>
                    <w:tr2bl w:val="nil"/>
                  </w:tcBorders>
                  <w:noWrap w:val="0"/>
                  <w:tcMar>
                    <w:top w:w="0" w:type="dxa"/>
                    <w:left w:w="0" w:type="dxa"/>
                    <w:bottom w:w="0" w:type="dxa"/>
                    <w:right w:w="0" w:type="dxa"/>
                  </w:tcMar>
                  <w:vAlign w:val="center"/>
                </w:tcPr>
                <w:p w14:paraId="22B7E0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0.234</w:t>
                  </w:r>
                </w:p>
              </w:tc>
              <w:tc>
                <w:tcPr>
                  <w:tcW w:w="676" w:type="pct"/>
                  <w:tcBorders>
                    <w:tl2br w:val="nil"/>
                    <w:tr2bl w:val="nil"/>
                  </w:tcBorders>
                  <w:noWrap w:val="0"/>
                  <w:tcMar>
                    <w:top w:w="0" w:type="dxa"/>
                    <w:left w:w="0" w:type="dxa"/>
                    <w:bottom w:w="0" w:type="dxa"/>
                    <w:right w:w="0" w:type="dxa"/>
                  </w:tcMar>
                  <w:vAlign w:val="center"/>
                </w:tcPr>
                <w:p w14:paraId="241365B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0.284</w:t>
                  </w:r>
                </w:p>
              </w:tc>
            </w:tr>
            <w:tr w14:paraId="1F3F21B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continue"/>
                  <w:tcBorders>
                    <w:tl2br w:val="nil"/>
                    <w:tr2bl w:val="nil"/>
                  </w:tcBorders>
                  <w:noWrap w:val="0"/>
                  <w:tcMar>
                    <w:top w:w="0" w:type="dxa"/>
                    <w:left w:w="0" w:type="dxa"/>
                    <w:bottom w:w="0" w:type="dxa"/>
                    <w:right w:w="0" w:type="dxa"/>
                  </w:tcMar>
                  <w:vAlign w:val="center"/>
                </w:tcPr>
                <w:p w14:paraId="1EA28A9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637" w:type="pct"/>
                  <w:vMerge w:val="continue"/>
                  <w:tcBorders>
                    <w:tl2br w:val="nil"/>
                    <w:tr2bl w:val="nil"/>
                  </w:tcBorders>
                  <w:noWrap w:val="0"/>
                  <w:tcMar>
                    <w:top w:w="0" w:type="dxa"/>
                    <w:left w:w="0" w:type="dxa"/>
                    <w:bottom w:w="0" w:type="dxa"/>
                    <w:right w:w="0" w:type="dxa"/>
                  </w:tcMar>
                  <w:vAlign w:val="center"/>
                </w:tcPr>
                <w:p w14:paraId="5B6B88F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537" w:type="pct"/>
                  <w:vMerge w:val="continue"/>
                  <w:tcBorders>
                    <w:tl2br w:val="nil"/>
                    <w:tr2bl w:val="nil"/>
                  </w:tcBorders>
                  <w:noWrap w:val="0"/>
                  <w:tcMar>
                    <w:top w:w="0" w:type="dxa"/>
                    <w:left w:w="0" w:type="dxa"/>
                    <w:bottom w:w="0" w:type="dxa"/>
                    <w:right w:w="0" w:type="dxa"/>
                  </w:tcMar>
                  <w:vAlign w:val="center"/>
                </w:tcPr>
                <w:p w14:paraId="4568A6C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446" w:type="pct"/>
                  <w:tcBorders>
                    <w:tl2br w:val="nil"/>
                    <w:tr2bl w:val="nil"/>
                  </w:tcBorders>
                  <w:noWrap w:val="0"/>
                  <w:tcMar>
                    <w:top w:w="0" w:type="dxa"/>
                    <w:left w:w="0" w:type="dxa"/>
                    <w:bottom w:w="0" w:type="dxa"/>
                    <w:right w:w="0" w:type="dxa"/>
                  </w:tcMar>
                  <w:vAlign w:val="center"/>
                </w:tcPr>
                <w:p w14:paraId="64AEA64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第二次</w:t>
                  </w:r>
                </w:p>
              </w:tc>
              <w:tc>
                <w:tcPr>
                  <w:tcW w:w="676" w:type="pct"/>
                  <w:tcBorders>
                    <w:tl2br w:val="nil"/>
                    <w:tr2bl w:val="nil"/>
                  </w:tcBorders>
                  <w:noWrap w:val="0"/>
                  <w:tcMar>
                    <w:top w:w="0" w:type="dxa"/>
                    <w:left w:w="0" w:type="dxa"/>
                    <w:bottom w:w="0" w:type="dxa"/>
                    <w:right w:w="0" w:type="dxa"/>
                  </w:tcMar>
                  <w:vAlign w:val="center"/>
                </w:tcPr>
                <w:p w14:paraId="18C0F36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0.151</w:t>
                  </w:r>
                </w:p>
              </w:tc>
              <w:tc>
                <w:tcPr>
                  <w:tcW w:w="671" w:type="pct"/>
                  <w:tcBorders>
                    <w:tl2br w:val="nil"/>
                    <w:tr2bl w:val="nil"/>
                  </w:tcBorders>
                  <w:noWrap w:val="0"/>
                  <w:tcMar>
                    <w:top w:w="0" w:type="dxa"/>
                    <w:left w:w="0" w:type="dxa"/>
                    <w:bottom w:w="0" w:type="dxa"/>
                    <w:right w:w="0" w:type="dxa"/>
                  </w:tcMar>
                  <w:vAlign w:val="center"/>
                </w:tcPr>
                <w:p w14:paraId="2DCB949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0.268</w:t>
                  </w:r>
                </w:p>
              </w:tc>
              <w:tc>
                <w:tcPr>
                  <w:tcW w:w="667" w:type="pct"/>
                  <w:tcBorders>
                    <w:tl2br w:val="nil"/>
                    <w:tr2bl w:val="nil"/>
                  </w:tcBorders>
                  <w:noWrap w:val="0"/>
                  <w:tcMar>
                    <w:top w:w="0" w:type="dxa"/>
                    <w:left w:w="0" w:type="dxa"/>
                    <w:bottom w:w="0" w:type="dxa"/>
                    <w:right w:w="0" w:type="dxa"/>
                  </w:tcMar>
                  <w:vAlign w:val="center"/>
                </w:tcPr>
                <w:p w14:paraId="7CB3C0A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0.319</w:t>
                  </w:r>
                </w:p>
              </w:tc>
              <w:tc>
                <w:tcPr>
                  <w:tcW w:w="676" w:type="pct"/>
                  <w:tcBorders>
                    <w:tl2br w:val="nil"/>
                    <w:tr2bl w:val="nil"/>
                  </w:tcBorders>
                  <w:noWrap w:val="0"/>
                  <w:tcMar>
                    <w:top w:w="0" w:type="dxa"/>
                    <w:left w:w="0" w:type="dxa"/>
                    <w:bottom w:w="0" w:type="dxa"/>
                    <w:right w:w="0" w:type="dxa"/>
                  </w:tcMar>
                  <w:vAlign w:val="center"/>
                </w:tcPr>
                <w:p w14:paraId="7382129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0.335</w:t>
                  </w:r>
                </w:p>
              </w:tc>
            </w:tr>
            <w:tr w14:paraId="0ABC9EA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continue"/>
                  <w:tcBorders>
                    <w:tl2br w:val="nil"/>
                    <w:tr2bl w:val="nil"/>
                  </w:tcBorders>
                  <w:noWrap w:val="0"/>
                  <w:tcMar>
                    <w:top w:w="0" w:type="dxa"/>
                    <w:left w:w="0" w:type="dxa"/>
                    <w:bottom w:w="0" w:type="dxa"/>
                    <w:right w:w="0" w:type="dxa"/>
                  </w:tcMar>
                  <w:vAlign w:val="center"/>
                </w:tcPr>
                <w:p w14:paraId="2D1AD26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637" w:type="pct"/>
                  <w:vMerge w:val="continue"/>
                  <w:tcBorders>
                    <w:tl2br w:val="nil"/>
                    <w:tr2bl w:val="nil"/>
                  </w:tcBorders>
                  <w:noWrap w:val="0"/>
                  <w:tcMar>
                    <w:top w:w="0" w:type="dxa"/>
                    <w:left w:w="0" w:type="dxa"/>
                    <w:bottom w:w="0" w:type="dxa"/>
                    <w:right w:w="0" w:type="dxa"/>
                  </w:tcMar>
                  <w:vAlign w:val="center"/>
                </w:tcPr>
                <w:p w14:paraId="0030FA2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537" w:type="pct"/>
                  <w:vMerge w:val="continue"/>
                  <w:tcBorders>
                    <w:tl2br w:val="nil"/>
                    <w:tr2bl w:val="nil"/>
                  </w:tcBorders>
                  <w:noWrap w:val="0"/>
                  <w:tcMar>
                    <w:top w:w="0" w:type="dxa"/>
                    <w:left w:w="0" w:type="dxa"/>
                    <w:bottom w:w="0" w:type="dxa"/>
                    <w:right w:w="0" w:type="dxa"/>
                  </w:tcMar>
                  <w:vAlign w:val="center"/>
                </w:tcPr>
                <w:p w14:paraId="121B92E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446" w:type="pct"/>
                  <w:tcBorders>
                    <w:tl2br w:val="nil"/>
                    <w:tr2bl w:val="nil"/>
                  </w:tcBorders>
                  <w:noWrap w:val="0"/>
                  <w:tcMar>
                    <w:top w:w="0" w:type="dxa"/>
                    <w:left w:w="0" w:type="dxa"/>
                    <w:bottom w:w="0" w:type="dxa"/>
                    <w:right w:w="0" w:type="dxa"/>
                  </w:tcMar>
                  <w:vAlign w:val="center"/>
                </w:tcPr>
                <w:p w14:paraId="09C52E4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第三次</w:t>
                  </w:r>
                </w:p>
              </w:tc>
              <w:tc>
                <w:tcPr>
                  <w:tcW w:w="676" w:type="pct"/>
                  <w:tcBorders>
                    <w:tl2br w:val="nil"/>
                    <w:tr2bl w:val="nil"/>
                  </w:tcBorders>
                  <w:noWrap w:val="0"/>
                  <w:tcMar>
                    <w:top w:w="0" w:type="dxa"/>
                    <w:left w:w="0" w:type="dxa"/>
                    <w:bottom w:w="0" w:type="dxa"/>
                    <w:right w:w="0" w:type="dxa"/>
                  </w:tcMar>
                  <w:vAlign w:val="center"/>
                </w:tcPr>
                <w:p w14:paraId="701BD20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0.118</w:t>
                  </w:r>
                </w:p>
              </w:tc>
              <w:tc>
                <w:tcPr>
                  <w:tcW w:w="671" w:type="pct"/>
                  <w:tcBorders>
                    <w:tl2br w:val="nil"/>
                    <w:tr2bl w:val="nil"/>
                  </w:tcBorders>
                  <w:noWrap w:val="0"/>
                  <w:tcMar>
                    <w:top w:w="0" w:type="dxa"/>
                    <w:left w:w="0" w:type="dxa"/>
                    <w:bottom w:w="0" w:type="dxa"/>
                    <w:right w:w="0" w:type="dxa"/>
                  </w:tcMar>
                  <w:vAlign w:val="center"/>
                </w:tcPr>
                <w:p w14:paraId="7C69698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0.203</w:t>
                  </w:r>
                </w:p>
              </w:tc>
              <w:tc>
                <w:tcPr>
                  <w:tcW w:w="667" w:type="pct"/>
                  <w:tcBorders>
                    <w:tl2br w:val="nil"/>
                    <w:tr2bl w:val="nil"/>
                  </w:tcBorders>
                  <w:noWrap w:val="0"/>
                  <w:tcMar>
                    <w:top w:w="0" w:type="dxa"/>
                    <w:left w:w="0" w:type="dxa"/>
                    <w:bottom w:w="0" w:type="dxa"/>
                    <w:right w:w="0" w:type="dxa"/>
                  </w:tcMar>
                  <w:vAlign w:val="center"/>
                </w:tcPr>
                <w:p w14:paraId="47020AB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0.304</w:t>
                  </w:r>
                </w:p>
              </w:tc>
              <w:tc>
                <w:tcPr>
                  <w:tcW w:w="676" w:type="pct"/>
                  <w:tcBorders>
                    <w:tl2br w:val="nil"/>
                    <w:tr2bl w:val="nil"/>
                  </w:tcBorders>
                  <w:noWrap w:val="0"/>
                  <w:tcMar>
                    <w:top w:w="0" w:type="dxa"/>
                    <w:left w:w="0" w:type="dxa"/>
                    <w:bottom w:w="0" w:type="dxa"/>
                    <w:right w:w="0" w:type="dxa"/>
                  </w:tcMar>
                  <w:vAlign w:val="center"/>
                </w:tcPr>
                <w:p w14:paraId="156FE74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0.253</w:t>
                  </w:r>
                </w:p>
              </w:tc>
            </w:tr>
            <w:tr w14:paraId="341CEFE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restart"/>
                  <w:tcBorders>
                    <w:tl2br w:val="nil"/>
                    <w:tr2bl w:val="nil"/>
                  </w:tcBorders>
                  <w:noWrap w:val="0"/>
                  <w:tcMar>
                    <w:top w:w="0" w:type="dxa"/>
                    <w:left w:w="0" w:type="dxa"/>
                    <w:bottom w:w="0" w:type="dxa"/>
                    <w:right w:w="0" w:type="dxa"/>
                  </w:tcMar>
                  <w:vAlign w:val="center"/>
                </w:tcPr>
                <w:p w14:paraId="27E130CF">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val="0"/>
                      <w:bCs w:val="0"/>
                      <w:color w:val="auto"/>
                      <w:kern w:val="2"/>
                      <w:sz w:val="21"/>
                      <w:szCs w:val="21"/>
                      <w:vertAlign w:val="baseline"/>
                      <w:lang w:val="en-US" w:eastAsia="zh-CN" w:bidi="ar-SA"/>
                    </w:rPr>
                    <w:t>2022.01.07</w:t>
                  </w:r>
                </w:p>
              </w:tc>
              <w:tc>
                <w:tcPr>
                  <w:tcW w:w="637" w:type="pct"/>
                  <w:vMerge w:val="restart"/>
                  <w:tcBorders>
                    <w:tl2br w:val="nil"/>
                    <w:tr2bl w:val="nil"/>
                  </w:tcBorders>
                  <w:noWrap w:val="0"/>
                  <w:tcMar>
                    <w:top w:w="0" w:type="dxa"/>
                    <w:left w:w="0" w:type="dxa"/>
                    <w:bottom w:w="0" w:type="dxa"/>
                    <w:right w:w="0" w:type="dxa"/>
                  </w:tcMar>
                  <w:vAlign w:val="center"/>
                </w:tcPr>
                <w:p w14:paraId="328F4F8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非甲烷总烃</w:t>
                  </w:r>
                </w:p>
              </w:tc>
              <w:tc>
                <w:tcPr>
                  <w:tcW w:w="537" w:type="pct"/>
                  <w:vMerge w:val="restart"/>
                  <w:tcBorders>
                    <w:tl2br w:val="nil"/>
                    <w:tr2bl w:val="nil"/>
                  </w:tcBorders>
                  <w:noWrap w:val="0"/>
                  <w:tcMar>
                    <w:top w:w="0" w:type="dxa"/>
                    <w:left w:w="0" w:type="dxa"/>
                    <w:bottom w:w="0" w:type="dxa"/>
                    <w:right w:w="0" w:type="dxa"/>
                  </w:tcMar>
                  <w:vAlign w:val="center"/>
                </w:tcPr>
                <w:p w14:paraId="647BA276">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mg/m</w:t>
                  </w:r>
                  <w:r>
                    <w:rPr>
                      <w:rFonts w:hint="default" w:ascii="Times New Roman" w:hAnsi="Times New Roman" w:eastAsia="宋体" w:cs="Times New Roman"/>
                      <w:color w:val="auto"/>
                      <w:sz w:val="21"/>
                      <w:szCs w:val="21"/>
                      <w:vertAlign w:val="superscript"/>
                    </w:rPr>
                    <w:t>3</w:t>
                  </w:r>
                </w:p>
              </w:tc>
              <w:tc>
                <w:tcPr>
                  <w:tcW w:w="446" w:type="pct"/>
                  <w:tcBorders>
                    <w:tl2br w:val="nil"/>
                    <w:tr2bl w:val="nil"/>
                  </w:tcBorders>
                  <w:noWrap w:val="0"/>
                  <w:tcMar>
                    <w:top w:w="0" w:type="dxa"/>
                    <w:left w:w="0" w:type="dxa"/>
                    <w:bottom w:w="0" w:type="dxa"/>
                    <w:right w:w="0" w:type="dxa"/>
                  </w:tcMar>
                  <w:vAlign w:val="center"/>
                </w:tcPr>
                <w:p w14:paraId="246D0C0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第一次</w:t>
                  </w:r>
                </w:p>
              </w:tc>
              <w:tc>
                <w:tcPr>
                  <w:tcW w:w="676" w:type="pct"/>
                  <w:tcBorders>
                    <w:tl2br w:val="nil"/>
                    <w:tr2bl w:val="nil"/>
                  </w:tcBorders>
                  <w:noWrap w:val="0"/>
                  <w:tcMar>
                    <w:top w:w="0" w:type="dxa"/>
                    <w:left w:w="0" w:type="dxa"/>
                    <w:bottom w:w="0" w:type="dxa"/>
                    <w:right w:w="0" w:type="dxa"/>
                  </w:tcMar>
                  <w:vAlign w:val="center"/>
                </w:tcPr>
                <w:p w14:paraId="08E3C34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0.96</w:t>
                  </w:r>
                </w:p>
              </w:tc>
              <w:tc>
                <w:tcPr>
                  <w:tcW w:w="671" w:type="pct"/>
                  <w:tcBorders>
                    <w:tl2br w:val="nil"/>
                    <w:tr2bl w:val="nil"/>
                  </w:tcBorders>
                  <w:noWrap w:val="0"/>
                  <w:tcMar>
                    <w:top w:w="0" w:type="dxa"/>
                    <w:left w:w="0" w:type="dxa"/>
                    <w:bottom w:w="0" w:type="dxa"/>
                    <w:right w:w="0" w:type="dxa"/>
                  </w:tcMar>
                  <w:vAlign w:val="center"/>
                </w:tcPr>
                <w:p w14:paraId="5C2C84E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1.00</w:t>
                  </w:r>
                </w:p>
              </w:tc>
              <w:tc>
                <w:tcPr>
                  <w:tcW w:w="667" w:type="pct"/>
                  <w:tcBorders>
                    <w:tl2br w:val="nil"/>
                    <w:tr2bl w:val="nil"/>
                  </w:tcBorders>
                  <w:noWrap w:val="0"/>
                  <w:tcMar>
                    <w:top w:w="0" w:type="dxa"/>
                    <w:left w:w="0" w:type="dxa"/>
                    <w:bottom w:w="0" w:type="dxa"/>
                    <w:right w:w="0" w:type="dxa"/>
                  </w:tcMar>
                  <w:vAlign w:val="center"/>
                </w:tcPr>
                <w:p w14:paraId="6D7B045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0.98</w:t>
                  </w:r>
                </w:p>
              </w:tc>
              <w:tc>
                <w:tcPr>
                  <w:tcW w:w="676" w:type="pct"/>
                  <w:tcBorders>
                    <w:tl2br w:val="nil"/>
                    <w:tr2bl w:val="nil"/>
                  </w:tcBorders>
                  <w:noWrap w:val="0"/>
                  <w:tcMar>
                    <w:top w:w="0" w:type="dxa"/>
                    <w:left w:w="0" w:type="dxa"/>
                    <w:bottom w:w="0" w:type="dxa"/>
                    <w:right w:w="0" w:type="dxa"/>
                  </w:tcMar>
                  <w:vAlign w:val="center"/>
                </w:tcPr>
                <w:p w14:paraId="34868F4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1.02</w:t>
                  </w:r>
                </w:p>
              </w:tc>
            </w:tr>
            <w:tr w14:paraId="5ECE926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continue"/>
                  <w:tcBorders>
                    <w:tl2br w:val="nil"/>
                    <w:tr2bl w:val="nil"/>
                  </w:tcBorders>
                  <w:noWrap w:val="0"/>
                  <w:tcMar>
                    <w:top w:w="0" w:type="dxa"/>
                    <w:left w:w="0" w:type="dxa"/>
                    <w:bottom w:w="0" w:type="dxa"/>
                    <w:right w:w="0" w:type="dxa"/>
                  </w:tcMar>
                  <w:vAlign w:val="center"/>
                </w:tcPr>
                <w:p w14:paraId="4A9C8C0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637" w:type="pct"/>
                  <w:vMerge w:val="continue"/>
                  <w:tcBorders>
                    <w:tl2br w:val="nil"/>
                    <w:tr2bl w:val="nil"/>
                  </w:tcBorders>
                  <w:noWrap w:val="0"/>
                  <w:tcMar>
                    <w:top w:w="0" w:type="dxa"/>
                    <w:left w:w="0" w:type="dxa"/>
                    <w:bottom w:w="0" w:type="dxa"/>
                    <w:right w:w="0" w:type="dxa"/>
                  </w:tcMar>
                  <w:vAlign w:val="center"/>
                </w:tcPr>
                <w:p w14:paraId="286C599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537" w:type="pct"/>
                  <w:vMerge w:val="continue"/>
                  <w:tcBorders>
                    <w:tl2br w:val="nil"/>
                    <w:tr2bl w:val="nil"/>
                  </w:tcBorders>
                  <w:noWrap w:val="0"/>
                  <w:tcMar>
                    <w:top w:w="0" w:type="dxa"/>
                    <w:left w:w="0" w:type="dxa"/>
                    <w:bottom w:w="0" w:type="dxa"/>
                    <w:right w:w="0" w:type="dxa"/>
                  </w:tcMar>
                  <w:vAlign w:val="center"/>
                </w:tcPr>
                <w:p w14:paraId="0C4B8BD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446" w:type="pct"/>
                  <w:tcBorders>
                    <w:tl2br w:val="nil"/>
                    <w:tr2bl w:val="nil"/>
                  </w:tcBorders>
                  <w:noWrap w:val="0"/>
                  <w:tcMar>
                    <w:top w:w="0" w:type="dxa"/>
                    <w:left w:w="0" w:type="dxa"/>
                    <w:bottom w:w="0" w:type="dxa"/>
                    <w:right w:w="0" w:type="dxa"/>
                  </w:tcMar>
                  <w:vAlign w:val="center"/>
                </w:tcPr>
                <w:p w14:paraId="0EB6FD5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第二次</w:t>
                  </w:r>
                </w:p>
              </w:tc>
              <w:tc>
                <w:tcPr>
                  <w:tcW w:w="676" w:type="pct"/>
                  <w:tcBorders>
                    <w:tl2br w:val="nil"/>
                    <w:tr2bl w:val="nil"/>
                  </w:tcBorders>
                  <w:noWrap w:val="0"/>
                  <w:tcMar>
                    <w:top w:w="0" w:type="dxa"/>
                    <w:left w:w="0" w:type="dxa"/>
                    <w:bottom w:w="0" w:type="dxa"/>
                    <w:right w:w="0" w:type="dxa"/>
                  </w:tcMar>
                  <w:vAlign w:val="center"/>
                </w:tcPr>
                <w:p w14:paraId="567E4B6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0.82</w:t>
                  </w:r>
                </w:p>
              </w:tc>
              <w:tc>
                <w:tcPr>
                  <w:tcW w:w="671" w:type="pct"/>
                  <w:tcBorders>
                    <w:tl2br w:val="nil"/>
                    <w:tr2bl w:val="nil"/>
                  </w:tcBorders>
                  <w:noWrap w:val="0"/>
                  <w:tcMar>
                    <w:top w:w="0" w:type="dxa"/>
                    <w:left w:w="0" w:type="dxa"/>
                    <w:bottom w:w="0" w:type="dxa"/>
                    <w:right w:w="0" w:type="dxa"/>
                  </w:tcMar>
                  <w:vAlign w:val="center"/>
                </w:tcPr>
                <w:p w14:paraId="75FBF84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0.99</w:t>
                  </w:r>
                </w:p>
              </w:tc>
              <w:tc>
                <w:tcPr>
                  <w:tcW w:w="667" w:type="pct"/>
                  <w:tcBorders>
                    <w:tl2br w:val="nil"/>
                    <w:tr2bl w:val="nil"/>
                  </w:tcBorders>
                  <w:noWrap w:val="0"/>
                  <w:tcMar>
                    <w:top w:w="0" w:type="dxa"/>
                    <w:left w:w="0" w:type="dxa"/>
                    <w:bottom w:w="0" w:type="dxa"/>
                    <w:right w:w="0" w:type="dxa"/>
                  </w:tcMar>
                  <w:vAlign w:val="center"/>
                </w:tcPr>
                <w:p w14:paraId="37ADF98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1.02</w:t>
                  </w:r>
                </w:p>
              </w:tc>
              <w:tc>
                <w:tcPr>
                  <w:tcW w:w="676" w:type="pct"/>
                  <w:tcBorders>
                    <w:tl2br w:val="nil"/>
                    <w:tr2bl w:val="nil"/>
                  </w:tcBorders>
                  <w:noWrap w:val="0"/>
                  <w:tcMar>
                    <w:top w:w="0" w:type="dxa"/>
                    <w:left w:w="0" w:type="dxa"/>
                    <w:bottom w:w="0" w:type="dxa"/>
                    <w:right w:w="0" w:type="dxa"/>
                  </w:tcMar>
                  <w:vAlign w:val="center"/>
                </w:tcPr>
                <w:p w14:paraId="0DC0501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1.00</w:t>
                  </w:r>
                </w:p>
              </w:tc>
            </w:tr>
            <w:tr w14:paraId="3E3F2F6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continue"/>
                  <w:tcBorders>
                    <w:tl2br w:val="nil"/>
                    <w:tr2bl w:val="nil"/>
                  </w:tcBorders>
                  <w:noWrap w:val="0"/>
                  <w:tcMar>
                    <w:top w:w="0" w:type="dxa"/>
                    <w:left w:w="0" w:type="dxa"/>
                    <w:bottom w:w="0" w:type="dxa"/>
                    <w:right w:w="0" w:type="dxa"/>
                  </w:tcMar>
                  <w:vAlign w:val="center"/>
                </w:tcPr>
                <w:p w14:paraId="7B06AB9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637" w:type="pct"/>
                  <w:vMerge w:val="continue"/>
                  <w:tcBorders>
                    <w:tl2br w:val="nil"/>
                    <w:tr2bl w:val="nil"/>
                  </w:tcBorders>
                  <w:noWrap w:val="0"/>
                  <w:tcMar>
                    <w:top w:w="0" w:type="dxa"/>
                    <w:left w:w="0" w:type="dxa"/>
                    <w:bottom w:w="0" w:type="dxa"/>
                    <w:right w:w="0" w:type="dxa"/>
                  </w:tcMar>
                  <w:vAlign w:val="center"/>
                </w:tcPr>
                <w:p w14:paraId="09EE28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537" w:type="pct"/>
                  <w:vMerge w:val="continue"/>
                  <w:tcBorders>
                    <w:tl2br w:val="nil"/>
                    <w:tr2bl w:val="nil"/>
                  </w:tcBorders>
                  <w:noWrap w:val="0"/>
                  <w:tcMar>
                    <w:top w:w="0" w:type="dxa"/>
                    <w:left w:w="0" w:type="dxa"/>
                    <w:bottom w:w="0" w:type="dxa"/>
                    <w:right w:w="0" w:type="dxa"/>
                  </w:tcMar>
                  <w:vAlign w:val="center"/>
                </w:tcPr>
                <w:p w14:paraId="178958F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446" w:type="pct"/>
                  <w:tcBorders>
                    <w:tl2br w:val="nil"/>
                    <w:tr2bl w:val="nil"/>
                  </w:tcBorders>
                  <w:noWrap w:val="0"/>
                  <w:tcMar>
                    <w:top w:w="0" w:type="dxa"/>
                    <w:left w:w="0" w:type="dxa"/>
                    <w:bottom w:w="0" w:type="dxa"/>
                    <w:right w:w="0" w:type="dxa"/>
                  </w:tcMar>
                  <w:vAlign w:val="center"/>
                </w:tcPr>
                <w:p w14:paraId="516047E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第三次</w:t>
                  </w:r>
                </w:p>
              </w:tc>
              <w:tc>
                <w:tcPr>
                  <w:tcW w:w="676" w:type="pct"/>
                  <w:tcBorders>
                    <w:tl2br w:val="nil"/>
                    <w:tr2bl w:val="nil"/>
                  </w:tcBorders>
                  <w:noWrap w:val="0"/>
                  <w:tcMar>
                    <w:top w:w="0" w:type="dxa"/>
                    <w:left w:w="0" w:type="dxa"/>
                    <w:bottom w:w="0" w:type="dxa"/>
                    <w:right w:w="0" w:type="dxa"/>
                  </w:tcMar>
                  <w:vAlign w:val="center"/>
                </w:tcPr>
                <w:p w14:paraId="170D28F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0.92</w:t>
                  </w:r>
                </w:p>
              </w:tc>
              <w:tc>
                <w:tcPr>
                  <w:tcW w:w="671" w:type="pct"/>
                  <w:tcBorders>
                    <w:tl2br w:val="nil"/>
                    <w:tr2bl w:val="nil"/>
                  </w:tcBorders>
                  <w:noWrap w:val="0"/>
                  <w:tcMar>
                    <w:top w:w="0" w:type="dxa"/>
                    <w:left w:w="0" w:type="dxa"/>
                    <w:bottom w:w="0" w:type="dxa"/>
                    <w:right w:w="0" w:type="dxa"/>
                  </w:tcMar>
                  <w:vAlign w:val="center"/>
                </w:tcPr>
                <w:p w14:paraId="58D8B2E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0.99</w:t>
                  </w:r>
                </w:p>
              </w:tc>
              <w:tc>
                <w:tcPr>
                  <w:tcW w:w="667" w:type="pct"/>
                  <w:tcBorders>
                    <w:tl2br w:val="nil"/>
                    <w:tr2bl w:val="nil"/>
                  </w:tcBorders>
                  <w:noWrap w:val="0"/>
                  <w:tcMar>
                    <w:top w:w="0" w:type="dxa"/>
                    <w:left w:w="0" w:type="dxa"/>
                    <w:bottom w:w="0" w:type="dxa"/>
                    <w:right w:w="0" w:type="dxa"/>
                  </w:tcMar>
                  <w:vAlign w:val="center"/>
                </w:tcPr>
                <w:p w14:paraId="41D322F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0.99</w:t>
                  </w:r>
                </w:p>
              </w:tc>
              <w:tc>
                <w:tcPr>
                  <w:tcW w:w="676" w:type="pct"/>
                  <w:tcBorders>
                    <w:tl2br w:val="nil"/>
                    <w:tr2bl w:val="nil"/>
                  </w:tcBorders>
                  <w:noWrap w:val="0"/>
                  <w:tcMar>
                    <w:top w:w="0" w:type="dxa"/>
                    <w:left w:w="0" w:type="dxa"/>
                    <w:bottom w:w="0" w:type="dxa"/>
                    <w:right w:w="0" w:type="dxa"/>
                  </w:tcMar>
                  <w:vAlign w:val="center"/>
                </w:tcPr>
                <w:p w14:paraId="3B29563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1.01</w:t>
                  </w:r>
                </w:p>
              </w:tc>
            </w:tr>
            <w:tr w14:paraId="0944D35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restart"/>
                  <w:tcBorders>
                    <w:tl2br w:val="nil"/>
                    <w:tr2bl w:val="nil"/>
                  </w:tcBorders>
                  <w:noWrap w:val="0"/>
                  <w:tcMar>
                    <w:top w:w="0" w:type="dxa"/>
                    <w:left w:w="0" w:type="dxa"/>
                    <w:bottom w:w="0" w:type="dxa"/>
                    <w:right w:w="0" w:type="dxa"/>
                  </w:tcMar>
                  <w:vAlign w:val="center"/>
                </w:tcPr>
                <w:p w14:paraId="041BF461">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val="0"/>
                      <w:bCs w:val="0"/>
                      <w:color w:val="auto"/>
                      <w:kern w:val="2"/>
                      <w:sz w:val="21"/>
                      <w:szCs w:val="21"/>
                      <w:vertAlign w:val="baseline"/>
                      <w:lang w:val="en-US" w:eastAsia="zh-CN" w:bidi="ar-SA"/>
                    </w:rPr>
                    <w:t>2022.01.08</w:t>
                  </w:r>
                </w:p>
              </w:tc>
              <w:tc>
                <w:tcPr>
                  <w:tcW w:w="637" w:type="pct"/>
                  <w:vMerge w:val="continue"/>
                  <w:tcBorders>
                    <w:tl2br w:val="nil"/>
                    <w:tr2bl w:val="nil"/>
                  </w:tcBorders>
                  <w:noWrap w:val="0"/>
                  <w:tcMar>
                    <w:top w:w="0" w:type="dxa"/>
                    <w:left w:w="0" w:type="dxa"/>
                    <w:bottom w:w="0" w:type="dxa"/>
                    <w:right w:w="0" w:type="dxa"/>
                  </w:tcMar>
                  <w:vAlign w:val="center"/>
                </w:tcPr>
                <w:p w14:paraId="6CCE462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537" w:type="pct"/>
                  <w:vMerge w:val="continue"/>
                  <w:tcBorders>
                    <w:tl2br w:val="nil"/>
                    <w:tr2bl w:val="nil"/>
                  </w:tcBorders>
                  <w:noWrap w:val="0"/>
                  <w:tcMar>
                    <w:top w:w="0" w:type="dxa"/>
                    <w:left w:w="0" w:type="dxa"/>
                    <w:bottom w:w="0" w:type="dxa"/>
                    <w:right w:w="0" w:type="dxa"/>
                  </w:tcMar>
                  <w:vAlign w:val="center"/>
                </w:tcPr>
                <w:p w14:paraId="6B678A4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446" w:type="pct"/>
                  <w:tcBorders>
                    <w:tl2br w:val="nil"/>
                    <w:tr2bl w:val="nil"/>
                  </w:tcBorders>
                  <w:noWrap w:val="0"/>
                  <w:tcMar>
                    <w:top w:w="0" w:type="dxa"/>
                    <w:left w:w="0" w:type="dxa"/>
                    <w:bottom w:w="0" w:type="dxa"/>
                    <w:right w:w="0" w:type="dxa"/>
                  </w:tcMar>
                  <w:vAlign w:val="center"/>
                </w:tcPr>
                <w:p w14:paraId="463E3DF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第一次</w:t>
                  </w:r>
                </w:p>
              </w:tc>
              <w:tc>
                <w:tcPr>
                  <w:tcW w:w="676" w:type="pct"/>
                  <w:tcBorders>
                    <w:tl2br w:val="nil"/>
                    <w:tr2bl w:val="nil"/>
                  </w:tcBorders>
                  <w:noWrap w:val="0"/>
                  <w:tcMar>
                    <w:top w:w="0" w:type="dxa"/>
                    <w:left w:w="0" w:type="dxa"/>
                    <w:bottom w:w="0" w:type="dxa"/>
                    <w:right w:w="0" w:type="dxa"/>
                  </w:tcMar>
                  <w:vAlign w:val="center"/>
                </w:tcPr>
                <w:p w14:paraId="35017A3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0.92</w:t>
                  </w:r>
                </w:p>
              </w:tc>
              <w:tc>
                <w:tcPr>
                  <w:tcW w:w="671" w:type="pct"/>
                  <w:tcBorders>
                    <w:tl2br w:val="nil"/>
                    <w:tr2bl w:val="nil"/>
                  </w:tcBorders>
                  <w:noWrap w:val="0"/>
                  <w:tcMar>
                    <w:top w:w="0" w:type="dxa"/>
                    <w:left w:w="0" w:type="dxa"/>
                    <w:bottom w:w="0" w:type="dxa"/>
                    <w:right w:w="0" w:type="dxa"/>
                  </w:tcMar>
                  <w:vAlign w:val="center"/>
                </w:tcPr>
                <w:p w14:paraId="0554B11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1.02</w:t>
                  </w:r>
                </w:p>
              </w:tc>
              <w:tc>
                <w:tcPr>
                  <w:tcW w:w="667" w:type="pct"/>
                  <w:tcBorders>
                    <w:tl2br w:val="nil"/>
                    <w:tr2bl w:val="nil"/>
                  </w:tcBorders>
                  <w:noWrap w:val="0"/>
                  <w:tcMar>
                    <w:top w:w="0" w:type="dxa"/>
                    <w:left w:w="0" w:type="dxa"/>
                    <w:bottom w:w="0" w:type="dxa"/>
                    <w:right w:w="0" w:type="dxa"/>
                  </w:tcMar>
                  <w:vAlign w:val="center"/>
                </w:tcPr>
                <w:p w14:paraId="583C624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1.07</w:t>
                  </w:r>
                </w:p>
              </w:tc>
              <w:tc>
                <w:tcPr>
                  <w:tcW w:w="676" w:type="pct"/>
                  <w:tcBorders>
                    <w:tl2br w:val="nil"/>
                    <w:tr2bl w:val="nil"/>
                  </w:tcBorders>
                  <w:noWrap w:val="0"/>
                  <w:tcMar>
                    <w:top w:w="0" w:type="dxa"/>
                    <w:left w:w="0" w:type="dxa"/>
                    <w:bottom w:w="0" w:type="dxa"/>
                    <w:right w:w="0" w:type="dxa"/>
                  </w:tcMar>
                  <w:vAlign w:val="center"/>
                </w:tcPr>
                <w:p w14:paraId="4FB93F9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1.14</w:t>
                  </w:r>
                </w:p>
              </w:tc>
            </w:tr>
            <w:tr w14:paraId="64460EF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continue"/>
                  <w:tcBorders>
                    <w:tl2br w:val="nil"/>
                    <w:tr2bl w:val="nil"/>
                  </w:tcBorders>
                  <w:noWrap w:val="0"/>
                  <w:tcMar>
                    <w:top w:w="0" w:type="dxa"/>
                    <w:left w:w="0" w:type="dxa"/>
                    <w:bottom w:w="0" w:type="dxa"/>
                    <w:right w:w="0" w:type="dxa"/>
                  </w:tcMar>
                  <w:vAlign w:val="center"/>
                </w:tcPr>
                <w:p w14:paraId="35A670C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637" w:type="pct"/>
                  <w:vMerge w:val="continue"/>
                  <w:tcBorders>
                    <w:tl2br w:val="nil"/>
                    <w:tr2bl w:val="nil"/>
                  </w:tcBorders>
                  <w:noWrap w:val="0"/>
                  <w:tcMar>
                    <w:top w:w="0" w:type="dxa"/>
                    <w:left w:w="0" w:type="dxa"/>
                    <w:bottom w:w="0" w:type="dxa"/>
                    <w:right w:w="0" w:type="dxa"/>
                  </w:tcMar>
                  <w:vAlign w:val="center"/>
                </w:tcPr>
                <w:p w14:paraId="52FCFE0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537" w:type="pct"/>
                  <w:vMerge w:val="continue"/>
                  <w:tcBorders>
                    <w:tl2br w:val="nil"/>
                    <w:tr2bl w:val="nil"/>
                  </w:tcBorders>
                  <w:noWrap w:val="0"/>
                  <w:tcMar>
                    <w:top w:w="0" w:type="dxa"/>
                    <w:left w:w="0" w:type="dxa"/>
                    <w:bottom w:w="0" w:type="dxa"/>
                    <w:right w:w="0" w:type="dxa"/>
                  </w:tcMar>
                  <w:vAlign w:val="center"/>
                </w:tcPr>
                <w:p w14:paraId="1B8AF05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446" w:type="pct"/>
                  <w:tcBorders>
                    <w:tl2br w:val="nil"/>
                    <w:tr2bl w:val="nil"/>
                  </w:tcBorders>
                  <w:noWrap w:val="0"/>
                  <w:tcMar>
                    <w:top w:w="0" w:type="dxa"/>
                    <w:left w:w="0" w:type="dxa"/>
                    <w:bottom w:w="0" w:type="dxa"/>
                    <w:right w:w="0" w:type="dxa"/>
                  </w:tcMar>
                  <w:vAlign w:val="center"/>
                </w:tcPr>
                <w:p w14:paraId="564CE77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第二次</w:t>
                  </w:r>
                </w:p>
              </w:tc>
              <w:tc>
                <w:tcPr>
                  <w:tcW w:w="676" w:type="pct"/>
                  <w:tcBorders>
                    <w:tl2br w:val="nil"/>
                    <w:tr2bl w:val="nil"/>
                  </w:tcBorders>
                  <w:noWrap w:val="0"/>
                  <w:tcMar>
                    <w:top w:w="0" w:type="dxa"/>
                    <w:left w:w="0" w:type="dxa"/>
                    <w:bottom w:w="0" w:type="dxa"/>
                    <w:right w:w="0" w:type="dxa"/>
                  </w:tcMar>
                  <w:vAlign w:val="center"/>
                </w:tcPr>
                <w:p w14:paraId="465CEB3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0.99</w:t>
                  </w:r>
                </w:p>
              </w:tc>
              <w:tc>
                <w:tcPr>
                  <w:tcW w:w="671" w:type="pct"/>
                  <w:tcBorders>
                    <w:tl2br w:val="nil"/>
                    <w:tr2bl w:val="nil"/>
                  </w:tcBorders>
                  <w:noWrap w:val="0"/>
                  <w:tcMar>
                    <w:top w:w="0" w:type="dxa"/>
                    <w:left w:w="0" w:type="dxa"/>
                    <w:bottom w:w="0" w:type="dxa"/>
                    <w:right w:w="0" w:type="dxa"/>
                  </w:tcMar>
                  <w:vAlign w:val="center"/>
                </w:tcPr>
                <w:p w14:paraId="7B190E0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1.08</w:t>
                  </w:r>
                </w:p>
              </w:tc>
              <w:tc>
                <w:tcPr>
                  <w:tcW w:w="667" w:type="pct"/>
                  <w:tcBorders>
                    <w:tl2br w:val="nil"/>
                    <w:tr2bl w:val="nil"/>
                  </w:tcBorders>
                  <w:noWrap w:val="0"/>
                  <w:tcMar>
                    <w:top w:w="0" w:type="dxa"/>
                    <w:left w:w="0" w:type="dxa"/>
                    <w:bottom w:w="0" w:type="dxa"/>
                    <w:right w:w="0" w:type="dxa"/>
                  </w:tcMar>
                  <w:vAlign w:val="center"/>
                </w:tcPr>
                <w:p w14:paraId="5303AA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1.12</w:t>
                  </w:r>
                </w:p>
              </w:tc>
              <w:tc>
                <w:tcPr>
                  <w:tcW w:w="676" w:type="pct"/>
                  <w:tcBorders>
                    <w:tl2br w:val="nil"/>
                    <w:tr2bl w:val="nil"/>
                  </w:tcBorders>
                  <w:noWrap w:val="0"/>
                  <w:tcMar>
                    <w:top w:w="0" w:type="dxa"/>
                    <w:left w:w="0" w:type="dxa"/>
                    <w:bottom w:w="0" w:type="dxa"/>
                    <w:right w:w="0" w:type="dxa"/>
                  </w:tcMar>
                  <w:vAlign w:val="center"/>
                </w:tcPr>
                <w:p w14:paraId="3192134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1.21</w:t>
                  </w:r>
                </w:p>
              </w:tc>
            </w:tr>
            <w:tr w14:paraId="28FE1E6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86" w:type="pct"/>
                  <w:vMerge w:val="continue"/>
                  <w:tcBorders>
                    <w:tl2br w:val="nil"/>
                    <w:tr2bl w:val="nil"/>
                  </w:tcBorders>
                  <w:noWrap w:val="0"/>
                  <w:tcMar>
                    <w:top w:w="0" w:type="dxa"/>
                    <w:left w:w="0" w:type="dxa"/>
                    <w:bottom w:w="0" w:type="dxa"/>
                    <w:right w:w="0" w:type="dxa"/>
                  </w:tcMar>
                  <w:vAlign w:val="center"/>
                </w:tcPr>
                <w:p w14:paraId="671AC09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637" w:type="pct"/>
                  <w:vMerge w:val="continue"/>
                  <w:tcBorders>
                    <w:tl2br w:val="nil"/>
                    <w:tr2bl w:val="nil"/>
                  </w:tcBorders>
                  <w:noWrap w:val="0"/>
                  <w:tcMar>
                    <w:top w:w="0" w:type="dxa"/>
                    <w:left w:w="0" w:type="dxa"/>
                    <w:bottom w:w="0" w:type="dxa"/>
                    <w:right w:w="0" w:type="dxa"/>
                  </w:tcMar>
                  <w:vAlign w:val="center"/>
                </w:tcPr>
                <w:p w14:paraId="3CCA202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537" w:type="pct"/>
                  <w:vMerge w:val="continue"/>
                  <w:tcBorders>
                    <w:tl2br w:val="nil"/>
                    <w:tr2bl w:val="nil"/>
                  </w:tcBorders>
                  <w:noWrap w:val="0"/>
                  <w:tcMar>
                    <w:top w:w="0" w:type="dxa"/>
                    <w:left w:w="0" w:type="dxa"/>
                    <w:bottom w:w="0" w:type="dxa"/>
                    <w:right w:w="0" w:type="dxa"/>
                  </w:tcMar>
                  <w:vAlign w:val="center"/>
                </w:tcPr>
                <w:p w14:paraId="36B5066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val="en-US" w:eastAsia="zh-CN"/>
                    </w:rPr>
                  </w:pPr>
                </w:p>
              </w:tc>
              <w:tc>
                <w:tcPr>
                  <w:tcW w:w="446" w:type="pct"/>
                  <w:tcBorders>
                    <w:tl2br w:val="nil"/>
                    <w:tr2bl w:val="nil"/>
                  </w:tcBorders>
                  <w:noWrap w:val="0"/>
                  <w:tcMar>
                    <w:top w:w="0" w:type="dxa"/>
                    <w:left w:w="0" w:type="dxa"/>
                    <w:bottom w:w="0" w:type="dxa"/>
                    <w:right w:w="0" w:type="dxa"/>
                  </w:tcMar>
                  <w:vAlign w:val="center"/>
                </w:tcPr>
                <w:p w14:paraId="3195A7B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第三次</w:t>
                  </w:r>
                </w:p>
              </w:tc>
              <w:tc>
                <w:tcPr>
                  <w:tcW w:w="676" w:type="pct"/>
                  <w:tcBorders>
                    <w:tl2br w:val="nil"/>
                    <w:tr2bl w:val="nil"/>
                  </w:tcBorders>
                  <w:noWrap w:val="0"/>
                  <w:tcMar>
                    <w:top w:w="0" w:type="dxa"/>
                    <w:left w:w="0" w:type="dxa"/>
                    <w:bottom w:w="0" w:type="dxa"/>
                    <w:right w:w="0" w:type="dxa"/>
                  </w:tcMar>
                  <w:vAlign w:val="center"/>
                </w:tcPr>
                <w:p w14:paraId="4DD1B73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0.98</w:t>
                  </w:r>
                </w:p>
              </w:tc>
              <w:tc>
                <w:tcPr>
                  <w:tcW w:w="671" w:type="pct"/>
                  <w:tcBorders>
                    <w:tl2br w:val="nil"/>
                    <w:tr2bl w:val="nil"/>
                  </w:tcBorders>
                  <w:noWrap w:val="0"/>
                  <w:tcMar>
                    <w:top w:w="0" w:type="dxa"/>
                    <w:left w:w="0" w:type="dxa"/>
                    <w:bottom w:w="0" w:type="dxa"/>
                    <w:right w:w="0" w:type="dxa"/>
                  </w:tcMar>
                  <w:vAlign w:val="center"/>
                </w:tcPr>
                <w:p w14:paraId="5F00402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1.04</w:t>
                  </w:r>
                </w:p>
              </w:tc>
              <w:tc>
                <w:tcPr>
                  <w:tcW w:w="667" w:type="pct"/>
                  <w:tcBorders>
                    <w:tl2br w:val="nil"/>
                    <w:tr2bl w:val="nil"/>
                  </w:tcBorders>
                  <w:noWrap w:val="0"/>
                  <w:tcMar>
                    <w:top w:w="0" w:type="dxa"/>
                    <w:left w:w="0" w:type="dxa"/>
                    <w:bottom w:w="0" w:type="dxa"/>
                    <w:right w:w="0" w:type="dxa"/>
                  </w:tcMar>
                  <w:vAlign w:val="center"/>
                </w:tcPr>
                <w:p w14:paraId="500EE13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1.09</w:t>
                  </w:r>
                </w:p>
              </w:tc>
              <w:tc>
                <w:tcPr>
                  <w:tcW w:w="676" w:type="pct"/>
                  <w:tcBorders>
                    <w:tl2br w:val="nil"/>
                    <w:tr2bl w:val="nil"/>
                  </w:tcBorders>
                  <w:noWrap w:val="0"/>
                  <w:tcMar>
                    <w:top w:w="0" w:type="dxa"/>
                    <w:left w:w="0" w:type="dxa"/>
                    <w:bottom w:w="0" w:type="dxa"/>
                    <w:right w:w="0" w:type="dxa"/>
                  </w:tcMar>
                  <w:vAlign w:val="center"/>
                </w:tcPr>
                <w:p w14:paraId="64D47C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1.12</w:t>
                  </w:r>
                </w:p>
              </w:tc>
            </w:tr>
          </w:tbl>
          <w:p w14:paraId="276FC2C9">
            <w:pPr>
              <w:keepNext w:val="0"/>
              <w:keepLines w:val="0"/>
              <w:pageBreakBefore w:val="0"/>
              <w:widowControl/>
              <w:suppressLineNumbers w:val="0"/>
              <w:kinsoku/>
              <w:wordWrap/>
              <w:overflowPunct/>
              <w:topLinePunct w:val="0"/>
              <w:autoSpaceDE/>
              <w:autoSpaceDN/>
              <w:bidi w:val="0"/>
              <w:adjustRightInd w:val="0"/>
              <w:snapToGrid w:val="0"/>
              <w:spacing w:before="157" w:beforeLines="50" w:beforeAutospacing="0" w:after="0" w:afterAutospacing="0"/>
              <w:ind w:left="0" w:right="0"/>
              <w:jc w:val="center"/>
              <w:textAlignment w:val="auto"/>
              <w:rPr>
                <w:rFonts w:hint="eastAsia" w:ascii="Times New Roman" w:hAnsi="Times New Roman" w:eastAsia="宋体"/>
                <w:b/>
                <w:color w:val="auto"/>
                <w:sz w:val="21"/>
                <w:szCs w:val="21"/>
                <w:lang w:eastAsia="zh-CN"/>
              </w:rPr>
            </w:pPr>
            <w:r>
              <w:rPr>
                <w:rFonts w:hint="eastAsia" w:ascii="Times New Roman" w:hAnsi="Times New Roman" w:eastAsia="宋体"/>
                <w:b/>
                <w:color w:val="auto"/>
                <w:sz w:val="21"/>
                <w:szCs w:val="21"/>
              </w:rPr>
              <w:t>表</w:t>
            </w:r>
            <w:r>
              <w:rPr>
                <w:rFonts w:hint="eastAsia" w:ascii="Times New Roman" w:hAnsi="Times New Roman" w:eastAsia="宋体"/>
                <w:b/>
                <w:color w:val="auto"/>
                <w:sz w:val="21"/>
                <w:szCs w:val="21"/>
                <w:lang w:val="en-US" w:eastAsia="zh-CN"/>
              </w:rPr>
              <w:t>2-11 厂区内</w:t>
            </w:r>
            <w:r>
              <w:rPr>
                <w:rFonts w:hint="eastAsia" w:ascii="Times New Roman" w:hAnsi="Times New Roman" w:eastAsia="宋体"/>
                <w:b/>
                <w:color w:val="auto"/>
                <w:sz w:val="21"/>
                <w:szCs w:val="21"/>
                <w:highlight w:val="none"/>
              </w:rPr>
              <w:t>无</w:t>
            </w:r>
            <w:r>
              <w:rPr>
                <w:rFonts w:ascii="Times New Roman" w:hAnsi="Times New Roman" w:eastAsia="宋体"/>
                <w:b/>
                <w:color w:val="auto"/>
                <w:sz w:val="21"/>
                <w:szCs w:val="21"/>
                <w:highlight w:val="none"/>
              </w:rPr>
              <w:t>组织废气监测结果</w:t>
            </w:r>
          </w:p>
          <w:tbl>
            <w:tblPr>
              <w:tblStyle w:val="28"/>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27"/>
              <w:gridCol w:w="2140"/>
              <w:gridCol w:w="1312"/>
              <w:gridCol w:w="819"/>
              <w:gridCol w:w="892"/>
              <w:gridCol w:w="892"/>
              <w:gridCol w:w="907"/>
            </w:tblGrid>
            <w:tr w14:paraId="643578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0" w:type="pct"/>
                  <w:vMerge w:val="restart"/>
                  <w:tcBorders>
                    <w:tl2br w:val="nil"/>
                    <w:tr2bl w:val="nil"/>
                  </w:tcBorders>
                  <w:noWrap w:val="0"/>
                  <w:tcMar>
                    <w:top w:w="0" w:type="dxa"/>
                    <w:left w:w="0" w:type="dxa"/>
                    <w:bottom w:w="0" w:type="dxa"/>
                    <w:right w:w="0" w:type="dxa"/>
                  </w:tcMar>
                  <w:vAlign w:val="center"/>
                </w:tcPr>
                <w:p w14:paraId="6A5CE22E">
                  <w:pPr>
                    <w:keepNext w:val="0"/>
                    <w:keepLines w:val="0"/>
                    <w:widowControl/>
                    <w:suppressLineNumbers w:val="0"/>
                    <w:spacing w:before="0" w:beforeAutospacing="0" w:afterAutospacing="0"/>
                    <w:ind w:left="0" w:right="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采样</w:t>
                  </w:r>
                  <w:r>
                    <w:rPr>
                      <w:rFonts w:hint="default" w:ascii="Times New Roman" w:hAnsi="Times New Roman" w:eastAsia="宋体" w:cs="Times New Roman"/>
                      <w:b/>
                      <w:bCs/>
                      <w:color w:val="auto"/>
                      <w:sz w:val="21"/>
                      <w:szCs w:val="21"/>
                      <w:lang w:eastAsia="zh-CN"/>
                    </w:rPr>
                    <w:t>日期</w:t>
                  </w:r>
                </w:p>
              </w:tc>
              <w:tc>
                <w:tcPr>
                  <w:tcW w:w="1290" w:type="pct"/>
                  <w:vMerge w:val="restart"/>
                  <w:tcBorders>
                    <w:tl2br w:val="nil"/>
                    <w:tr2bl w:val="nil"/>
                  </w:tcBorders>
                  <w:noWrap w:val="0"/>
                  <w:tcMar>
                    <w:top w:w="0" w:type="dxa"/>
                    <w:left w:w="0" w:type="dxa"/>
                    <w:bottom w:w="0" w:type="dxa"/>
                    <w:right w:w="0" w:type="dxa"/>
                  </w:tcMar>
                  <w:vAlign w:val="center"/>
                </w:tcPr>
                <w:p w14:paraId="02ECC901">
                  <w:pPr>
                    <w:keepNext w:val="0"/>
                    <w:keepLines w:val="0"/>
                    <w:widowControl/>
                    <w:suppressLineNumbers w:val="0"/>
                    <w:spacing w:before="0" w:beforeAutospacing="0" w:afterAutospacing="0"/>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采样点位</w:t>
                  </w:r>
                </w:p>
              </w:tc>
              <w:tc>
                <w:tcPr>
                  <w:tcW w:w="791" w:type="pct"/>
                  <w:vMerge w:val="restart"/>
                  <w:tcBorders>
                    <w:tl2br w:val="nil"/>
                    <w:tr2bl w:val="nil"/>
                  </w:tcBorders>
                  <w:noWrap w:val="0"/>
                  <w:tcMar>
                    <w:top w:w="0" w:type="dxa"/>
                    <w:left w:w="0" w:type="dxa"/>
                    <w:bottom w:w="0" w:type="dxa"/>
                    <w:right w:w="0" w:type="dxa"/>
                  </w:tcMar>
                  <w:vAlign w:val="center"/>
                </w:tcPr>
                <w:p w14:paraId="3AEBE6D5">
                  <w:pPr>
                    <w:keepNext w:val="0"/>
                    <w:keepLines w:val="0"/>
                    <w:widowControl/>
                    <w:suppressLineNumbers w:val="0"/>
                    <w:spacing w:before="0" w:beforeAutospacing="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检测项目</w:t>
                  </w:r>
                </w:p>
              </w:tc>
              <w:tc>
                <w:tcPr>
                  <w:tcW w:w="494" w:type="pct"/>
                  <w:vMerge w:val="restart"/>
                  <w:tcBorders>
                    <w:tl2br w:val="nil"/>
                    <w:tr2bl w:val="nil"/>
                  </w:tcBorders>
                  <w:noWrap w:val="0"/>
                  <w:tcMar>
                    <w:top w:w="0" w:type="dxa"/>
                    <w:left w:w="0" w:type="dxa"/>
                    <w:bottom w:w="0" w:type="dxa"/>
                    <w:right w:w="0" w:type="dxa"/>
                  </w:tcMar>
                  <w:vAlign w:val="center"/>
                </w:tcPr>
                <w:p w14:paraId="06065CC4">
                  <w:pPr>
                    <w:keepNext w:val="0"/>
                    <w:keepLines w:val="0"/>
                    <w:widowControl/>
                    <w:suppressLineNumbers w:val="0"/>
                    <w:spacing w:before="0" w:beforeAutospacing="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eastAsia="zh-CN"/>
                    </w:rPr>
                    <w:t>单位</w:t>
                  </w:r>
                </w:p>
              </w:tc>
              <w:tc>
                <w:tcPr>
                  <w:tcW w:w="1622" w:type="pct"/>
                  <w:gridSpan w:val="3"/>
                  <w:tcBorders>
                    <w:tl2br w:val="nil"/>
                    <w:tr2bl w:val="nil"/>
                  </w:tcBorders>
                  <w:noWrap w:val="0"/>
                  <w:tcMar>
                    <w:top w:w="0" w:type="dxa"/>
                    <w:left w:w="0" w:type="dxa"/>
                    <w:bottom w:w="0" w:type="dxa"/>
                    <w:right w:w="0" w:type="dxa"/>
                  </w:tcMar>
                  <w:vAlign w:val="center"/>
                </w:tcPr>
                <w:p w14:paraId="620743A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vertAlign w:val="baseline"/>
                      <w:lang w:eastAsia="zh-CN"/>
                    </w:rPr>
                    <w:t>检测结果</w:t>
                  </w:r>
                </w:p>
              </w:tc>
            </w:tr>
            <w:tr w14:paraId="454CE7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0" w:type="pct"/>
                  <w:vMerge w:val="continue"/>
                  <w:tcBorders>
                    <w:tl2br w:val="nil"/>
                    <w:tr2bl w:val="nil"/>
                  </w:tcBorders>
                  <w:noWrap w:val="0"/>
                  <w:tcMar>
                    <w:top w:w="0" w:type="dxa"/>
                    <w:left w:w="0" w:type="dxa"/>
                    <w:bottom w:w="0" w:type="dxa"/>
                    <w:right w:w="0" w:type="dxa"/>
                  </w:tcMar>
                  <w:vAlign w:val="center"/>
                </w:tcPr>
                <w:p w14:paraId="3018B0F8">
                  <w:pPr>
                    <w:keepNext w:val="0"/>
                    <w:keepLines w:val="0"/>
                    <w:widowControl/>
                    <w:suppressLineNumbers w:val="0"/>
                    <w:spacing w:before="0" w:beforeAutospacing="0" w:afterAutospacing="0"/>
                    <w:ind w:left="0" w:right="0"/>
                    <w:jc w:val="center"/>
                    <w:rPr>
                      <w:rFonts w:hint="default" w:ascii="Times New Roman" w:hAnsi="Times New Roman" w:eastAsia="宋体" w:cs="Times New Roman"/>
                      <w:b/>
                      <w:bCs/>
                      <w:color w:val="auto"/>
                      <w:sz w:val="21"/>
                      <w:szCs w:val="21"/>
                    </w:rPr>
                  </w:pPr>
                </w:p>
              </w:tc>
              <w:tc>
                <w:tcPr>
                  <w:tcW w:w="1290" w:type="pct"/>
                  <w:vMerge w:val="continue"/>
                  <w:tcBorders>
                    <w:tl2br w:val="nil"/>
                    <w:tr2bl w:val="nil"/>
                  </w:tcBorders>
                  <w:noWrap w:val="0"/>
                  <w:tcMar>
                    <w:top w:w="0" w:type="dxa"/>
                    <w:left w:w="0" w:type="dxa"/>
                    <w:bottom w:w="0" w:type="dxa"/>
                    <w:right w:w="0" w:type="dxa"/>
                  </w:tcMar>
                  <w:vAlign w:val="center"/>
                </w:tcPr>
                <w:p w14:paraId="79EE312A">
                  <w:pPr>
                    <w:keepNext w:val="0"/>
                    <w:keepLines w:val="0"/>
                    <w:widowControl/>
                    <w:suppressLineNumbers w:val="0"/>
                    <w:spacing w:before="0" w:beforeAutospacing="0" w:afterAutospacing="0"/>
                    <w:ind w:left="0" w:right="0"/>
                    <w:jc w:val="center"/>
                    <w:rPr>
                      <w:rFonts w:hint="default" w:ascii="Times New Roman" w:hAnsi="Times New Roman" w:eastAsia="宋体" w:cs="Times New Roman"/>
                      <w:b/>
                      <w:bCs/>
                      <w:color w:val="auto"/>
                      <w:sz w:val="21"/>
                      <w:szCs w:val="21"/>
                    </w:rPr>
                  </w:pPr>
                </w:p>
              </w:tc>
              <w:tc>
                <w:tcPr>
                  <w:tcW w:w="791" w:type="pct"/>
                  <w:vMerge w:val="continue"/>
                  <w:tcBorders>
                    <w:tl2br w:val="nil"/>
                    <w:tr2bl w:val="nil"/>
                  </w:tcBorders>
                  <w:noWrap w:val="0"/>
                  <w:tcMar>
                    <w:top w:w="0" w:type="dxa"/>
                    <w:left w:w="0" w:type="dxa"/>
                    <w:bottom w:w="0" w:type="dxa"/>
                    <w:right w:w="0" w:type="dxa"/>
                  </w:tcMar>
                  <w:vAlign w:val="center"/>
                </w:tcPr>
                <w:p w14:paraId="2981F097">
                  <w:pPr>
                    <w:keepNext w:val="0"/>
                    <w:keepLines w:val="0"/>
                    <w:widowControl/>
                    <w:suppressLineNumbers w:val="0"/>
                    <w:spacing w:before="0" w:beforeAutospacing="0" w:afterAutospacing="0"/>
                    <w:ind w:left="0" w:right="0"/>
                    <w:jc w:val="center"/>
                    <w:rPr>
                      <w:rFonts w:hint="default" w:ascii="Times New Roman" w:hAnsi="Times New Roman" w:eastAsia="宋体" w:cs="Times New Roman"/>
                      <w:b/>
                      <w:bCs/>
                      <w:color w:val="auto"/>
                      <w:sz w:val="21"/>
                      <w:szCs w:val="21"/>
                    </w:rPr>
                  </w:pPr>
                </w:p>
              </w:tc>
              <w:tc>
                <w:tcPr>
                  <w:tcW w:w="494" w:type="pct"/>
                  <w:vMerge w:val="continue"/>
                  <w:tcBorders>
                    <w:tl2br w:val="nil"/>
                    <w:tr2bl w:val="nil"/>
                  </w:tcBorders>
                  <w:noWrap w:val="0"/>
                  <w:tcMar>
                    <w:top w:w="0" w:type="dxa"/>
                    <w:left w:w="0" w:type="dxa"/>
                    <w:bottom w:w="0" w:type="dxa"/>
                    <w:right w:w="0" w:type="dxa"/>
                  </w:tcMar>
                  <w:vAlign w:val="center"/>
                </w:tcPr>
                <w:p w14:paraId="4CE65D76">
                  <w:pPr>
                    <w:keepNext w:val="0"/>
                    <w:keepLines w:val="0"/>
                    <w:widowControl/>
                    <w:suppressLineNumbers w:val="0"/>
                    <w:spacing w:before="0" w:beforeAutospacing="0" w:afterAutospacing="0"/>
                    <w:ind w:left="0" w:right="0"/>
                    <w:jc w:val="center"/>
                    <w:rPr>
                      <w:rFonts w:hint="default" w:ascii="Times New Roman" w:hAnsi="Times New Roman" w:eastAsia="宋体" w:cs="Times New Roman"/>
                      <w:b/>
                      <w:bCs/>
                      <w:color w:val="auto"/>
                      <w:sz w:val="21"/>
                      <w:szCs w:val="21"/>
                    </w:rPr>
                  </w:pPr>
                </w:p>
              </w:tc>
              <w:tc>
                <w:tcPr>
                  <w:tcW w:w="538" w:type="pct"/>
                  <w:tcBorders>
                    <w:tl2br w:val="nil"/>
                    <w:tr2bl w:val="nil"/>
                  </w:tcBorders>
                  <w:noWrap w:val="0"/>
                  <w:tcMar>
                    <w:top w:w="0" w:type="dxa"/>
                    <w:left w:w="0" w:type="dxa"/>
                    <w:bottom w:w="0" w:type="dxa"/>
                    <w:right w:w="0" w:type="dxa"/>
                  </w:tcMar>
                  <w:vAlign w:val="center"/>
                </w:tcPr>
                <w:p w14:paraId="5350FCF8">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第一次</w:t>
                  </w:r>
                </w:p>
              </w:tc>
              <w:tc>
                <w:tcPr>
                  <w:tcW w:w="538" w:type="pct"/>
                  <w:tcBorders>
                    <w:tl2br w:val="nil"/>
                    <w:tr2bl w:val="nil"/>
                  </w:tcBorders>
                  <w:noWrap w:val="0"/>
                  <w:tcMar>
                    <w:top w:w="0" w:type="dxa"/>
                    <w:left w:w="0" w:type="dxa"/>
                    <w:bottom w:w="0" w:type="dxa"/>
                    <w:right w:w="0" w:type="dxa"/>
                  </w:tcMar>
                  <w:vAlign w:val="center"/>
                </w:tcPr>
                <w:p w14:paraId="5F3B9169">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第二次</w:t>
                  </w:r>
                </w:p>
              </w:tc>
              <w:tc>
                <w:tcPr>
                  <w:tcW w:w="545" w:type="pct"/>
                  <w:tcBorders>
                    <w:tl2br w:val="nil"/>
                    <w:tr2bl w:val="nil"/>
                  </w:tcBorders>
                  <w:noWrap w:val="0"/>
                  <w:tcMar>
                    <w:top w:w="0" w:type="dxa"/>
                    <w:left w:w="0" w:type="dxa"/>
                    <w:bottom w:w="0" w:type="dxa"/>
                    <w:right w:w="0" w:type="dxa"/>
                  </w:tcMar>
                  <w:vAlign w:val="center"/>
                </w:tcPr>
                <w:p w14:paraId="0AA4181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第三次</w:t>
                  </w:r>
                </w:p>
              </w:tc>
            </w:tr>
            <w:tr w14:paraId="19FA30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0" w:type="pct"/>
                  <w:tcBorders>
                    <w:tl2br w:val="nil"/>
                    <w:tr2bl w:val="nil"/>
                  </w:tcBorders>
                  <w:noWrap w:val="0"/>
                  <w:tcMar>
                    <w:top w:w="0" w:type="dxa"/>
                    <w:left w:w="0" w:type="dxa"/>
                    <w:bottom w:w="0" w:type="dxa"/>
                    <w:right w:w="0" w:type="dxa"/>
                  </w:tcMar>
                  <w:vAlign w:val="center"/>
                </w:tcPr>
                <w:p w14:paraId="621C251C">
                  <w:pPr>
                    <w:keepNext w:val="0"/>
                    <w:keepLines w:val="0"/>
                    <w:widowControl/>
                    <w:suppressLineNumbers w:val="0"/>
                    <w:tabs>
                      <w:tab w:val="left" w:pos="12559"/>
                    </w:tabs>
                    <w:spacing w:before="0" w:beforeAutospacing="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val="0"/>
                      <w:bCs w:val="0"/>
                      <w:color w:val="auto"/>
                      <w:kern w:val="2"/>
                      <w:sz w:val="21"/>
                      <w:szCs w:val="21"/>
                      <w:vertAlign w:val="baseline"/>
                      <w:lang w:val="en-US" w:eastAsia="zh-CN" w:bidi="ar-SA"/>
                    </w:rPr>
                    <w:t>2022.01.07</w:t>
                  </w:r>
                </w:p>
              </w:tc>
              <w:tc>
                <w:tcPr>
                  <w:tcW w:w="1290" w:type="pct"/>
                  <w:vMerge w:val="restart"/>
                  <w:tcBorders>
                    <w:tl2br w:val="nil"/>
                    <w:tr2bl w:val="nil"/>
                  </w:tcBorders>
                  <w:noWrap w:val="0"/>
                  <w:tcMar>
                    <w:top w:w="0" w:type="dxa"/>
                    <w:left w:w="0" w:type="dxa"/>
                    <w:bottom w:w="0" w:type="dxa"/>
                    <w:right w:w="0" w:type="dxa"/>
                  </w:tcMar>
                  <w:vAlign w:val="center"/>
                </w:tcPr>
                <w:p w14:paraId="7AC7D3BB">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厂界内车间外门窗浓度最高处</w:t>
                  </w:r>
                  <w:r>
                    <w:rPr>
                      <w:rFonts w:hint="default" w:ascii="Times New Roman" w:hAnsi="Times New Roman" w:eastAsia="宋体" w:cs="Times New Roman"/>
                      <w:color w:val="auto"/>
                      <w:kern w:val="2"/>
                      <w:sz w:val="21"/>
                      <w:szCs w:val="21"/>
                      <w:lang w:val="en-US" w:eastAsia="zh-CN" w:bidi="ar-SA"/>
                    </w:rPr>
                    <w:t>5</w:t>
                  </w:r>
                  <w:r>
                    <w:rPr>
                      <w:rFonts w:hint="default" w:ascii="Times New Roman" w:hAnsi="Times New Roman" w:eastAsia="宋体" w:cs="Times New Roman"/>
                      <w:color w:val="auto"/>
                      <w:sz w:val="21"/>
                      <w:szCs w:val="21"/>
                      <w:lang w:val="en-US" w:eastAsia="zh-CN"/>
                    </w:rPr>
                    <w:t>#监测点</w:t>
                  </w:r>
                </w:p>
              </w:tc>
              <w:tc>
                <w:tcPr>
                  <w:tcW w:w="791" w:type="pct"/>
                  <w:tcBorders>
                    <w:tl2br w:val="nil"/>
                    <w:tr2bl w:val="nil"/>
                  </w:tcBorders>
                  <w:noWrap w:val="0"/>
                  <w:tcMar>
                    <w:top w:w="0" w:type="dxa"/>
                    <w:left w:w="0" w:type="dxa"/>
                    <w:bottom w:w="0" w:type="dxa"/>
                    <w:right w:w="0" w:type="dxa"/>
                  </w:tcMar>
                  <w:vAlign w:val="center"/>
                </w:tcPr>
                <w:p w14:paraId="2958663D">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非甲烷总烃</w:t>
                  </w:r>
                </w:p>
              </w:tc>
              <w:tc>
                <w:tcPr>
                  <w:tcW w:w="494" w:type="pct"/>
                  <w:tcBorders>
                    <w:tl2br w:val="nil"/>
                    <w:tr2bl w:val="nil"/>
                  </w:tcBorders>
                  <w:noWrap w:val="0"/>
                  <w:tcMar>
                    <w:top w:w="0" w:type="dxa"/>
                    <w:left w:w="0" w:type="dxa"/>
                    <w:bottom w:w="0" w:type="dxa"/>
                    <w:right w:w="0" w:type="dxa"/>
                  </w:tcMar>
                  <w:vAlign w:val="center"/>
                </w:tcPr>
                <w:p w14:paraId="3F00644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mg/m</w:t>
                  </w:r>
                  <w:r>
                    <w:rPr>
                      <w:rFonts w:hint="default" w:ascii="Times New Roman" w:hAnsi="Times New Roman" w:eastAsia="宋体" w:cs="Times New Roman"/>
                      <w:color w:val="auto"/>
                      <w:kern w:val="2"/>
                      <w:sz w:val="21"/>
                      <w:szCs w:val="21"/>
                      <w:vertAlign w:val="superscript"/>
                      <w:lang w:val="en-US" w:eastAsia="zh-CN" w:bidi="ar-SA"/>
                    </w:rPr>
                    <w:t>3</w:t>
                  </w:r>
                </w:p>
              </w:tc>
              <w:tc>
                <w:tcPr>
                  <w:tcW w:w="952" w:type="dxa"/>
                  <w:tcBorders>
                    <w:tl2br w:val="nil"/>
                    <w:tr2bl w:val="nil"/>
                  </w:tcBorders>
                  <w:noWrap w:val="0"/>
                  <w:tcMar>
                    <w:top w:w="0" w:type="dxa"/>
                    <w:left w:w="0" w:type="dxa"/>
                    <w:bottom w:w="0" w:type="dxa"/>
                    <w:right w:w="0" w:type="dxa"/>
                  </w:tcMar>
                  <w:vAlign w:val="center"/>
                </w:tcPr>
                <w:p w14:paraId="37ECFA3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1.05</w:t>
                  </w:r>
                </w:p>
              </w:tc>
              <w:tc>
                <w:tcPr>
                  <w:tcW w:w="952" w:type="dxa"/>
                  <w:tcBorders>
                    <w:tl2br w:val="nil"/>
                    <w:tr2bl w:val="nil"/>
                  </w:tcBorders>
                  <w:noWrap w:val="0"/>
                  <w:tcMar>
                    <w:top w:w="0" w:type="dxa"/>
                    <w:left w:w="0" w:type="dxa"/>
                    <w:bottom w:w="0" w:type="dxa"/>
                    <w:right w:w="0" w:type="dxa"/>
                  </w:tcMar>
                  <w:vAlign w:val="center"/>
                </w:tcPr>
                <w:p w14:paraId="755A650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1.08</w:t>
                  </w:r>
                </w:p>
              </w:tc>
              <w:tc>
                <w:tcPr>
                  <w:tcW w:w="966" w:type="dxa"/>
                  <w:tcBorders>
                    <w:tl2br w:val="nil"/>
                    <w:tr2bl w:val="nil"/>
                  </w:tcBorders>
                  <w:noWrap w:val="0"/>
                  <w:tcMar>
                    <w:top w:w="0" w:type="dxa"/>
                    <w:left w:w="0" w:type="dxa"/>
                    <w:bottom w:w="0" w:type="dxa"/>
                    <w:right w:w="0" w:type="dxa"/>
                  </w:tcMar>
                  <w:vAlign w:val="center"/>
                </w:tcPr>
                <w:p w14:paraId="56E76B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1.05</w:t>
                  </w:r>
                </w:p>
              </w:tc>
            </w:tr>
            <w:tr w14:paraId="505F30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0" w:type="pct"/>
                  <w:tcBorders>
                    <w:tl2br w:val="nil"/>
                    <w:tr2bl w:val="nil"/>
                  </w:tcBorders>
                  <w:noWrap w:val="0"/>
                  <w:tcMar>
                    <w:top w:w="0" w:type="dxa"/>
                    <w:left w:w="0" w:type="dxa"/>
                    <w:bottom w:w="0" w:type="dxa"/>
                    <w:right w:w="0" w:type="dxa"/>
                  </w:tcMar>
                  <w:vAlign w:val="center"/>
                </w:tcPr>
                <w:p w14:paraId="2216CF7A">
                  <w:pPr>
                    <w:keepNext w:val="0"/>
                    <w:keepLines w:val="0"/>
                    <w:widowControl/>
                    <w:suppressLineNumbers w:val="0"/>
                    <w:tabs>
                      <w:tab w:val="left" w:pos="12559"/>
                    </w:tabs>
                    <w:spacing w:before="0" w:beforeAutospacing="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val="0"/>
                      <w:bCs w:val="0"/>
                      <w:color w:val="auto"/>
                      <w:kern w:val="2"/>
                      <w:sz w:val="21"/>
                      <w:szCs w:val="21"/>
                      <w:vertAlign w:val="baseline"/>
                      <w:lang w:val="en-US" w:eastAsia="zh-CN" w:bidi="ar-SA"/>
                    </w:rPr>
                    <w:t>2022.01.08</w:t>
                  </w:r>
                </w:p>
              </w:tc>
              <w:tc>
                <w:tcPr>
                  <w:tcW w:w="1290" w:type="pct"/>
                  <w:vMerge w:val="continue"/>
                  <w:tcBorders>
                    <w:tl2br w:val="nil"/>
                    <w:tr2bl w:val="nil"/>
                  </w:tcBorders>
                  <w:noWrap w:val="0"/>
                  <w:tcMar>
                    <w:top w:w="0" w:type="dxa"/>
                    <w:left w:w="0" w:type="dxa"/>
                    <w:bottom w:w="0" w:type="dxa"/>
                    <w:right w:w="0" w:type="dxa"/>
                  </w:tcMar>
                  <w:vAlign w:val="center"/>
                </w:tcPr>
                <w:p w14:paraId="34E48509">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p>
              </w:tc>
              <w:tc>
                <w:tcPr>
                  <w:tcW w:w="791" w:type="pct"/>
                  <w:tcBorders>
                    <w:tl2br w:val="nil"/>
                    <w:tr2bl w:val="nil"/>
                  </w:tcBorders>
                  <w:noWrap w:val="0"/>
                  <w:tcMar>
                    <w:top w:w="0" w:type="dxa"/>
                    <w:left w:w="0" w:type="dxa"/>
                    <w:bottom w:w="0" w:type="dxa"/>
                    <w:right w:w="0" w:type="dxa"/>
                  </w:tcMar>
                  <w:vAlign w:val="center"/>
                </w:tcPr>
                <w:p w14:paraId="734A44FB">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非甲烷总烃</w:t>
                  </w:r>
                </w:p>
              </w:tc>
              <w:tc>
                <w:tcPr>
                  <w:tcW w:w="494" w:type="pct"/>
                  <w:tcBorders>
                    <w:tl2br w:val="nil"/>
                    <w:tr2bl w:val="nil"/>
                  </w:tcBorders>
                  <w:noWrap w:val="0"/>
                  <w:tcMar>
                    <w:top w:w="0" w:type="dxa"/>
                    <w:left w:w="0" w:type="dxa"/>
                    <w:bottom w:w="0" w:type="dxa"/>
                    <w:right w:w="0" w:type="dxa"/>
                  </w:tcMar>
                  <w:vAlign w:val="center"/>
                </w:tcPr>
                <w:p w14:paraId="3F04A44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mg/m</w:t>
                  </w:r>
                  <w:r>
                    <w:rPr>
                      <w:rFonts w:hint="default" w:ascii="Times New Roman" w:hAnsi="Times New Roman" w:eastAsia="宋体" w:cs="Times New Roman"/>
                      <w:color w:val="auto"/>
                      <w:kern w:val="2"/>
                      <w:sz w:val="21"/>
                      <w:szCs w:val="21"/>
                      <w:vertAlign w:val="superscript"/>
                      <w:lang w:val="en-US" w:eastAsia="zh-CN" w:bidi="ar-SA"/>
                    </w:rPr>
                    <w:t>3</w:t>
                  </w:r>
                </w:p>
              </w:tc>
              <w:tc>
                <w:tcPr>
                  <w:tcW w:w="952" w:type="dxa"/>
                  <w:tcBorders>
                    <w:tl2br w:val="nil"/>
                    <w:tr2bl w:val="nil"/>
                  </w:tcBorders>
                  <w:noWrap w:val="0"/>
                  <w:tcMar>
                    <w:top w:w="0" w:type="dxa"/>
                    <w:left w:w="0" w:type="dxa"/>
                    <w:bottom w:w="0" w:type="dxa"/>
                    <w:right w:w="0" w:type="dxa"/>
                  </w:tcMar>
                  <w:vAlign w:val="center"/>
                </w:tcPr>
                <w:p w14:paraId="14CC408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1.36</w:t>
                  </w:r>
                </w:p>
              </w:tc>
              <w:tc>
                <w:tcPr>
                  <w:tcW w:w="952" w:type="dxa"/>
                  <w:tcBorders>
                    <w:tl2br w:val="nil"/>
                    <w:tr2bl w:val="nil"/>
                  </w:tcBorders>
                  <w:noWrap w:val="0"/>
                  <w:tcMar>
                    <w:top w:w="0" w:type="dxa"/>
                    <w:left w:w="0" w:type="dxa"/>
                    <w:bottom w:w="0" w:type="dxa"/>
                    <w:right w:w="0" w:type="dxa"/>
                  </w:tcMar>
                  <w:vAlign w:val="center"/>
                </w:tcPr>
                <w:p w14:paraId="07567A4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1.22</w:t>
                  </w:r>
                </w:p>
              </w:tc>
              <w:tc>
                <w:tcPr>
                  <w:tcW w:w="966" w:type="dxa"/>
                  <w:tcBorders>
                    <w:tl2br w:val="nil"/>
                    <w:tr2bl w:val="nil"/>
                  </w:tcBorders>
                  <w:noWrap w:val="0"/>
                  <w:tcMar>
                    <w:top w:w="0" w:type="dxa"/>
                    <w:left w:w="0" w:type="dxa"/>
                    <w:bottom w:w="0" w:type="dxa"/>
                    <w:right w:w="0" w:type="dxa"/>
                  </w:tcMar>
                  <w:vAlign w:val="center"/>
                </w:tcPr>
                <w:p w14:paraId="682D182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1.27</w:t>
                  </w:r>
                </w:p>
              </w:tc>
            </w:tr>
          </w:tbl>
          <w:p w14:paraId="774E616B">
            <w:pPr>
              <w:pStyle w:val="2"/>
              <w:keepNext w:val="0"/>
              <w:keepLines w:val="0"/>
              <w:pageBreakBefore w:val="0"/>
              <w:widowControl w:val="0"/>
              <w:kinsoku/>
              <w:wordWrap/>
              <w:overflowPunct/>
              <w:topLinePunct w:val="0"/>
              <w:autoSpaceDE/>
              <w:autoSpaceDN/>
              <w:bidi w:val="0"/>
              <w:adjustRightInd/>
              <w:snapToGrid/>
              <w:spacing w:before="157" w:beforeLines="50" w:after="0" w:line="360" w:lineRule="auto"/>
              <w:ind w:firstLine="420" w:firstLineChars="200"/>
              <w:textAlignment w:val="auto"/>
              <w:rPr>
                <w:rFonts w:hint="default" w:ascii="Times New Roman" w:hAnsi="Times New Roman" w:eastAsia="宋体"/>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监测结果表明，</w:t>
            </w:r>
            <w:r>
              <w:rPr>
                <w:rFonts w:hint="eastAsia" w:ascii="Times New Roman" w:hAnsi="Times New Roman" w:eastAsia="宋体" w:cs="Times New Roman"/>
                <w:b w:val="0"/>
                <w:bCs w:val="0"/>
                <w:color w:val="auto"/>
                <w:sz w:val="21"/>
                <w:szCs w:val="21"/>
                <w:highlight w:val="none"/>
                <w:lang w:val="en-US" w:eastAsia="zh-CN"/>
              </w:rPr>
              <w:t>原项目</w:t>
            </w:r>
            <w:r>
              <w:rPr>
                <w:rFonts w:hint="default" w:ascii="Times New Roman" w:hAnsi="Times New Roman" w:eastAsia="宋体" w:cs="Times New Roman"/>
                <w:b w:val="0"/>
                <w:bCs w:val="0"/>
                <w:color w:val="auto"/>
                <w:sz w:val="21"/>
                <w:szCs w:val="21"/>
                <w:highlight w:val="none"/>
                <w:lang w:val="en-US" w:eastAsia="zh-CN"/>
              </w:rPr>
              <w:t>废气非甲烷总烃</w:t>
            </w:r>
            <w:r>
              <w:rPr>
                <w:rFonts w:hint="eastAsia" w:ascii="Times New Roman" w:hAnsi="Times New Roman" w:eastAsia="宋体" w:cs="Times New Roman"/>
                <w:b w:val="0"/>
                <w:bCs w:val="0"/>
                <w:color w:val="auto"/>
                <w:sz w:val="21"/>
                <w:szCs w:val="21"/>
                <w:highlight w:val="none"/>
                <w:lang w:val="en-US" w:eastAsia="zh-CN"/>
              </w:rPr>
              <w:t>、</w:t>
            </w:r>
            <w:r>
              <w:rPr>
                <w:rFonts w:hint="default" w:ascii="Times New Roman" w:hAnsi="Times New Roman" w:eastAsia="宋体" w:cs="Times New Roman"/>
                <w:b w:val="0"/>
                <w:bCs w:val="0"/>
                <w:color w:val="auto"/>
                <w:sz w:val="21"/>
                <w:szCs w:val="21"/>
                <w:highlight w:val="none"/>
                <w:lang w:val="en-US" w:eastAsia="zh-CN"/>
              </w:rPr>
              <w:t>颗粒物有组织排放</w:t>
            </w:r>
            <w:r>
              <w:rPr>
                <w:rFonts w:hint="eastAsia" w:ascii="Times New Roman" w:hAnsi="Times New Roman" w:eastAsia="宋体" w:cs="Times New Roman"/>
                <w:b w:val="0"/>
                <w:bCs w:val="0"/>
                <w:color w:val="auto"/>
                <w:sz w:val="21"/>
                <w:szCs w:val="21"/>
                <w:highlight w:val="none"/>
                <w:lang w:val="en-US" w:eastAsia="zh-CN"/>
              </w:rPr>
              <w:t>浓度</w:t>
            </w:r>
            <w:r>
              <w:rPr>
                <w:rFonts w:hint="default" w:ascii="Times New Roman" w:hAnsi="Times New Roman" w:eastAsia="宋体" w:cs="Times New Roman"/>
                <w:b w:val="0"/>
                <w:bCs w:val="0"/>
                <w:color w:val="auto"/>
                <w:sz w:val="21"/>
                <w:szCs w:val="21"/>
                <w:highlight w:val="none"/>
                <w:lang w:val="en-US" w:eastAsia="zh-CN"/>
              </w:rPr>
              <w:t>均满足《合成树脂工业污染物排放标准》（GB31572</w:t>
            </w:r>
            <w:r>
              <w:rPr>
                <w:rFonts w:hint="eastAsia" w:ascii="Times New Roman" w:hAnsi="Times New Roman" w:eastAsia="宋体" w:cs="Times New Roman"/>
                <w:b w:val="0"/>
                <w:bCs w:val="0"/>
                <w:color w:val="auto"/>
                <w:sz w:val="21"/>
                <w:szCs w:val="21"/>
                <w:highlight w:val="none"/>
                <w:lang w:val="en-US" w:eastAsia="zh-CN"/>
              </w:rPr>
              <w:t>-</w:t>
            </w:r>
            <w:r>
              <w:rPr>
                <w:rFonts w:hint="default" w:ascii="Times New Roman" w:hAnsi="Times New Roman" w:eastAsia="宋体" w:cs="Times New Roman"/>
                <w:b w:val="0"/>
                <w:bCs w:val="0"/>
                <w:color w:val="auto"/>
                <w:sz w:val="21"/>
                <w:szCs w:val="21"/>
                <w:highlight w:val="none"/>
                <w:lang w:val="en-US" w:eastAsia="zh-CN"/>
              </w:rPr>
              <w:t>2015）中表5中标准限值</w:t>
            </w:r>
            <w:r>
              <w:rPr>
                <w:rFonts w:hint="eastAsia" w:ascii="Times New Roman" w:hAnsi="Times New Roman" w:eastAsia="宋体" w:cs="Times New Roman"/>
                <w:b w:val="0"/>
                <w:bCs w:val="0"/>
                <w:color w:val="auto"/>
                <w:sz w:val="21"/>
                <w:szCs w:val="21"/>
                <w:highlight w:val="none"/>
                <w:lang w:val="en-US" w:eastAsia="zh-CN"/>
              </w:rPr>
              <w:t>；厂界无组织排放浓度分别</w:t>
            </w:r>
            <w:r>
              <w:rPr>
                <w:rFonts w:hint="default" w:ascii="Times New Roman" w:hAnsi="Times New Roman" w:eastAsia="宋体" w:cs="Times New Roman"/>
                <w:b w:val="0"/>
                <w:bCs w:val="0"/>
                <w:color w:val="auto"/>
                <w:sz w:val="21"/>
                <w:szCs w:val="21"/>
                <w:highlight w:val="none"/>
                <w:lang w:val="en-US" w:eastAsia="zh-CN"/>
              </w:rPr>
              <w:t>满足</w:t>
            </w:r>
            <w:r>
              <w:rPr>
                <w:rFonts w:hint="eastAsia" w:ascii="Times New Roman" w:hAnsi="Times New Roman" w:eastAsia="宋体" w:cs="Times New Roman"/>
                <w:b w:val="0"/>
                <w:bCs w:val="0"/>
                <w:color w:val="auto"/>
                <w:sz w:val="21"/>
                <w:szCs w:val="21"/>
                <w:highlight w:val="none"/>
                <w:lang w:val="en-US" w:eastAsia="zh-CN"/>
              </w:rPr>
              <w:t>《大气污染物综合排放标准》（DB32/4041-2021）表3中</w:t>
            </w:r>
            <w:r>
              <w:rPr>
                <w:rFonts w:hint="default" w:ascii="Times New Roman" w:hAnsi="Times New Roman" w:eastAsia="宋体" w:cs="Times New Roman"/>
                <w:b w:val="0"/>
                <w:bCs w:val="0"/>
                <w:color w:val="auto"/>
                <w:sz w:val="21"/>
                <w:szCs w:val="21"/>
                <w:highlight w:val="none"/>
                <w:lang w:val="en-US" w:eastAsia="zh-CN"/>
              </w:rPr>
              <w:t>标准限值</w:t>
            </w:r>
            <w:r>
              <w:rPr>
                <w:rFonts w:hint="eastAsia" w:ascii="Times New Roman" w:hAnsi="Times New Roman" w:eastAsia="宋体" w:cs="Times New Roman"/>
                <w:b w:val="0"/>
                <w:bCs w:val="0"/>
                <w:color w:val="auto"/>
                <w:sz w:val="21"/>
                <w:szCs w:val="21"/>
                <w:highlight w:val="none"/>
                <w:lang w:val="en-US" w:eastAsia="zh-CN"/>
              </w:rPr>
              <w:t>和《合成树脂工业污染物排放标准》（GB31572-2015）中表9</w:t>
            </w:r>
            <w:r>
              <w:rPr>
                <w:rFonts w:hint="default" w:ascii="Times New Roman" w:hAnsi="Times New Roman" w:eastAsia="宋体" w:cs="Times New Roman"/>
                <w:b w:val="0"/>
                <w:bCs w:val="0"/>
                <w:color w:val="auto"/>
                <w:sz w:val="21"/>
                <w:szCs w:val="21"/>
                <w:highlight w:val="none"/>
                <w:lang w:val="en-US" w:eastAsia="zh-CN"/>
              </w:rPr>
              <w:t>中标准限值</w:t>
            </w:r>
            <w:r>
              <w:rPr>
                <w:rFonts w:hint="eastAsia" w:ascii="Times New Roman" w:hAnsi="Times New Roman" w:eastAsia="宋体" w:cs="Times New Roman"/>
                <w:b w:val="0"/>
                <w:bCs w:val="0"/>
                <w:color w:val="auto"/>
                <w:sz w:val="21"/>
                <w:szCs w:val="21"/>
                <w:highlight w:val="none"/>
                <w:lang w:val="en-US" w:eastAsia="zh-CN"/>
              </w:rPr>
              <w:t>；非甲烷总烃厂区内无组织排放浓度满足《大气污染物综合排放标准》（DB32/4041-2021）表2中标准限值。</w:t>
            </w:r>
          </w:p>
          <w:p w14:paraId="34606554">
            <w:pPr>
              <w:pStyle w:val="2"/>
              <w:keepNext w:val="0"/>
              <w:keepLines w:val="0"/>
              <w:pageBreakBefore w:val="0"/>
              <w:widowControl w:val="0"/>
              <w:kinsoku/>
              <w:wordWrap/>
              <w:overflowPunct/>
              <w:topLinePunct w:val="0"/>
              <w:autoSpaceDE/>
              <w:autoSpaceDN/>
              <w:bidi w:val="0"/>
              <w:adjustRightInd/>
              <w:snapToGrid/>
              <w:spacing w:after="0" w:line="360" w:lineRule="auto"/>
              <w:ind w:firstLine="422" w:firstLineChars="200"/>
              <w:textAlignment w:val="auto"/>
              <w:rPr>
                <w:rFonts w:hint="eastAsia" w:ascii="Times New Roman" w:hAnsi="Times New Roman" w:eastAsia="宋体"/>
                <w:b/>
                <w:bCs/>
                <w:color w:val="auto"/>
                <w:sz w:val="21"/>
                <w:szCs w:val="21"/>
                <w:highlight w:val="none"/>
              </w:rPr>
            </w:pPr>
            <w:r>
              <w:rPr>
                <w:rFonts w:hint="eastAsia" w:ascii="Times New Roman" w:hAnsi="Times New Roman" w:eastAsia="宋体"/>
                <w:b/>
                <w:bCs/>
                <w:color w:val="auto"/>
                <w:sz w:val="21"/>
                <w:szCs w:val="21"/>
                <w:highlight w:val="none"/>
              </w:rPr>
              <w:t>（2）废水</w:t>
            </w:r>
          </w:p>
          <w:p w14:paraId="3DD45BD7">
            <w:pPr>
              <w:pStyle w:val="2"/>
              <w:keepNext w:val="0"/>
              <w:keepLines w:val="0"/>
              <w:pageBreakBefore w:val="0"/>
              <w:widowControl w:val="0"/>
              <w:kinsoku/>
              <w:wordWrap/>
              <w:overflowPunct/>
              <w:topLinePunct w:val="0"/>
              <w:autoSpaceDE/>
              <w:autoSpaceDN/>
              <w:bidi w:val="0"/>
              <w:adjustRightInd/>
              <w:snapToGrid/>
              <w:spacing w:after="0" w:line="360" w:lineRule="auto"/>
              <w:ind w:firstLine="420" w:firstLineChars="200"/>
              <w:textAlignment w:val="auto"/>
              <w:rPr>
                <w:rFonts w:hint="default" w:ascii="Times New Roman" w:hAnsi="Times New Roman" w:eastAsia="宋体" w:cs="Times New Roman"/>
                <w:b/>
                <w:color w:val="auto"/>
                <w:kern w:val="2"/>
                <w:sz w:val="21"/>
                <w:szCs w:val="21"/>
                <w:highlight w:val="none"/>
                <w:lang w:val="en-US" w:eastAsia="zh-CN" w:bidi="ar-SA"/>
              </w:rPr>
            </w:pPr>
            <w:r>
              <w:rPr>
                <w:rFonts w:hint="eastAsia" w:ascii="Times New Roman" w:hAnsi="Times New Roman" w:eastAsia="宋体"/>
                <w:color w:val="auto"/>
                <w:sz w:val="21"/>
                <w:szCs w:val="21"/>
                <w:highlight w:val="none"/>
              </w:rPr>
              <w:t>项目废水监测结果见</w:t>
            </w:r>
            <w:r>
              <w:rPr>
                <w:rFonts w:hint="eastAsia" w:ascii="Times New Roman" w:hAnsi="Times New Roman" w:eastAsia="宋体"/>
                <w:color w:val="auto"/>
                <w:sz w:val="21"/>
                <w:szCs w:val="21"/>
                <w:highlight w:val="none"/>
                <w:lang w:val="en-US" w:eastAsia="zh-CN"/>
              </w:rPr>
              <w:t>下表</w:t>
            </w:r>
            <w:r>
              <w:rPr>
                <w:rFonts w:hint="eastAsia" w:ascii="Times New Roman" w:hAnsi="Times New Roman" w:eastAsia="宋体"/>
                <w:color w:val="auto"/>
                <w:sz w:val="21"/>
                <w:szCs w:val="21"/>
                <w:highlight w:val="none"/>
              </w:rPr>
              <w:t>。</w:t>
            </w:r>
          </w:p>
          <w:p w14:paraId="61595E90">
            <w:pPr>
              <w:pStyle w:val="48"/>
              <w:spacing w:before="0" w:after="0"/>
              <w:rPr>
                <w:rFonts w:hint="default" w:ascii="Times New Roman" w:hAnsi="Times New Roman" w:eastAsia="宋体" w:cs="Times New Roman"/>
                <w:b/>
                <w:color w:val="auto"/>
                <w:kern w:val="2"/>
                <w:sz w:val="21"/>
                <w:szCs w:val="21"/>
                <w:highlight w:val="none"/>
                <w:lang w:val="en-US" w:eastAsia="zh-CN" w:bidi="ar-SA"/>
              </w:rPr>
            </w:pPr>
            <w:r>
              <w:rPr>
                <w:rFonts w:hint="default" w:ascii="Times New Roman" w:hAnsi="Times New Roman" w:eastAsia="宋体" w:cs="Times New Roman"/>
                <w:b/>
                <w:color w:val="auto"/>
                <w:kern w:val="2"/>
                <w:sz w:val="21"/>
                <w:szCs w:val="21"/>
                <w:highlight w:val="none"/>
                <w:lang w:val="en-US" w:eastAsia="zh-CN" w:bidi="ar-SA"/>
              </w:rPr>
              <w:t>表</w:t>
            </w:r>
            <w:r>
              <w:rPr>
                <w:rFonts w:hint="eastAsia" w:ascii="Times New Roman" w:hAnsi="Times New Roman" w:eastAsia="宋体" w:cs="Times New Roman"/>
                <w:b/>
                <w:color w:val="auto"/>
                <w:kern w:val="2"/>
                <w:sz w:val="21"/>
                <w:szCs w:val="21"/>
                <w:highlight w:val="none"/>
                <w:lang w:val="en-US" w:eastAsia="zh-CN" w:bidi="ar-SA"/>
              </w:rPr>
              <w:t>2-12</w:t>
            </w:r>
            <w:r>
              <w:rPr>
                <w:rFonts w:hint="default" w:ascii="Times New Roman" w:hAnsi="Times New Roman" w:eastAsia="宋体" w:cs="Times New Roman"/>
                <w:b/>
                <w:color w:val="auto"/>
                <w:kern w:val="2"/>
                <w:sz w:val="21"/>
                <w:szCs w:val="21"/>
                <w:highlight w:val="none"/>
                <w:lang w:val="en-US" w:eastAsia="zh-CN" w:bidi="ar-SA"/>
              </w:rPr>
              <w:t xml:space="preserve"> 废水水质监测结果表</w:t>
            </w:r>
          </w:p>
          <w:tbl>
            <w:tblPr>
              <w:tblStyle w:val="29"/>
              <w:tblW w:w="4997"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48"/>
              <w:gridCol w:w="1236"/>
              <w:gridCol w:w="1388"/>
              <w:gridCol w:w="861"/>
              <w:gridCol w:w="922"/>
              <w:gridCol w:w="922"/>
              <w:gridCol w:w="922"/>
              <w:gridCol w:w="890"/>
            </w:tblGrid>
            <w:tr w14:paraId="7E767C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restart"/>
                  <w:tcBorders>
                    <w:tl2br w:val="nil"/>
                    <w:tr2bl w:val="nil"/>
                  </w:tcBorders>
                  <w:noWrap w:val="0"/>
                  <w:tcMar>
                    <w:top w:w="0" w:type="dxa"/>
                    <w:left w:w="0" w:type="dxa"/>
                    <w:bottom w:w="0" w:type="dxa"/>
                    <w:right w:w="0" w:type="dxa"/>
                  </w:tcMar>
                  <w:vAlign w:val="center"/>
                </w:tcPr>
                <w:p w14:paraId="4309AF0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rPr>
                    <w:t>采样</w:t>
                  </w:r>
                  <w:r>
                    <w:rPr>
                      <w:rFonts w:hint="default" w:ascii="Times New Roman" w:hAnsi="Times New Roman" w:eastAsia="宋体" w:cs="Times New Roman"/>
                      <w:b/>
                      <w:bCs/>
                      <w:color w:val="auto"/>
                      <w:sz w:val="21"/>
                      <w:szCs w:val="21"/>
                      <w:lang w:eastAsia="zh-CN"/>
                    </w:rPr>
                    <w:t>日期</w:t>
                  </w:r>
                </w:p>
              </w:tc>
              <w:tc>
                <w:tcPr>
                  <w:tcW w:w="745" w:type="pct"/>
                  <w:vMerge w:val="restart"/>
                  <w:tcBorders>
                    <w:tl2br w:val="nil"/>
                    <w:tr2bl w:val="nil"/>
                  </w:tcBorders>
                  <w:noWrap w:val="0"/>
                  <w:tcMar>
                    <w:top w:w="0" w:type="dxa"/>
                    <w:left w:w="0" w:type="dxa"/>
                    <w:bottom w:w="0" w:type="dxa"/>
                    <w:right w:w="0" w:type="dxa"/>
                  </w:tcMar>
                  <w:vAlign w:val="center"/>
                </w:tcPr>
                <w:p w14:paraId="14C201B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lang w:eastAsia="zh-CN"/>
                    </w:rPr>
                    <w:t>采样点位</w:t>
                  </w:r>
                </w:p>
              </w:tc>
              <w:tc>
                <w:tcPr>
                  <w:tcW w:w="837" w:type="pct"/>
                  <w:vMerge w:val="restart"/>
                  <w:tcBorders>
                    <w:tl2br w:val="nil"/>
                    <w:tr2bl w:val="nil"/>
                  </w:tcBorders>
                  <w:noWrap w:val="0"/>
                  <w:tcMar>
                    <w:top w:w="0" w:type="dxa"/>
                    <w:left w:w="0" w:type="dxa"/>
                    <w:bottom w:w="0" w:type="dxa"/>
                    <w:right w:w="0" w:type="dxa"/>
                  </w:tcMar>
                  <w:vAlign w:val="center"/>
                </w:tcPr>
                <w:p w14:paraId="5EB3C8B7">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rPr>
                    <w:t>检测项目</w:t>
                  </w:r>
                </w:p>
              </w:tc>
              <w:tc>
                <w:tcPr>
                  <w:tcW w:w="519" w:type="pct"/>
                  <w:vMerge w:val="restart"/>
                  <w:tcBorders>
                    <w:tl2br w:val="nil"/>
                    <w:tr2bl w:val="nil"/>
                  </w:tcBorders>
                  <w:noWrap w:val="0"/>
                  <w:tcMar>
                    <w:top w:w="0" w:type="dxa"/>
                    <w:left w:w="0" w:type="dxa"/>
                    <w:bottom w:w="0" w:type="dxa"/>
                    <w:right w:w="0" w:type="dxa"/>
                  </w:tcMar>
                  <w:vAlign w:val="center"/>
                </w:tcPr>
                <w:p w14:paraId="681C2883">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单位</w:t>
                  </w:r>
                </w:p>
              </w:tc>
              <w:tc>
                <w:tcPr>
                  <w:tcW w:w="2204" w:type="pct"/>
                  <w:gridSpan w:val="4"/>
                  <w:tcBorders>
                    <w:tl2br w:val="nil"/>
                    <w:tr2bl w:val="nil"/>
                  </w:tcBorders>
                  <w:noWrap w:val="0"/>
                  <w:tcMar>
                    <w:top w:w="0" w:type="dxa"/>
                    <w:left w:w="0" w:type="dxa"/>
                    <w:bottom w:w="0" w:type="dxa"/>
                    <w:right w:w="0" w:type="dxa"/>
                  </w:tcMar>
                  <w:vAlign w:val="center"/>
                </w:tcPr>
                <w:p w14:paraId="63003AE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检测结果</w:t>
                  </w:r>
                </w:p>
              </w:tc>
            </w:tr>
            <w:tr w14:paraId="7E46D3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continue"/>
                  <w:tcBorders>
                    <w:tl2br w:val="nil"/>
                    <w:tr2bl w:val="nil"/>
                  </w:tcBorders>
                  <w:noWrap w:val="0"/>
                  <w:tcMar>
                    <w:top w:w="0" w:type="dxa"/>
                    <w:left w:w="0" w:type="dxa"/>
                    <w:bottom w:w="0" w:type="dxa"/>
                    <w:right w:w="0" w:type="dxa"/>
                  </w:tcMar>
                  <w:vAlign w:val="center"/>
                </w:tcPr>
                <w:p w14:paraId="092CFE03">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p>
              </w:tc>
              <w:tc>
                <w:tcPr>
                  <w:tcW w:w="745" w:type="pct"/>
                  <w:vMerge w:val="continue"/>
                  <w:tcBorders>
                    <w:tl2br w:val="nil"/>
                    <w:tr2bl w:val="nil"/>
                  </w:tcBorders>
                  <w:noWrap w:val="0"/>
                  <w:tcMar>
                    <w:top w:w="0" w:type="dxa"/>
                    <w:left w:w="0" w:type="dxa"/>
                    <w:bottom w:w="0" w:type="dxa"/>
                    <w:right w:w="0" w:type="dxa"/>
                  </w:tcMar>
                  <w:vAlign w:val="center"/>
                </w:tcPr>
                <w:p w14:paraId="3D2CDC0B">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p>
              </w:tc>
              <w:tc>
                <w:tcPr>
                  <w:tcW w:w="837" w:type="pct"/>
                  <w:vMerge w:val="continue"/>
                  <w:tcBorders>
                    <w:tl2br w:val="nil"/>
                    <w:tr2bl w:val="nil"/>
                  </w:tcBorders>
                  <w:noWrap w:val="0"/>
                  <w:tcMar>
                    <w:top w:w="0" w:type="dxa"/>
                    <w:left w:w="0" w:type="dxa"/>
                    <w:bottom w:w="0" w:type="dxa"/>
                    <w:right w:w="0" w:type="dxa"/>
                  </w:tcMar>
                  <w:vAlign w:val="center"/>
                </w:tcPr>
                <w:p w14:paraId="7796F71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p>
              </w:tc>
              <w:tc>
                <w:tcPr>
                  <w:tcW w:w="519" w:type="pct"/>
                  <w:vMerge w:val="continue"/>
                  <w:tcBorders>
                    <w:tl2br w:val="nil"/>
                    <w:tr2bl w:val="nil"/>
                  </w:tcBorders>
                  <w:noWrap w:val="0"/>
                  <w:tcMar>
                    <w:top w:w="0" w:type="dxa"/>
                    <w:left w:w="0" w:type="dxa"/>
                    <w:bottom w:w="0" w:type="dxa"/>
                    <w:right w:w="0" w:type="dxa"/>
                  </w:tcMar>
                  <w:vAlign w:val="center"/>
                </w:tcPr>
                <w:p w14:paraId="4EB502E8">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p>
              </w:tc>
              <w:tc>
                <w:tcPr>
                  <w:tcW w:w="556" w:type="pct"/>
                  <w:tcBorders>
                    <w:tl2br w:val="nil"/>
                    <w:tr2bl w:val="nil"/>
                  </w:tcBorders>
                  <w:noWrap w:val="0"/>
                  <w:tcMar>
                    <w:top w:w="0" w:type="dxa"/>
                    <w:left w:w="0" w:type="dxa"/>
                    <w:bottom w:w="0" w:type="dxa"/>
                    <w:right w:w="0" w:type="dxa"/>
                  </w:tcMar>
                  <w:vAlign w:val="center"/>
                </w:tcPr>
                <w:p w14:paraId="2E6AC07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第一次</w:t>
                  </w:r>
                </w:p>
              </w:tc>
              <w:tc>
                <w:tcPr>
                  <w:tcW w:w="556" w:type="pct"/>
                  <w:tcBorders>
                    <w:tl2br w:val="nil"/>
                    <w:tr2bl w:val="nil"/>
                  </w:tcBorders>
                  <w:noWrap w:val="0"/>
                  <w:tcMar>
                    <w:top w:w="0" w:type="dxa"/>
                    <w:left w:w="0" w:type="dxa"/>
                    <w:bottom w:w="0" w:type="dxa"/>
                    <w:right w:w="0" w:type="dxa"/>
                  </w:tcMar>
                  <w:vAlign w:val="center"/>
                </w:tcPr>
                <w:p w14:paraId="35FFCED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第二次</w:t>
                  </w:r>
                </w:p>
              </w:tc>
              <w:tc>
                <w:tcPr>
                  <w:tcW w:w="556" w:type="pct"/>
                  <w:tcBorders>
                    <w:tl2br w:val="nil"/>
                    <w:tr2bl w:val="nil"/>
                  </w:tcBorders>
                  <w:noWrap w:val="0"/>
                  <w:tcMar>
                    <w:top w:w="0" w:type="dxa"/>
                    <w:left w:w="0" w:type="dxa"/>
                    <w:bottom w:w="0" w:type="dxa"/>
                    <w:right w:w="0" w:type="dxa"/>
                  </w:tcMar>
                  <w:vAlign w:val="center"/>
                </w:tcPr>
                <w:p w14:paraId="2DE79F1A">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第三次</w:t>
                  </w:r>
                </w:p>
              </w:tc>
              <w:tc>
                <w:tcPr>
                  <w:tcW w:w="535" w:type="pct"/>
                  <w:tcBorders>
                    <w:tl2br w:val="nil"/>
                    <w:tr2bl w:val="nil"/>
                  </w:tcBorders>
                  <w:noWrap w:val="0"/>
                  <w:tcMar>
                    <w:top w:w="0" w:type="dxa"/>
                    <w:left w:w="0" w:type="dxa"/>
                    <w:bottom w:w="0" w:type="dxa"/>
                    <w:right w:w="0" w:type="dxa"/>
                  </w:tcMar>
                  <w:vAlign w:val="center"/>
                </w:tcPr>
                <w:p w14:paraId="2D5F4DF4">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第四次</w:t>
                  </w:r>
                </w:p>
              </w:tc>
            </w:tr>
            <w:tr w14:paraId="5E44F4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restart"/>
                  <w:tcBorders>
                    <w:tl2br w:val="nil"/>
                    <w:tr2bl w:val="nil"/>
                  </w:tcBorders>
                  <w:noWrap w:val="0"/>
                  <w:tcMar>
                    <w:top w:w="0" w:type="dxa"/>
                    <w:left w:w="0" w:type="dxa"/>
                    <w:bottom w:w="0" w:type="dxa"/>
                    <w:right w:w="0" w:type="dxa"/>
                  </w:tcMar>
                  <w:vAlign w:val="center"/>
                </w:tcPr>
                <w:p w14:paraId="6F9362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2022.01.07</w:t>
                  </w:r>
                </w:p>
              </w:tc>
              <w:tc>
                <w:tcPr>
                  <w:tcW w:w="745" w:type="pct"/>
                  <w:vMerge w:val="restart"/>
                  <w:tcBorders>
                    <w:tl2br w:val="nil"/>
                    <w:tr2bl w:val="nil"/>
                  </w:tcBorders>
                  <w:noWrap w:val="0"/>
                  <w:tcMar>
                    <w:top w:w="0" w:type="dxa"/>
                    <w:left w:w="0" w:type="dxa"/>
                    <w:bottom w:w="0" w:type="dxa"/>
                    <w:right w:w="0" w:type="dxa"/>
                  </w:tcMar>
                  <w:vAlign w:val="center"/>
                </w:tcPr>
                <w:p w14:paraId="7F8450E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厂区总排口</w:t>
                  </w:r>
                </w:p>
              </w:tc>
              <w:tc>
                <w:tcPr>
                  <w:tcW w:w="837" w:type="pct"/>
                  <w:tcBorders>
                    <w:tl2br w:val="nil"/>
                    <w:tr2bl w:val="nil"/>
                  </w:tcBorders>
                  <w:noWrap w:val="0"/>
                  <w:tcMar>
                    <w:top w:w="0" w:type="dxa"/>
                    <w:left w:w="0" w:type="dxa"/>
                    <w:bottom w:w="0" w:type="dxa"/>
                    <w:right w:w="0" w:type="dxa"/>
                  </w:tcMar>
                  <w:vAlign w:val="center"/>
                </w:tcPr>
                <w:p w14:paraId="46D6CAD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pH值</w:t>
                  </w:r>
                </w:p>
              </w:tc>
              <w:tc>
                <w:tcPr>
                  <w:tcW w:w="519" w:type="pct"/>
                  <w:tcBorders>
                    <w:tl2br w:val="nil"/>
                    <w:tr2bl w:val="nil"/>
                  </w:tcBorders>
                  <w:noWrap w:val="0"/>
                  <w:tcMar>
                    <w:top w:w="0" w:type="dxa"/>
                    <w:left w:w="0" w:type="dxa"/>
                    <w:bottom w:w="0" w:type="dxa"/>
                    <w:right w:w="0" w:type="dxa"/>
                  </w:tcMar>
                  <w:vAlign w:val="center"/>
                </w:tcPr>
                <w:p w14:paraId="74895EA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无量纲</w:t>
                  </w:r>
                </w:p>
              </w:tc>
              <w:tc>
                <w:tcPr>
                  <w:tcW w:w="556" w:type="pct"/>
                  <w:tcBorders>
                    <w:tl2br w:val="nil"/>
                    <w:tr2bl w:val="nil"/>
                  </w:tcBorders>
                  <w:noWrap w:val="0"/>
                  <w:tcMar>
                    <w:top w:w="0" w:type="dxa"/>
                    <w:left w:w="0" w:type="dxa"/>
                    <w:bottom w:w="0" w:type="dxa"/>
                    <w:right w:w="0" w:type="dxa"/>
                  </w:tcMar>
                  <w:vAlign w:val="center"/>
                </w:tcPr>
                <w:p w14:paraId="716C0D0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7.6</w:t>
                  </w:r>
                </w:p>
              </w:tc>
              <w:tc>
                <w:tcPr>
                  <w:tcW w:w="556" w:type="pct"/>
                  <w:tcBorders>
                    <w:tl2br w:val="nil"/>
                    <w:tr2bl w:val="nil"/>
                  </w:tcBorders>
                  <w:noWrap w:val="0"/>
                  <w:tcMar>
                    <w:top w:w="0" w:type="dxa"/>
                    <w:left w:w="0" w:type="dxa"/>
                    <w:bottom w:w="0" w:type="dxa"/>
                    <w:right w:w="0" w:type="dxa"/>
                  </w:tcMar>
                  <w:vAlign w:val="center"/>
                </w:tcPr>
                <w:p w14:paraId="0BC4660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7.5</w:t>
                  </w:r>
                </w:p>
              </w:tc>
              <w:tc>
                <w:tcPr>
                  <w:tcW w:w="556" w:type="pct"/>
                  <w:tcBorders>
                    <w:tl2br w:val="nil"/>
                    <w:tr2bl w:val="nil"/>
                  </w:tcBorders>
                  <w:noWrap w:val="0"/>
                  <w:tcMar>
                    <w:top w:w="0" w:type="dxa"/>
                    <w:left w:w="0" w:type="dxa"/>
                    <w:bottom w:w="0" w:type="dxa"/>
                    <w:right w:w="0" w:type="dxa"/>
                  </w:tcMar>
                  <w:vAlign w:val="center"/>
                </w:tcPr>
                <w:p w14:paraId="4D6513C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7.5</w:t>
                  </w:r>
                </w:p>
              </w:tc>
              <w:tc>
                <w:tcPr>
                  <w:tcW w:w="535" w:type="pct"/>
                  <w:tcBorders>
                    <w:tl2br w:val="nil"/>
                    <w:tr2bl w:val="nil"/>
                  </w:tcBorders>
                  <w:noWrap w:val="0"/>
                  <w:tcMar>
                    <w:top w:w="0" w:type="dxa"/>
                    <w:left w:w="0" w:type="dxa"/>
                    <w:bottom w:w="0" w:type="dxa"/>
                    <w:right w:w="0" w:type="dxa"/>
                  </w:tcMar>
                  <w:vAlign w:val="center"/>
                </w:tcPr>
                <w:p w14:paraId="5179AD8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7.4</w:t>
                  </w:r>
                </w:p>
              </w:tc>
            </w:tr>
            <w:tr w14:paraId="61D23D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continue"/>
                  <w:tcBorders>
                    <w:tl2br w:val="nil"/>
                    <w:tr2bl w:val="nil"/>
                  </w:tcBorders>
                  <w:noWrap w:val="0"/>
                  <w:tcMar>
                    <w:top w:w="0" w:type="dxa"/>
                    <w:left w:w="0" w:type="dxa"/>
                    <w:bottom w:w="0" w:type="dxa"/>
                    <w:right w:w="0" w:type="dxa"/>
                  </w:tcMar>
                  <w:vAlign w:val="center"/>
                </w:tcPr>
                <w:p w14:paraId="19C5BB8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p>
              </w:tc>
              <w:tc>
                <w:tcPr>
                  <w:tcW w:w="745" w:type="pct"/>
                  <w:vMerge w:val="continue"/>
                  <w:tcBorders>
                    <w:tl2br w:val="nil"/>
                    <w:tr2bl w:val="nil"/>
                  </w:tcBorders>
                  <w:noWrap w:val="0"/>
                  <w:tcMar>
                    <w:top w:w="0" w:type="dxa"/>
                    <w:left w:w="0" w:type="dxa"/>
                    <w:bottom w:w="0" w:type="dxa"/>
                    <w:right w:w="0" w:type="dxa"/>
                  </w:tcMar>
                  <w:vAlign w:val="center"/>
                </w:tcPr>
                <w:p w14:paraId="4A9FA93A">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37" w:type="pct"/>
                  <w:tcBorders>
                    <w:tl2br w:val="nil"/>
                    <w:tr2bl w:val="nil"/>
                  </w:tcBorders>
                  <w:noWrap w:val="0"/>
                  <w:tcMar>
                    <w:top w:w="0" w:type="dxa"/>
                    <w:left w:w="0" w:type="dxa"/>
                    <w:bottom w:w="0" w:type="dxa"/>
                    <w:right w:w="0" w:type="dxa"/>
                  </w:tcMar>
                  <w:vAlign w:val="center"/>
                </w:tcPr>
                <w:p w14:paraId="3382C14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化学需氧量</w:t>
                  </w:r>
                </w:p>
              </w:tc>
              <w:tc>
                <w:tcPr>
                  <w:tcW w:w="519" w:type="pct"/>
                  <w:tcBorders>
                    <w:tl2br w:val="nil"/>
                    <w:tr2bl w:val="nil"/>
                  </w:tcBorders>
                  <w:noWrap w:val="0"/>
                  <w:tcMar>
                    <w:top w:w="0" w:type="dxa"/>
                    <w:left w:w="0" w:type="dxa"/>
                    <w:bottom w:w="0" w:type="dxa"/>
                    <w:right w:w="0" w:type="dxa"/>
                  </w:tcMar>
                  <w:vAlign w:val="center"/>
                </w:tcPr>
                <w:p w14:paraId="771D83F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mg/L</w:t>
                  </w:r>
                </w:p>
              </w:tc>
              <w:tc>
                <w:tcPr>
                  <w:tcW w:w="556" w:type="pct"/>
                  <w:tcBorders>
                    <w:tl2br w:val="nil"/>
                    <w:tr2bl w:val="nil"/>
                  </w:tcBorders>
                  <w:noWrap w:val="0"/>
                  <w:tcMar>
                    <w:top w:w="0" w:type="dxa"/>
                    <w:left w:w="0" w:type="dxa"/>
                    <w:bottom w:w="0" w:type="dxa"/>
                    <w:right w:w="0" w:type="dxa"/>
                  </w:tcMar>
                  <w:vAlign w:val="center"/>
                </w:tcPr>
                <w:p w14:paraId="0F47B39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112</w:t>
                  </w:r>
                </w:p>
              </w:tc>
              <w:tc>
                <w:tcPr>
                  <w:tcW w:w="556" w:type="pct"/>
                  <w:tcBorders>
                    <w:tl2br w:val="nil"/>
                    <w:tr2bl w:val="nil"/>
                  </w:tcBorders>
                  <w:noWrap w:val="0"/>
                  <w:tcMar>
                    <w:top w:w="0" w:type="dxa"/>
                    <w:left w:w="0" w:type="dxa"/>
                    <w:bottom w:w="0" w:type="dxa"/>
                    <w:right w:w="0" w:type="dxa"/>
                  </w:tcMar>
                  <w:vAlign w:val="center"/>
                </w:tcPr>
                <w:p w14:paraId="5BD3E95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93</w:t>
                  </w:r>
                </w:p>
              </w:tc>
              <w:tc>
                <w:tcPr>
                  <w:tcW w:w="556" w:type="pct"/>
                  <w:tcBorders>
                    <w:tl2br w:val="nil"/>
                    <w:tr2bl w:val="nil"/>
                  </w:tcBorders>
                  <w:noWrap w:val="0"/>
                  <w:tcMar>
                    <w:top w:w="0" w:type="dxa"/>
                    <w:left w:w="0" w:type="dxa"/>
                    <w:bottom w:w="0" w:type="dxa"/>
                    <w:right w:w="0" w:type="dxa"/>
                  </w:tcMar>
                  <w:vAlign w:val="center"/>
                </w:tcPr>
                <w:p w14:paraId="06FA5A0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102</w:t>
                  </w:r>
                </w:p>
              </w:tc>
              <w:tc>
                <w:tcPr>
                  <w:tcW w:w="535" w:type="pct"/>
                  <w:tcBorders>
                    <w:tl2br w:val="nil"/>
                    <w:tr2bl w:val="nil"/>
                  </w:tcBorders>
                  <w:noWrap w:val="0"/>
                  <w:tcMar>
                    <w:top w:w="0" w:type="dxa"/>
                    <w:left w:w="0" w:type="dxa"/>
                    <w:bottom w:w="0" w:type="dxa"/>
                    <w:right w:w="0" w:type="dxa"/>
                  </w:tcMar>
                  <w:vAlign w:val="center"/>
                </w:tcPr>
                <w:p w14:paraId="5D85CEE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90</w:t>
                  </w:r>
                </w:p>
              </w:tc>
            </w:tr>
            <w:tr w14:paraId="39DB8A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continue"/>
                  <w:tcBorders>
                    <w:tl2br w:val="nil"/>
                    <w:tr2bl w:val="nil"/>
                  </w:tcBorders>
                  <w:noWrap w:val="0"/>
                  <w:tcMar>
                    <w:top w:w="0" w:type="dxa"/>
                    <w:left w:w="0" w:type="dxa"/>
                    <w:bottom w:w="0" w:type="dxa"/>
                    <w:right w:w="0" w:type="dxa"/>
                  </w:tcMar>
                  <w:vAlign w:val="center"/>
                </w:tcPr>
                <w:p w14:paraId="018566F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p>
              </w:tc>
              <w:tc>
                <w:tcPr>
                  <w:tcW w:w="745" w:type="pct"/>
                  <w:vMerge w:val="continue"/>
                  <w:tcBorders>
                    <w:tl2br w:val="nil"/>
                    <w:tr2bl w:val="nil"/>
                  </w:tcBorders>
                  <w:noWrap w:val="0"/>
                  <w:tcMar>
                    <w:top w:w="0" w:type="dxa"/>
                    <w:left w:w="0" w:type="dxa"/>
                    <w:bottom w:w="0" w:type="dxa"/>
                    <w:right w:w="0" w:type="dxa"/>
                  </w:tcMar>
                  <w:vAlign w:val="center"/>
                </w:tcPr>
                <w:p w14:paraId="67EC140C">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37" w:type="pct"/>
                  <w:tcBorders>
                    <w:tl2br w:val="nil"/>
                    <w:tr2bl w:val="nil"/>
                  </w:tcBorders>
                  <w:noWrap w:val="0"/>
                  <w:tcMar>
                    <w:top w:w="0" w:type="dxa"/>
                    <w:left w:w="0" w:type="dxa"/>
                    <w:bottom w:w="0" w:type="dxa"/>
                    <w:right w:w="0" w:type="dxa"/>
                  </w:tcMar>
                  <w:vAlign w:val="center"/>
                </w:tcPr>
                <w:p w14:paraId="2DB5EC2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悬浮物</w:t>
                  </w:r>
                </w:p>
              </w:tc>
              <w:tc>
                <w:tcPr>
                  <w:tcW w:w="519" w:type="pct"/>
                  <w:tcBorders>
                    <w:tl2br w:val="nil"/>
                    <w:tr2bl w:val="nil"/>
                  </w:tcBorders>
                  <w:noWrap w:val="0"/>
                  <w:tcMar>
                    <w:top w:w="0" w:type="dxa"/>
                    <w:left w:w="0" w:type="dxa"/>
                    <w:bottom w:w="0" w:type="dxa"/>
                    <w:right w:w="0" w:type="dxa"/>
                  </w:tcMar>
                  <w:vAlign w:val="center"/>
                </w:tcPr>
                <w:p w14:paraId="3C69890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mg/L</w:t>
                  </w:r>
                </w:p>
              </w:tc>
              <w:tc>
                <w:tcPr>
                  <w:tcW w:w="556" w:type="pct"/>
                  <w:tcBorders>
                    <w:tl2br w:val="nil"/>
                    <w:tr2bl w:val="nil"/>
                  </w:tcBorders>
                  <w:noWrap w:val="0"/>
                  <w:tcMar>
                    <w:top w:w="0" w:type="dxa"/>
                    <w:left w:w="0" w:type="dxa"/>
                    <w:bottom w:w="0" w:type="dxa"/>
                    <w:right w:w="0" w:type="dxa"/>
                  </w:tcMar>
                  <w:vAlign w:val="center"/>
                </w:tcPr>
                <w:p w14:paraId="7EE0E9E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78</w:t>
                  </w:r>
                </w:p>
              </w:tc>
              <w:tc>
                <w:tcPr>
                  <w:tcW w:w="556" w:type="pct"/>
                  <w:tcBorders>
                    <w:tl2br w:val="nil"/>
                    <w:tr2bl w:val="nil"/>
                  </w:tcBorders>
                  <w:noWrap w:val="0"/>
                  <w:tcMar>
                    <w:top w:w="0" w:type="dxa"/>
                    <w:left w:w="0" w:type="dxa"/>
                    <w:bottom w:w="0" w:type="dxa"/>
                    <w:right w:w="0" w:type="dxa"/>
                  </w:tcMar>
                  <w:vAlign w:val="center"/>
                </w:tcPr>
                <w:p w14:paraId="7B13B58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87</w:t>
                  </w:r>
                </w:p>
              </w:tc>
              <w:tc>
                <w:tcPr>
                  <w:tcW w:w="556" w:type="pct"/>
                  <w:tcBorders>
                    <w:tl2br w:val="nil"/>
                    <w:tr2bl w:val="nil"/>
                  </w:tcBorders>
                  <w:noWrap w:val="0"/>
                  <w:tcMar>
                    <w:top w:w="0" w:type="dxa"/>
                    <w:left w:w="0" w:type="dxa"/>
                    <w:bottom w:w="0" w:type="dxa"/>
                    <w:right w:w="0" w:type="dxa"/>
                  </w:tcMar>
                  <w:vAlign w:val="center"/>
                </w:tcPr>
                <w:p w14:paraId="23A3015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81</w:t>
                  </w:r>
                </w:p>
              </w:tc>
              <w:tc>
                <w:tcPr>
                  <w:tcW w:w="535" w:type="pct"/>
                  <w:tcBorders>
                    <w:tl2br w:val="nil"/>
                    <w:tr2bl w:val="nil"/>
                  </w:tcBorders>
                  <w:noWrap w:val="0"/>
                  <w:tcMar>
                    <w:top w:w="0" w:type="dxa"/>
                    <w:left w:w="0" w:type="dxa"/>
                    <w:bottom w:w="0" w:type="dxa"/>
                    <w:right w:w="0" w:type="dxa"/>
                  </w:tcMar>
                  <w:vAlign w:val="center"/>
                </w:tcPr>
                <w:p w14:paraId="2046433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85</w:t>
                  </w:r>
                </w:p>
              </w:tc>
            </w:tr>
            <w:tr w14:paraId="0F24E0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continue"/>
                  <w:tcBorders>
                    <w:tl2br w:val="nil"/>
                    <w:tr2bl w:val="nil"/>
                  </w:tcBorders>
                  <w:noWrap w:val="0"/>
                  <w:tcMar>
                    <w:top w:w="0" w:type="dxa"/>
                    <w:left w:w="0" w:type="dxa"/>
                    <w:bottom w:w="0" w:type="dxa"/>
                    <w:right w:w="0" w:type="dxa"/>
                  </w:tcMar>
                  <w:vAlign w:val="center"/>
                </w:tcPr>
                <w:p w14:paraId="67CA130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p>
              </w:tc>
              <w:tc>
                <w:tcPr>
                  <w:tcW w:w="745" w:type="pct"/>
                  <w:vMerge w:val="continue"/>
                  <w:tcBorders>
                    <w:tl2br w:val="nil"/>
                    <w:tr2bl w:val="nil"/>
                  </w:tcBorders>
                  <w:noWrap w:val="0"/>
                  <w:tcMar>
                    <w:top w:w="0" w:type="dxa"/>
                    <w:left w:w="0" w:type="dxa"/>
                    <w:bottom w:w="0" w:type="dxa"/>
                    <w:right w:w="0" w:type="dxa"/>
                  </w:tcMar>
                  <w:vAlign w:val="center"/>
                </w:tcPr>
                <w:p w14:paraId="05AE8100">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37" w:type="pct"/>
                  <w:tcBorders>
                    <w:tl2br w:val="nil"/>
                    <w:tr2bl w:val="nil"/>
                  </w:tcBorders>
                  <w:noWrap w:val="0"/>
                  <w:tcMar>
                    <w:top w:w="0" w:type="dxa"/>
                    <w:left w:w="0" w:type="dxa"/>
                    <w:bottom w:w="0" w:type="dxa"/>
                    <w:right w:w="0" w:type="dxa"/>
                  </w:tcMar>
                  <w:vAlign w:val="center"/>
                </w:tcPr>
                <w:p w14:paraId="5E308A8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氨氮</w:t>
                  </w:r>
                </w:p>
              </w:tc>
              <w:tc>
                <w:tcPr>
                  <w:tcW w:w="519" w:type="pct"/>
                  <w:tcBorders>
                    <w:tl2br w:val="nil"/>
                    <w:tr2bl w:val="nil"/>
                  </w:tcBorders>
                  <w:noWrap w:val="0"/>
                  <w:tcMar>
                    <w:top w:w="0" w:type="dxa"/>
                    <w:left w:w="0" w:type="dxa"/>
                    <w:bottom w:w="0" w:type="dxa"/>
                    <w:right w:w="0" w:type="dxa"/>
                  </w:tcMar>
                  <w:vAlign w:val="center"/>
                </w:tcPr>
                <w:p w14:paraId="7A2AE26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mg/L</w:t>
                  </w:r>
                </w:p>
              </w:tc>
              <w:tc>
                <w:tcPr>
                  <w:tcW w:w="556" w:type="pct"/>
                  <w:tcBorders>
                    <w:tl2br w:val="nil"/>
                    <w:tr2bl w:val="nil"/>
                  </w:tcBorders>
                  <w:noWrap w:val="0"/>
                  <w:tcMar>
                    <w:top w:w="0" w:type="dxa"/>
                    <w:left w:w="0" w:type="dxa"/>
                    <w:bottom w:w="0" w:type="dxa"/>
                    <w:right w:w="0" w:type="dxa"/>
                  </w:tcMar>
                  <w:vAlign w:val="center"/>
                </w:tcPr>
                <w:p w14:paraId="61BFCCB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2.57</w:t>
                  </w:r>
                </w:p>
              </w:tc>
              <w:tc>
                <w:tcPr>
                  <w:tcW w:w="556" w:type="pct"/>
                  <w:tcBorders>
                    <w:tl2br w:val="nil"/>
                    <w:tr2bl w:val="nil"/>
                  </w:tcBorders>
                  <w:noWrap w:val="0"/>
                  <w:tcMar>
                    <w:top w:w="0" w:type="dxa"/>
                    <w:left w:w="0" w:type="dxa"/>
                    <w:bottom w:w="0" w:type="dxa"/>
                    <w:right w:w="0" w:type="dxa"/>
                  </w:tcMar>
                  <w:vAlign w:val="center"/>
                </w:tcPr>
                <w:p w14:paraId="47033F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2.74</w:t>
                  </w:r>
                </w:p>
              </w:tc>
              <w:tc>
                <w:tcPr>
                  <w:tcW w:w="556" w:type="pct"/>
                  <w:tcBorders>
                    <w:tl2br w:val="nil"/>
                    <w:tr2bl w:val="nil"/>
                  </w:tcBorders>
                  <w:noWrap w:val="0"/>
                  <w:tcMar>
                    <w:top w:w="0" w:type="dxa"/>
                    <w:left w:w="0" w:type="dxa"/>
                    <w:bottom w:w="0" w:type="dxa"/>
                    <w:right w:w="0" w:type="dxa"/>
                  </w:tcMar>
                  <w:vAlign w:val="center"/>
                </w:tcPr>
                <w:p w14:paraId="0AEAC1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2.65</w:t>
                  </w:r>
                </w:p>
              </w:tc>
              <w:tc>
                <w:tcPr>
                  <w:tcW w:w="535" w:type="pct"/>
                  <w:tcBorders>
                    <w:tl2br w:val="nil"/>
                    <w:tr2bl w:val="nil"/>
                  </w:tcBorders>
                  <w:noWrap w:val="0"/>
                  <w:tcMar>
                    <w:top w:w="0" w:type="dxa"/>
                    <w:left w:w="0" w:type="dxa"/>
                    <w:bottom w:w="0" w:type="dxa"/>
                    <w:right w:w="0" w:type="dxa"/>
                  </w:tcMar>
                  <w:vAlign w:val="center"/>
                </w:tcPr>
                <w:p w14:paraId="5C78844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2.55</w:t>
                  </w:r>
                </w:p>
              </w:tc>
            </w:tr>
            <w:tr w14:paraId="4C9026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continue"/>
                  <w:tcBorders>
                    <w:tl2br w:val="nil"/>
                    <w:tr2bl w:val="nil"/>
                  </w:tcBorders>
                  <w:noWrap w:val="0"/>
                  <w:tcMar>
                    <w:top w:w="0" w:type="dxa"/>
                    <w:left w:w="0" w:type="dxa"/>
                    <w:bottom w:w="0" w:type="dxa"/>
                    <w:right w:w="0" w:type="dxa"/>
                  </w:tcMar>
                  <w:vAlign w:val="center"/>
                </w:tcPr>
                <w:p w14:paraId="5B70FEA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p>
              </w:tc>
              <w:tc>
                <w:tcPr>
                  <w:tcW w:w="745" w:type="pct"/>
                  <w:vMerge w:val="continue"/>
                  <w:tcBorders>
                    <w:tl2br w:val="nil"/>
                    <w:tr2bl w:val="nil"/>
                  </w:tcBorders>
                  <w:noWrap w:val="0"/>
                  <w:tcMar>
                    <w:top w:w="0" w:type="dxa"/>
                    <w:left w:w="0" w:type="dxa"/>
                    <w:bottom w:w="0" w:type="dxa"/>
                    <w:right w:w="0" w:type="dxa"/>
                  </w:tcMar>
                  <w:vAlign w:val="center"/>
                </w:tcPr>
                <w:p w14:paraId="77F7F914">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37" w:type="pct"/>
                  <w:tcBorders>
                    <w:tl2br w:val="nil"/>
                    <w:tr2bl w:val="nil"/>
                  </w:tcBorders>
                  <w:noWrap w:val="0"/>
                  <w:tcMar>
                    <w:top w:w="0" w:type="dxa"/>
                    <w:left w:w="0" w:type="dxa"/>
                    <w:bottom w:w="0" w:type="dxa"/>
                    <w:right w:w="0" w:type="dxa"/>
                  </w:tcMar>
                  <w:vAlign w:val="center"/>
                </w:tcPr>
                <w:p w14:paraId="75E10EE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总磷</w:t>
                  </w:r>
                </w:p>
              </w:tc>
              <w:tc>
                <w:tcPr>
                  <w:tcW w:w="519" w:type="pct"/>
                  <w:tcBorders>
                    <w:tl2br w:val="nil"/>
                    <w:tr2bl w:val="nil"/>
                  </w:tcBorders>
                  <w:noWrap w:val="0"/>
                  <w:tcMar>
                    <w:top w:w="0" w:type="dxa"/>
                    <w:left w:w="0" w:type="dxa"/>
                    <w:bottom w:w="0" w:type="dxa"/>
                    <w:right w:w="0" w:type="dxa"/>
                  </w:tcMar>
                  <w:vAlign w:val="center"/>
                </w:tcPr>
                <w:p w14:paraId="78FB6C3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mg/L</w:t>
                  </w:r>
                </w:p>
              </w:tc>
              <w:tc>
                <w:tcPr>
                  <w:tcW w:w="556" w:type="pct"/>
                  <w:tcBorders>
                    <w:tl2br w:val="nil"/>
                    <w:tr2bl w:val="nil"/>
                  </w:tcBorders>
                  <w:noWrap w:val="0"/>
                  <w:tcMar>
                    <w:top w:w="0" w:type="dxa"/>
                    <w:left w:w="0" w:type="dxa"/>
                    <w:bottom w:w="0" w:type="dxa"/>
                    <w:right w:w="0" w:type="dxa"/>
                  </w:tcMar>
                  <w:vAlign w:val="center"/>
                </w:tcPr>
                <w:p w14:paraId="4D05584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0.41</w:t>
                  </w:r>
                </w:p>
              </w:tc>
              <w:tc>
                <w:tcPr>
                  <w:tcW w:w="556" w:type="pct"/>
                  <w:tcBorders>
                    <w:tl2br w:val="nil"/>
                    <w:tr2bl w:val="nil"/>
                  </w:tcBorders>
                  <w:noWrap w:val="0"/>
                  <w:tcMar>
                    <w:top w:w="0" w:type="dxa"/>
                    <w:left w:w="0" w:type="dxa"/>
                    <w:bottom w:w="0" w:type="dxa"/>
                    <w:right w:w="0" w:type="dxa"/>
                  </w:tcMar>
                  <w:vAlign w:val="center"/>
                </w:tcPr>
                <w:p w14:paraId="602463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0.60</w:t>
                  </w:r>
                </w:p>
              </w:tc>
              <w:tc>
                <w:tcPr>
                  <w:tcW w:w="556" w:type="pct"/>
                  <w:tcBorders>
                    <w:tl2br w:val="nil"/>
                    <w:tr2bl w:val="nil"/>
                  </w:tcBorders>
                  <w:noWrap w:val="0"/>
                  <w:tcMar>
                    <w:top w:w="0" w:type="dxa"/>
                    <w:left w:w="0" w:type="dxa"/>
                    <w:bottom w:w="0" w:type="dxa"/>
                    <w:right w:w="0" w:type="dxa"/>
                  </w:tcMar>
                  <w:vAlign w:val="center"/>
                </w:tcPr>
                <w:p w14:paraId="5D9BFC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0.52</w:t>
                  </w:r>
                </w:p>
              </w:tc>
              <w:tc>
                <w:tcPr>
                  <w:tcW w:w="535" w:type="pct"/>
                  <w:tcBorders>
                    <w:tl2br w:val="nil"/>
                    <w:tr2bl w:val="nil"/>
                  </w:tcBorders>
                  <w:noWrap w:val="0"/>
                  <w:tcMar>
                    <w:top w:w="0" w:type="dxa"/>
                    <w:left w:w="0" w:type="dxa"/>
                    <w:bottom w:w="0" w:type="dxa"/>
                    <w:right w:w="0" w:type="dxa"/>
                  </w:tcMar>
                  <w:vAlign w:val="center"/>
                </w:tcPr>
                <w:p w14:paraId="1DE9428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0.47</w:t>
                  </w:r>
                </w:p>
              </w:tc>
            </w:tr>
            <w:tr w14:paraId="7FE8B2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continue"/>
                  <w:tcBorders>
                    <w:tl2br w:val="nil"/>
                    <w:tr2bl w:val="nil"/>
                  </w:tcBorders>
                  <w:noWrap w:val="0"/>
                  <w:tcMar>
                    <w:top w:w="0" w:type="dxa"/>
                    <w:left w:w="0" w:type="dxa"/>
                    <w:bottom w:w="0" w:type="dxa"/>
                    <w:right w:w="0" w:type="dxa"/>
                  </w:tcMar>
                  <w:vAlign w:val="center"/>
                </w:tcPr>
                <w:p w14:paraId="3498C65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p>
              </w:tc>
              <w:tc>
                <w:tcPr>
                  <w:tcW w:w="745" w:type="pct"/>
                  <w:vMerge w:val="continue"/>
                  <w:tcBorders>
                    <w:tl2br w:val="nil"/>
                    <w:tr2bl w:val="nil"/>
                  </w:tcBorders>
                  <w:noWrap w:val="0"/>
                  <w:tcMar>
                    <w:top w:w="0" w:type="dxa"/>
                    <w:left w:w="0" w:type="dxa"/>
                    <w:bottom w:w="0" w:type="dxa"/>
                    <w:right w:w="0" w:type="dxa"/>
                  </w:tcMar>
                  <w:vAlign w:val="center"/>
                </w:tcPr>
                <w:p w14:paraId="620E13A7">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37" w:type="pct"/>
                  <w:tcBorders>
                    <w:tl2br w:val="nil"/>
                    <w:tr2bl w:val="nil"/>
                  </w:tcBorders>
                  <w:noWrap w:val="0"/>
                  <w:tcMar>
                    <w:top w:w="0" w:type="dxa"/>
                    <w:left w:w="0" w:type="dxa"/>
                    <w:bottom w:w="0" w:type="dxa"/>
                    <w:right w:w="0" w:type="dxa"/>
                  </w:tcMar>
                  <w:vAlign w:val="center"/>
                </w:tcPr>
                <w:p w14:paraId="7516433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总氮</w:t>
                  </w:r>
                </w:p>
              </w:tc>
              <w:tc>
                <w:tcPr>
                  <w:tcW w:w="519" w:type="pct"/>
                  <w:tcBorders>
                    <w:tl2br w:val="nil"/>
                    <w:tr2bl w:val="nil"/>
                  </w:tcBorders>
                  <w:noWrap w:val="0"/>
                  <w:tcMar>
                    <w:top w:w="0" w:type="dxa"/>
                    <w:left w:w="0" w:type="dxa"/>
                    <w:bottom w:w="0" w:type="dxa"/>
                    <w:right w:w="0" w:type="dxa"/>
                  </w:tcMar>
                  <w:vAlign w:val="center"/>
                </w:tcPr>
                <w:p w14:paraId="1ECC8D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r>
                    <w:rPr>
                      <w:rFonts w:hint="default" w:ascii="Times New Roman" w:hAnsi="Times New Roman" w:eastAsia="宋体" w:cs="Times New Roman"/>
                      <w:b w:val="0"/>
                      <w:bCs w:val="0"/>
                      <w:color w:val="auto"/>
                      <w:sz w:val="21"/>
                      <w:szCs w:val="21"/>
                      <w:vertAlign w:val="baseline"/>
                      <w:lang w:val="en-US" w:eastAsia="zh-CN"/>
                    </w:rPr>
                    <w:t>mg/L</w:t>
                  </w:r>
                </w:p>
              </w:tc>
              <w:tc>
                <w:tcPr>
                  <w:tcW w:w="556" w:type="pct"/>
                  <w:tcBorders>
                    <w:tl2br w:val="nil"/>
                    <w:tr2bl w:val="nil"/>
                  </w:tcBorders>
                  <w:noWrap w:val="0"/>
                  <w:tcMar>
                    <w:top w:w="0" w:type="dxa"/>
                    <w:left w:w="0" w:type="dxa"/>
                    <w:bottom w:w="0" w:type="dxa"/>
                    <w:right w:w="0" w:type="dxa"/>
                  </w:tcMar>
                  <w:vAlign w:val="center"/>
                </w:tcPr>
                <w:p w14:paraId="680CC7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6.29</w:t>
                  </w:r>
                </w:p>
              </w:tc>
              <w:tc>
                <w:tcPr>
                  <w:tcW w:w="556" w:type="pct"/>
                  <w:tcBorders>
                    <w:tl2br w:val="nil"/>
                    <w:tr2bl w:val="nil"/>
                  </w:tcBorders>
                  <w:noWrap w:val="0"/>
                  <w:tcMar>
                    <w:top w:w="0" w:type="dxa"/>
                    <w:left w:w="0" w:type="dxa"/>
                    <w:bottom w:w="0" w:type="dxa"/>
                    <w:right w:w="0" w:type="dxa"/>
                  </w:tcMar>
                  <w:vAlign w:val="center"/>
                </w:tcPr>
                <w:p w14:paraId="713EDA6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7.26</w:t>
                  </w:r>
                </w:p>
              </w:tc>
              <w:tc>
                <w:tcPr>
                  <w:tcW w:w="556" w:type="pct"/>
                  <w:tcBorders>
                    <w:tl2br w:val="nil"/>
                    <w:tr2bl w:val="nil"/>
                  </w:tcBorders>
                  <w:noWrap w:val="0"/>
                  <w:tcMar>
                    <w:top w:w="0" w:type="dxa"/>
                    <w:left w:w="0" w:type="dxa"/>
                    <w:bottom w:w="0" w:type="dxa"/>
                    <w:right w:w="0" w:type="dxa"/>
                  </w:tcMar>
                  <w:vAlign w:val="center"/>
                </w:tcPr>
                <w:p w14:paraId="78319F3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6.76</w:t>
                  </w:r>
                </w:p>
              </w:tc>
              <w:tc>
                <w:tcPr>
                  <w:tcW w:w="535" w:type="pct"/>
                  <w:tcBorders>
                    <w:tl2br w:val="nil"/>
                    <w:tr2bl w:val="nil"/>
                  </w:tcBorders>
                  <w:noWrap w:val="0"/>
                  <w:tcMar>
                    <w:top w:w="0" w:type="dxa"/>
                    <w:left w:w="0" w:type="dxa"/>
                    <w:bottom w:w="0" w:type="dxa"/>
                    <w:right w:w="0" w:type="dxa"/>
                  </w:tcMar>
                  <w:vAlign w:val="center"/>
                </w:tcPr>
                <w:p w14:paraId="6342A10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7.78</w:t>
                  </w:r>
                </w:p>
              </w:tc>
            </w:tr>
            <w:tr w14:paraId="37D68A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restart"/>
                  <w:tcBorders>
                    <w:tl2br w:val="nil"/>
                    <w:tr2bl w:val="nil"/>
                  </w:tcBorders>
                  <w:noWrap w:val="0"/>
                  <w:tcMar>
                    <w:top w:w="0" w:type="dxa"/>
                    <w:left w:w="0" w:type="dxa"/>
                    <w:bottom w:w="0" w:type="dxa"/>
                    <w:right w:w="0" w:type="dxa"/>
                  </w:tcMar>
                  <w:vAlign w:val="center"/>
                </w:tcPr>
                <w:p w14:paraId="127606B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2022.01.08</w:t>
                  </w:r>
                </w:p>
              </w:tc>
              <w:tc>
                <w:tcPr>
                  <w:tcW w:w="745" w:type="pct"/>
                  <w:vMerge w:val="continue"/>
                  <w:tcBorders>
                    <w:tl2br w:val="nil"/>
                    <w:tr2bl w:val="nil"/>
                  </w:tcBorders>
                  <w:noWrap w:val="0"/>
                  <w:tcMar>
                    <w:top w:w="0" w:type="dxa"/>
                    <w:left w:w="0" w:type="dxa"/>
                    <w:bottom w:w="0" w:type="dxa"/>
                    <w:right w:w="0" w:type="dxa"/>
                  </w:tcMar>
                  <w:vAlign w:val="center"/>
                </w:tcPr>
                <w:p w14:paraId="6C9A714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37" w:type="pct"/>
                  <w:tcBorders>
                    <w:tl2br w:val="nil"/>
                    <w:tr2bl w:val="nil"/>
                  </w:tcBorders>
                  <w:noWrap w:val="0"/>
                  <w:tcMar>
                    <w:top w:w="0" w:type="dxa"/>
                    <w:left w:w="0" w:type="dxa"/>
                    <w:bottom w:w="0" w:type="dxa"/>
                    <w:right w:w="0" w:type="dxa"/>
                  </w:tcMar>
                  <w:vAlign w:val="center"/>
                </w:tcPr>
                <w:p w14:paraId="2C9F41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pH值</w:t>
                  </w:r>
                </w:p>
              </w:tc>
              <w:tc>
                <w:tcPr>
                  <w:tcW w:w="519" w:type="pct"/>
                  <w:tcBorders>
                    <w:tl2br w:val="nil"/>
                    <w:tr2bl w:val="nil"/>
                  </w:tcBorders>
                  <w:noWrap w:val="0"/>
                  <w:tcMar>
                    <w:top w:w="0" w:type="dxa"/>
                    <w:left w:w="0" w:type="dxa"/>
                    <w:bottom w:w="0" w:type="dxa"/>
                    <w:right w:w="0" w:type="dxa"/>
                  </w:tcMar>
                  <w:vAlign w:val="center"/>
                </w:tcPr>
                <w:p w14:paraId="315A443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无量纲</w:t>
                  </w:r>
                </w:p>
              </w:tc>
              <w:tc>
                <w:tcPr>
                  <w:tcW w:w="556" w:type="pct"/>
                  <w:tcBorders>
                    <w:tl2br w:val="nil"/>
                    <w:tr2bl w:val="nil"/>
                  </w:tcBorders>
                  <w:noWrap w:val="0"/>
                  <w:tcMar>
                    <w:top w:w="0" w:type="dxa"/>
                    <w:left w:w="0" w:type="dxa"/>
                    <w:bottom w:w="0" w:type="dxa"/>
                    <w:right w:w="0" w:type="dxa"/>
                  </w:tcMar>
                  <w:vAlign w:val="center"/>
                </w:tcPr>
                <w:p w14:paraId="08DD594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7.4</w:t>
                  </w:r>
                </w:p>
              </w:tc>
              <w:tc>
                <w:tcPr>
                  <w:tcW w:w="556" w:type="pct"/>
                  <w:tcBorders>
                    <w:tl2br w:val="nil"/>
                    <w:tr2bl w:val="nil"/>
                  </w:tcBorders>
                  <w:noWrap w:val="0"/>
                  <w:tcMar>
                    <w:top w:w="0" w:type="dxa"/>
                    <w:left w:w="0" w:type="dxa"/>
                    <w:bottom w:w="0" w:type="dxa"/>
                    <w:right w:w="0" w:type="dxa"/>
                  </w:tcMar>
                  <w:vAlign w:val="center"/>
                </w:tcPr>
                <w:p w14:paraId="50F321F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7.4</w:t>
                  </w:r>
                </w:p>
              </w:tc>
              <w:tc>
                <w:tcPr>
                  <w:tcW w:w="556" w:type="pct"/>
                  <w:tcBorders>
                    <w:tl2br w:val="nil"/>
                    <w:tr2bl w:val="nil"/>
                  </w:tcBorders>
                  <w:noWrap w:val="0"/>
                  <w:tcMar>
                    <w:top w:w="0" w:type="dxa"/>
                    <w:left w:w="0" w:type="dxa"/>
                    <w:bottom w:w="0" w:type="dxa"/>
                    <w:right w:w="0" w:type="dxa"/>
                  </w:tcMar>
                  <w:vAlign w:val="center"/>
                </w:tcPr>
                <w:p w14:paraId="6D8D745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7.5</w:t>
                  </w:r>
                </w:p>
              </w:tc>
              <w:tc>
                <w:tcPr>
                  <w:tcW w:w="535" w:type="pct"/>
                  <w:tcBorders>
                    <w:tl2br w:val="nil"/>
                    <w:tr2bl w:val="nil"/>
                  </w:tcBorders>
                  <w:noWrap w:val="0"/>
                  <w:tcMar>
                    <w:top w:w="0" w:type="dxa"/>
                    <w:left w:w="0" w:type="dxa"/>
                    <w:bottom w:w="0" w:type="dxa"/>
                    <w:right w:w="0" w:type="dxa"/>
                  </w:tcMar>
                  <w:vAlign w:val="center"/>
                </w:tcPr>
                <w:p w14:paraId="729D9A4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7.5</w:t>
                  </w:r>
                </w:p>
              </w:tc>
            </w:tr>
            <w:tr w14:paraId="2AE4AF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continue"/>
                  <w:tcBorders>
                    <w:tl2br w:val="nil"/>
                    <w:tr2bl w:val="nil"/>
                  </w:tcBorders>
                  <w:noWrap w:val="0"/>
                  <w:tcMar>
                    <w:top w:w="0" w:type="dxa"/>
                    <w:left w:w="0" w:type="dxa"/>
                    <w:bottom w:w="0" w:type="dxa"/>
                    <w:right w:w="0" w:type="dxa"/>
                  </w:tcMar>
                  <w:vAlign w:val="center"/>
                </w:tcPr>
                <w:p w14:paraId="3D542AC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p>
              </w:tc>
              <w:tc>
                <w:tcPr>
                  <w:tcW w:w="745" w:type="pct"/>
                  <w:vMerge w:val="continue"/>
                  <w:tcBorders>
                    <w:tl2br w:val="nil"/>
                    <w:tr2bl w:val="nil"/>
                  </w:tcBorders>
                  <w:noWrap w:val="0"/>
                  <w:tcMar>
                    <w:top w:w="0" w:type="dxa"/>
                    <w:left w:w="0" w:type="dxa"/>
                    <w:bottom w:w="0" w:type="dxa"/>
                    <w:right w:w="0" w:type="dxa"/>
                  </w:tcMar>
                  <w:vAlign w:val="center"/>
                </w:tcPr>
                <w:p w14:paraId="282124B7">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37" w:type="pct"/>
                  <w:tcBorders>
                    <w:tl2br w:val="nil"/>
                    <w:tr2bl w:val="nil"/>
                  </w:tcBorders>
                  <w:noWrap w:val="0"/>
                  <w:tcMar>
                    <w:top w:w="0" w:type="dxa"/>
                    <w:left w:w="0" w:type="dxa"/>
                    <w:bottom w:w="0" w:type="dxa"/>
                    <w:right w:w="0" w:type="dxa"/>
                  </w:tcMar>
                  <w:vAlign w:val="center"/>
                </w:tcPr>
                <w:p w14:paraId="313F2F5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化学需氧量</w:t>
                  </w:r>
                </w:p>
              </w:tc>
              <w:tc>
                <w:tcPr>
                  <w:tcW w:w="519" w:type="pct"/>
                  <w:tcBorders>
                    <w:tl2br w:val="nil"/>
                    <w:tr2bl w:val="nil"/>
                  </w:tcBorders>
                  <w:noWrap w:val="0"/>
                  <w:tcMar>
                    <w:top w:w="0" w:type="dxa"/>
                    <w:left w:w="0" w:type="dxa"/>
                    <w:bottom w:w="0" w:type="dxa"/>
                    <w:right w:w="0" w:type="dxa"/>
                  </w:tcMar>
                  <w:vAlign w:val="center"/>
                </w:tcPr>
                <w:p w14:paraId="209FB1D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mg/L</w:t>
                  </w:r>
                </w:p>
              </w:tc>
              <w:tc>
                <w:tcPr>
                  <w:tcW w:w="556" w:type="pct"/>
                  <w:tcBorders>
                    <w:tl2br w:val="nil"/>
                    <w:tr2bl w:val="nil"/>
                  </w:tcBorders>
                  <w:noWrap w:val="0"/>
                  <w:tcMar>
                    <w:top w:w="0" w:type="dxa"/>
                    <w:left w:w="0" w:type="dxa"/>
                    <w:bottom w:w="0" w:type="dxa"/>
                    <w:right w:w="0" w:type="dxa"/>
                  </w:tcMar>
                  <w:vAlign w:val="center"/>
                </w:tcPr>
                <w:p w14:paraId="53E5DB6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109</w:t>
                  </w:r>
                </w:p>
              </w:tc>
              <w:tc>
                <w:tcPr>
                  <w:tcW w:w="556" w:type="pct"/>
                  <w:tcBorders>
                    <w:tl2br w:val="nil"/>
                    <w:tr2bl w:val="nil"/>
                  </w:tcBorders>
                  <w:noWrap w:val="0"/>
                  <w:tcMar>
                    <w:top w:w="0" w:type="dxa"/>
                    <w:left w:w="0" w:type="dxa"/>
                    <w:bottom w:w="0" w:type="dxa"/>
                    <w:right w:w="0" w:type="dxa"/>
                  </w:tcMar>
                  <w:vAlign w:val="center"/>
                </w:tcPr>
                <w:p w14:paraId="1A7C3CA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113</w:t>
                  </w:r>
                </w:p>
              </w:tc>
              <w:tc>
                <w:tcPr>
                  <w:tcW w:w="556" w:type="pct"/>
                  <w:tcBorders>
                    <w:tl2br w:val="nil"/>
                    <w:tr2bl w:val="nil"/>
                  </w:tcBorders>
                  <w:noWrap w:val="0"/>
                  <w:tcMar>
                    <w:top w:w="0" w:type="dxa"/>
                    <w:left w:w="0" w:type="dxa"/>
                    <w:bottom w:w="0" w:type="dxa"/>
                    <w:right w:w="0" w:type="dxa"/>
                  </w:tcMar>
                  <w:vAlign w:val="center"/>
                </w:tcPr>
                <w:p w14:paraId="65DA1C2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94</w:t>
                  </w:r>
                </w:p>
              </w:tc>
              <w:tc>
                <w:tcPr>
                  <w:tcW w:w="535" w:type="pct"/>
                  <w:tcBorders>
                    <w:tl2br w:val="nil"/>
                    <w:tr2bl w:val="nil"/>
                  </w:tcBorders>
                  <w:noWrap w:val="0"/>
                  <w:tcMar>
                    <w:top w:w="0" w:type="dxa"/>
                    <w:left w:w="0" w:type="dxa"/>
                    <w:bottom w:w="0" w:type="dxa"/>
                    <w:right w:w="0" w:type="dxa"/>
                  </w:tcMar>
                  <w:vAlign w:val="center"/>
                </w:tcPr>
                <w:p w14:paraId="216B32A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104</w:t>
                  </w:r>
                </w:p>
              </w:tc>
            </w:tr>
            <w:tr w14:paraId="4BDE78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continue"/>
                  <w:tcBorders>
                    <w:tl2br w:val="nil"/>
                    <w:tr2bl w:val="nil"/>
                  </w:tcBorders>
                  <w:noWrap w:val="0"/>
                  <w:tcMar>
                    <w:top w:w="0" w:type="dxa"/>
                    <w:left w:w="0" w:type="dxa"/>
                    <w:bottom w:w="0" w:type="dxa"/>
                    <w:right w:w="0" w:type="dxa"/>
                  </w:tcMar>
                  <w:vAlign w:val="center"/>
                </w:tcPr>
                <w:p w14:paraId="7110755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p>
              </w:tc>
              <w:tc>
                <w:tcPr>
                  <w:tcW w:w="745" w:type="pct"/>
                  <w:vMerge w:val="continue"/>
                  <w:tcBorders>
                    <w:tl2br w:val="nil"/>
                    <w:tr2bl w:val="nil"/>
                  </w:tcBorders>
                  <w:noWrap w:val="0"/>
                  <w:tcMar>
                    <w:top w:w="0" w:type="dxa"/>
                    <w:left w:w="0" w:type="dxa"/>
                    <w:bottom w:w="0" w:type="dxa"/>
                    <w:right w:w="0" w:type="dxa"/>
                  </w:tcMar>
                  <w:vAlign w:val="center"/>
                </w:tcPr>
                <w:p w14:paraId="560FEA54">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37" w:type="pct"/>
                  <w:tcBorders>
                    <w:tl2br w:val="nil"/>
                    <w:tr2bl w:val="nil"/>
                  </w:tcBorders>
                  <w:noWrap w:val="0"/>
                  <w:tcMar>
                    <w:top w:w="0" w:type="dxa"/>
                    <w:left w:w="0" w:type="dxa"/>
                    <w:bottom w:w="0" w:type="dxa"/>
                    <w:right w:w="0" w:type="dxa"/>
                  </w:tcMar>
                  <w:vAlign w:val="center"/>
                </w:tcPr>
                <w:p w14:paraId="0006A3E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悬浮物</w:t>
                  </w:r>
                </w:p>
              </w:tc>
              <w:tc>
                <w:tcPr>
                  <w:tcW w:w="519" w:type="pct"/>
                  <w:tcBorders>
                    <w:tl2br w:val="nil"/>
                    <w:tr2bl w:val="nil"/>
                  </w:tcBorders>
                  <w:noWrap w:val="0"/>
                  <w:tcMar>
                    <w:top w:w="0" w:type="dxa"/>
                    <w:left w:w="0" w:type="dxa"/>
                    <w:bottom w:w="0" w:type="dxa"/>
                    <w:right w:w="0" w:type="dxa"/>
                  </w:tcMar>
                  <w:vAlign w:val="center"/>
                </w:tcPr>
                <w:p w14:paraId="13194C7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mg/L</w:t>
                  </w:r>
                </w:p>
              </w:tc>
              <w:tc>
                <w:tcPr>
                  <w:tcW w:w="556" w:type="pct"/>
                  <w:tcBorders>
                    <w:tl2br w:val="nil"/>
                    <w:tr2bl w:val="nil"/>
                  </w:tcBorders>
                  <w:noWrap w:val="0"/>
                  <w:tcMar>
                    <w:top w:w="0" w:type="dxa"/>
                    <w:left w:w="0" w:type="dxa"/>
                    <w:bottom w:w="0" w:type="dxa"/>
                    <w:right w:w="0" w:type="dxa"/>
                  </w:tcMar>
                  <w:vAlign w:val="center"/>
                </w:tcPr>
                <w:p w14:paraId="2F21F91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73</w:t>
                  </w:r>
                </w:p>
              </w:tc>
              <w:tc>
                <w:tcPr>
                  <w:tcW w:w="556" w:type="pct"/>
                  <w:tcBorders>
                    <w:tl2br w:val="nil"/>
                    <w:tr2bl w:val="nil"/>
                  </w:tcBorders>
                  <w:noWrap w:val="0"/>
                  <w:tcMar>
                    <w:top w:w="0" w:type="dxa"/>
                    <w:left w:w="0" w:type="dxa"/>
                    <w:bottom w:w="0" w:type="dxa"/>
                    <w:right w:w="0" w:type="dxa"/>
                  </w:tcMar>
                  <w:vAlign w:val="center"/>
                </w:tcPr>
                <w:p w14:paraId="3250297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84</w:t>
                  </w:r>
                </w:p>
              </w:tc>
              <w:tc>
                <w:tcPr>
                  <w:tcW w:w="556" w:type="pct"/>
                  <w:tcBorders>
                    <w:tl2br w:val="nil"/>
                    <w:tr2bl w:val="nil"/>
                  </w:tcBorders>
                  <w:noWrap w:val="0"/>
                  <w:tcMar>
                    <w:top w:w="0" w:type="dxa"/>
                    <w:left w:w="0" w:type="dxa"/>
                    <w:bottom w:w="0" w:type="dxa"/>
                    <w:right w:w="0" w:type="dxa"/>
                  </w:tcMar>
                  <w:vAlign w:val="center"/>
                </w:tcPr>
                <w:p w14:paraId="1966F2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75</w:t>
                  </w:r>
                </w:p>
              </w:tc>
              <w:tc>
                <w:tcPr>
                  <w:tcW w:w="535" w:type="pct"/>
                  <w:tcBorders>
                    <w:tl2br w:val="nil"/>
                    <w:tr2bl w:val="nil"/>
                  </w:tcBorders>
                  <w:noWrap w:val="0"/>
                  <w:tcMar>
                    <w:top w:w="0" w:type="dxa"/>
                    <w:left w:w="0" w:type="dxa"/>
                    <w:bottom w:w="0" w:type="dxa"/>
                    <w:right w:w="0" w:type="dxa"/>
                  </w:tcMar>
                  <w:vAlign w:val="center"/>
                </w:tcPr>
                <w:p w14:paraId="26551D2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89</w:t>
                  </w:r>
                </w:p>
              </w:tc>
            </w:tr>
            <w:tr w14:paraId="697BB8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continue"/>
                  <w:tcBorders>
                    <w:tl2br w:val="nil"/>
                    <w:tr2bl w:val="nil"/>
                  </w:tcBorders>
                  <w:noWrap w:val="0"/>
                  <w:tcMar>
                    <w:top w:w="0" w:type="dxa"/>
                    <w:left w:w="0" w:type="dxa"/>
                    <w:bottom w:w="0" w:type="dxa"/>
                    <w:right w:w="0" w:type="dxa"/>
                  </w:tcMar>
                  <w:vAlign w:val="center"/>
                </w:tcPr>
                <w:p w14:paraId="3E01B01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p>
              </w:tc>
              <w:tc>
                <w:tcPr>
                  <w:tcW w:w="745" w:type="pct"/>
                  <w:vMerge w:val="continue"/>
                  <w:tcBorders>
                    <w:tl2br w:val="nil"/>
                    <w:tr2bl w:val="nil"/>
                  </w:tcBorders>
                  <w:noWrap w:val="0"/>
                  <w:tcMar>
                    <w:top w:w="0" w:type="dxa"/>
                    <w:left w:w="0" w:type="dxa"/>
                    <w:bottom w:w="0" w:type="dxa"/>
                    <w:right w:w="0" w:type="dxa"/>
                  </w:tcMar>
                  <w:vAlign w:val="center"/>
                </w:tcPr>
                <w:p w14:paraId="5CFC2C21">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37" w:type="pct"/>
                  <w:tcBorders>
                    <w:tl2br w:val="nil"/>
                    <w:tr2bl w:val="nil"/>
                  </w:tcBorders>
                  <w:noWrap w:val="0"/>
                  <w:tcMar>
                    <w:top w:w="0" w:type="dxa"/>
                    <w:left w:w="0" w:type="dxa"/>
                    <w:bottom w:w="0" w:type="dxa"/>
                    <w:right w:w="0" w:type="dxa"/>
                  </w:tcMar>
                  <w:vAlign w:val="center"/>
                </w:tcPr>
                <w:p w14:paraId="49181E1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氨氮</w:t>
                  </w:r>
                </w:p>
              </w:tc>
              <w:tc>
                <w:tcPr>
                  <w:tcW w:w="519" w:type="pct"/>
                  <w:tcBorders>
                    <w:tl2br w:val="nil"/>
                    <w:tr2bl w:val="nil"/>
                  </w:tcBorders>
                  <w:noWrap w:val="0"/>
                  <w:tcMar>
                    <w:top w:w="0" w:type="dxa"/>
                    <w:left w:w="0" w:type="dxa"/>
                    <w:bottom w:w="0" w:type="dxa"/>
                    <w:right w:w="0" w:type="dxa"/>
                  </w:tcMar>
                  <w:vAlign w:val="center"/>
                </w:tcPr>
                <w:p w14:paraId="77971BD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mg/L</w:t>
                  </w:r>
                </w:p>
              </w:tc>
              <w:tc>
                <w:tcPr>
                  <w:tcW w:w="556" w:type="pct"/>
                  <w:tcBorders>
                    <w:tl2br w:val="nil"/>
                    <w:tr2bl w:val="nil"/>
                  </w:tcBorders>
                  <w:noWrap w:val="0"/>
                  <w:tcMar>
                    <w:top w:w="0" w:type="dxa"/>
                    <w:left w:w="0" w:type="dxa"/>
                    <w:bottom w:w="0" w:type="dxa"/>
                    <w:right w:w="0" w:type="dxa"/>
                  </w:tcMar>
                  <w:vAlign w:val="center"/>
                </w:tcPr>
                <w:p w14:paraId="6EA9A7C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2.75</w:t>
                  </w:r>
                </w:p>
              </w:tc>
              <w:tc>
                <w:tcPr>
                  <w:tcW w:w="556" w:type="pct"/>
                  <w:tcBorders>
                    <w:tl2br w:val="nil"/>
                    <w:tr2bl w:val="nil"/>
                  </w:tcBorders>
                  <w:noWrap w:val="0"/>
                  <w:tcMar>
                    <w:top w:w="0" w:type="dxa"/>
                    <w:left w:w="0" w:type="dxa"/>
                    <w:bottom w:w="0" w:type="dxa"/>
                    <w:right w:w="0" w:type="dxa"/>
                  </w:tcMar>
                  <w:vAlign w:val="center"/>
                </w:tcPr>
                <w:p w14:paraId="276D97D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2.63</w:t>
                  </w:r>
                </w:p>
              </w:tc>
              <w:tc>
                <w:tcPr>
                  <w:tcW w:w="556" w:type="pct"/>
                  <w:tcBorders>
                    <w:tl2br w:val="nil"/>
                    <w:tr2bl w:val="nil"/>
                  </w:tcBorders>
                  <w:noWrap w:val="0"/>
                  <w:tcMar>
                    <w:top w:w="0" w:type="dxa"/>
                    <w:left w:w="0" w:type="dxa"/>
                    <w:bottom w:w="0" w:type="dxa"/>
                    <w:right w:w="0" w:type="dxa"/>
                  </w:tcMar>
                  <w:vAlign w:val="center"/>
                </w:tcPr>
                <w:p w14:paraId="0FC1601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2.88</w:t>
                  </w:r>
                </w:p>
              </w:tc>
              <w:tc>
                <w:tcPr>
                  <w:tcW w:w="535" w:type="pct"/>
                  <w:tcBorders>
                    <w:tl2br w:val="nil"/>
                    <w:tr2bl w:val="nil"/>
                  </w:tcBorders>
                  <w:noWrap w:val="0"/>
                  <w:tcMar>
                    <w:top w:w="0" w:type="dxa"/>
                    <w:left w:w="0" w:type="dxa"/>
                    <w:bottom w:w="0" w:type="dxa"/>
                    <w:right w:w="0" w:type="dxa"/>
                  </w:tcMar>
                  <w:vAlign w:val="center"/>
                </w:tcPr>
                <w:p w14:paraId="5DDF126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2.58</w:t>
                  </w:r>
                </w:p>
              </w:tc>
            </w:tr>
            <w:tr w14:paraId="5DEEBC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continue"/>
                  <w:tcBorders>
                    <w:tl2br w:val="nil"/>
                    <w:tr2bl w:val="nil"/>
                  </w:tcBorders>
                  <w:noWrap w:val="0"/>
                  <w:tcMar>
                    <w:top w:w="0" w:type="dxa"/>
                    <w:left w:w="0" w:type="dxa"/>
                    <w:bottom w:w="0" w:type="dxa"/>
                    <w:right w:w="0" w:type="dxa"/>
                  </w:tcMar>
                  <w:vAlign w:val="center"/>
                </w:tcPr>
                <w:p w14:paraId="591DCE8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p>
              </w:tc>
              <w:tc>
                <w:tcPr>
                  <w:tcW w:w="745" w:type="pct"/>
                  <w:vMerge w:val="continue"/>
                  <w:tcBorders>
                    <w:tl2br w:val="nil"/>
                    <w:tr2bl w:val="nil"/>
                  </w:tcBorders>
                  <w:noWrap w:val="0"/>
                  <w:tcMar>
                    <w:top w:w="0" w:type="dxa"/>
                    <w:left w:w="0" w:type="dxa"/>
                    <w:bottom w:w="0" w:type="dxa"/>
                    <w:right w:w="0" w:type="dxa"/>
                  </w:tcMar>
                  <w:vAlign w:val="center"/>
                </w:tcPr>
                <w:p w14:paraId="6C716CA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37" w:type="pct"/>
                  <w:tcBorders>
                    <w:tl2br w:val="nil"/>
                    <w:tr2bl w:val="nil"/>
                  </w:tcBorders>
                  <w:noWrap w:val="0"/>
                  <w:tcMar>
                    <w:top w:w="0" w:type="dxa"/>
                    <w:left w:w="0" w:type="dxa"/>
                    <w:bottom w:w="0" w:type="dxa"/>
                    <w:right w:w="0" w:type="dxa"/>
                  </w:tcMar>
                  <w:vAlign w:val="center"/>
                </w:tcPr>
                <w:p w14:paraId="419DA11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i w:val="0"/>
                      <w:color w:val="auto"/>
                      <w:kern w:val="0"/>
                      <w:sz w:val="21"/>
                      <w:szCs w:val="21"/>
                      <w:u w:val="none"/>
                      <w:lang w:val="en-US" w:eastAsia="zh-CN" w:bidi="ar"/>
                    </w:rPr>
                    <w:t>总磷</w:t>
                  </w:r>
                </w:p>
              </w:tc>
              <w:tc>
                <w:tcPr>
                  <w:tcW w:w="519" w:type="pct"/>
                  <w:tcBorders>
                    <w:tl2br w:val="nil"/>
                    <w:tr2bl w:val="nil"/>
                  </w:tcBorders>
                  <w:noWrap w:val="0"/>
                  <w:tcMar>
                    <w:top w:w="0" w:type="dxa"/>
                    <w:left w:w="0" w:type="dxa"/>
                    <w:bottom w:w="0" w:type="dxa"/>
                    <w:right w:w="0" w:type="dxa"/>
                  </w:tcMar>
                  <w:vAlign w:val="center"/>
                </w:tcPr>
                <w:p w14:paraId="0800EE7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mg/L</w:t>
                  </w:r>
                </w:p>
              </w:tc>
              <w:tc>
                <w:tcPr>
                  <w:tcW w:w="556" w:type="pct"/>
                  <w:tcBorders>
                    <w:tl2br w:val="nil"/>
                    <w:tr2bl w:val="nil"/>
                  </w:tcBorders>
                  <w:noWrap w:val="0"/>
                  <w:tcMar>
                    <w:top w:w="0" w:type="dxa"/>
                    <w:left w:w="0" w:type="dxa"/>
                    <w:bottom w:w="0" w:type="dxa"/>
                    <w:right w:w="0" w:type="dxa"/>
                  </w:tcMar>
                  <w:vAlign w:val="center"/>
                </w:tcPr>
                <w:p w14:paraId="07EAF0D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0.65</w:t>
                  </w:r>
                </w:p>
              </w:tc>
              <w:tc>
                <w:tcPr>
                  <w:tcW w:w="556" w:type="pct"/>
                  <w:tcBorders>
                    <w:tl2br w:val="nil"/>
                    <w:tr2bl w:val="nil"/>
                  </w:tcBorders>
                  <w:noWrap w:val="0"/>
                  <w:tcMar>
                    <w:top w:w="0" w:type="dxa"/>
                    <w:left w:w="0" w:type="dxa"/>
                    <w:bottom w:w="0" w:type="dxa"/>
                    <w:right w:w="0" w:type="dxa"/>
                  </w:tcMar>
                  <w:vAlign w:val="center"/>
                </w:tcPr>
                <w:p w14:paraId="4CCDBC5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0.49</w:t>
                  </w:r>
                </w:p>
              </w:tc>
              <w:tc>
                <w:tcPr>
                  <w:tcW w:w="556" w:type="pct"/>
                  <w:tcBorders>
                    <w:tl2br w:val="nil"/>
                    <w:tr2bl w:val="nil"/>
                  </w:tcBorders>
                  <w:noWrap w:val="0"/>
                  <w:tcMar>
                    <w:top w:w="0" w:type="dxa"/>
                    <w:left w:w="0" w:type="dxa"/>
                    <w:bottom w:w="0" w:type="dxa"/>
                    <w:right w:w="0" w:type="dxa"/>
                  </w:tcMar>
                  <w:vAlign w:val="center"/>
                </w:tcPr>
                <w:p w14:paraId="0E8A116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0.53</w:t>
                  </w:r>
                </w:p>
              </w:tc>
              <w:tc>
                <w:tcPr>
                  <w:tcW w:w="535" w:type="pct"/>
                  <w:tcBorders>
                    <w:tl2br w:val="nil"/>
                    <w:tr2bl w:val="nil"/>
                  </w:tcBorders>
                  <w:noWrap w:val="0"/>
                  <w:tcMar>
                    <w:top w:w="0" w:type="dxa"/>
                    <w:left w:w="0" w:type="dxa"/>
                    <w:bottom w:w="0" w:type="dxa"/>
                    <w:right w:w="0" w:type="dxa"/>
                  </w:tcMar>
                  <w:vAlign w:val="center"/>
                </w:tcPr>
                <w:p w14:paraId="4BB8D78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0.42</w:t>
                  </w:r>
                </w:p>
              </w:tc>
            </w:tr>
            <w:tr w14:paraId="5DD966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92" w:type="pct"/>
                  <w:vMerge w:val="continue"/>
                  <w:tcBorders>
                    <w:tl2br w:val="nil"/>
                    <w:tr2bl w:val="nil"/>
                  </w:tcBorders>
                  <w:noWrap w:val="0"/>
                  <w:tcMar>
                    <w:top w:w="0" w:type="dxa"/>
                    <w:left w:w="0" w:type="dxa"/>
                    <w:bottom w:w="0" w:type="dxa"/>
                    <w:right w:w="0" w:type="dxa"/>
                  </w:tcMar>
                  <w:vAlign w:val="center"/>
                </w:tcPr>
                <w:p w14:paraId="3B4994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p>
              </w:tc>
              <w:tc>
                <w:tcPr>
                  <w:tcW w:w="745" w:type="pct"/>
                  <w:vMerge w:val="continue"/>
                  <w:tcBorders>
                    <w:tl2br w:val="nil"/>
                    <w:tr2bl w:val="nil"/>
                  </w:tcBorders>
                  <w:noWrap w:val="0"/>
                  <w:tcMar>
                    <w:top w:w="0" w:type="dxa"/>
                    <w:left w:w="0" w:type="dxa"/>
                    <w:bottom w:w="0" w:type="dxa"/>
                    <w:right w:w="0" w:type="dxa"/>
                  </w:tcMar>
                  <w:vAlign w:val="center"/>
                </w:tcPr>
                <w:p w14:paraId="73484BB5">
                  <w:pPr>
                    <w:keepNext w:val="0"/>
                    <w:keepLines w:val="0"/>
                    <w:pageBreakBefore w:val="0"/>
                    <w:widowControl/>
                    <w:suppressLineNumbers w:val="0"/>
                    <w:tabs>
                      <w:tab w:val="left" w:pos="12559"/>
                    </w:tabs>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vertAlign w:val="baseline"/>
                      <w:lang w:val="en-US" w:eastAsia="zh-CN"/>
                    </w:rPr>
                  </w:pPr>
                </w:p>
              </w:tc>
              <w:tc>
                <w:tcPr>
                  <w:tcW w:w="837" w:type="pct"/>
                  <w:tcBorders>
                    <w:tl2br w:val="nil"/>
                    <w:tr2bl w:val="nil"/>
                  </w:tcBorders>
                  <w:noWrap w:val="0"/>
                  <w:tcMar>
                    <w:top w:w="0" w:type="dxa"/>
                    <w:left w:w="0" w:type="dxa"/>
                    <w:bottom w:w="0" w:type="dxa"/>
                    <w:right w:w="0" w:type="dxa"/>
                  </w:tcMar>
                  <w:vAlign w:val="center"/>
                </w:tcPr>
                <w:p w14:paraId="360D404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auto"/>
                      <w:kern w:val="0"/>
                      <w:sz w:val="21"/>
                      <w:szCs w:val="21"/>
                      <w:u w:val="none"/>
                      <w:lang w:val="en-US" w:eastAsia="zh-CN" w:bidi="ar"/>
                    </w:rPr>
                    <w:t>总氮</w:t>
                  </w:r>
                </w:p>
              </w:tc>
              <w:tc>
                <w:tcPr>
                  <w:tcW w:w="519" w:type="pct"/>
                  <w:tcBorders>
                    <w:tl2br w:val="nil"/>
                    <w:tr2bl w:val="nil"/>
                  </w:tcBorders>
                  <w:noWrap w:val="0"/>
                  <w:tcMar>
                    <w:top w:w="0" w:type="dxa"/>
                    <w:left w:w="0" w:type="dxa"/>
                    <w:bottom w:w="0" w:type="dxa"/>
                    <w:right w:w="0" w:type="dxa"/>
                  </w:tcMar>
                  <w:vAlign w:val="center"/>
                </w:tcPr>
                <w:p w14:paraId="6D38403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mg/L</w:t>
                  </w:r>
                </w:p>
              </w:tc>
              <w:tc>
                <w:tcPr>
                  <w:tcW w:w="556" w:type="pct"/>
                  <w:tcBorders>
                    <w:tl2br w:val="nil"/>
                    <w:tr2bl w:val="nil"/>
                  </w:tcBorders>
                  <w:noWrap w:val="0"/>
                  <w:tcMar>
                    <w:top w:w="0" w:type="dxa"/>
                    <w:left w:w="0" w:type="dxa"/>
                    <w:bottom w:w="0" w:type="dxa"/>
                    <w:right w:w="0" w:type="dxa"/>
                  </w:tcMar>
                  <w:vAlign w:val="center"/>
                </w:tcPr>
                <w:p w14:paraId="059FE4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6.05</w:t>
                  </w:r>
                </w:p>
              </w:tc>
              <w:tc>
                <w:tcPr>
                  <w:tcW w:w="556" w:type="pct"/>
                  <w:tcBorders>
                    <w:tl2br w:val="nil"/>
                    <w:tr2bl w:val="nil"/>
                  </w:tcBorders>
                  <w:noWrap w:val="0"/>
                  <w:tcMar>
                    <w:top w:w="0" w:type="dxa"/>
                    <w:left w:w="0" w:type="dxa"/>
                    <w:bottom w:w="0" w:type="dxa"/>
                    <w:right w:w="0" w:type="dxa"/>
                  </w:tcMar>
                  <w:vAlign w:val="center"/>
                </w:tcPr>
                <w:p w14:paraId="234664E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5.50</w:t>
                  </w:r>
                </w:p>
              </w:tc>
              <w:tc>
                <w:tcPr>
                  <w:tcW w:w="556" w:type="pct"/>
                  <w:tcBorders>
                    <w:tl2br w:val="nil"/>
                    <w:tr2bl w:val="nil"/>
                  </w:tcBorders>
                  <w:noWrap w:val="0"/>
                  <w:tcMar>
                    <w:top w:w="0" w:type="dxa"/>
                    <w:left w:w="0" w:type="dxa"/>
                    <w:bottom w:w="0" w:type="dxa"/>
                    <w:right w:w="0" w:type="dxa"/>
                  </w:tcMar>
                  <w:vAlign w:val="center"/>
                </w:tcPr>
                <w:p w14:paraId="04D0ECA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6.63</w:t>
                  </w:r>
                </w:p>
              </w:tc>
              <w:tc>
                <w:tcPr>
                  <w:tcW w:w="535" w:type="pct"/>
                  <w:tcBorders>
                    <w:tl2br w:val="nil"/>
                    <w:tr2bl w:val="nil"/>
                  </w:tcBorders>
                  <w:noWrap w:val="0"/>
                  <w:tcMar>
                    <w:top w:w="0" w:type="dxa"/>
                    <w:left w:w="0" w:type="dxa"/>
                    <w:bottom w:w="0" w:type="dxa"/>
                    <w:right w:w="0" w:type="dxa"/>
                  </w:tcMar>
                  <w:vAlign w:val="center"/>
                </w:tcPr>
                <w:p w14:paraId="1B82F68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ascii="Times New Roman" w:hAnsi="Times New Roman" w:eastAsia="宋体" w:cs="Times New Roman"/>
                      <w:i w:val="0"/>
                      <w:color w:val="auto"/>
                      <w:kern w:val="0"/>
                      <w:sz w:val="21"/>
                      <w:szCs w:val="21"/>
                      <w:u w:val="none"/>
                      <w:lang w:val="en-US" w:eastAsia="zh-CN" w:bidi="ar"/>
                    </w:rPr>
                    <w:t>7.00</w:t>
                  </w:r>
                </w:p>
              </w:tc>
            </w:tr>
          </w:tbl>
          <w:p w14:paraId="0FE6F907">
            <w:pPr>
              <w:pStyle w:val="7"/>
              <w:adjustRightInd w:val="0"/>
              <w:snapToGrid w:val="0"/>
              <w:spacing w:before="120" w:beforeLines="50" w:line="360" w:lineRule="auto"/>
              <w:ind w:left="0" w:leftChars="0" w:firstLine="420" w:firstLineChars="200"/>
              <w:rPr>
                <w:rFonts w:hint="eastAsia" w:ascii="Times New Roman" w:hAnsi="Times New Roman" w:eastAsia="宋体" w:cs="Times New Roman"/>
                <w:b/>
                <w:bCs/>
                <w:color w:val="auto"/>
                <w:kern w:val="2"/>
                <w:sz w:val="21"/>
                <w:szCs w:val="21"/>
                <w:highlight w:val="none"/>
                <w:lang w:val="en-US" w:eastAsia="zh-CN" w:bidi="ar-SA"/>
              </w:rPr>
            </w:pPr>
            <w:r>
              <w:rPr>
                <w:rFonts w:hint="eastAsia" w:ascii="宋体" w:hAnsi="宋体" w:cs="宋体"/>
                <w:color w:val="auto"/>
                <w:sz w:val="21"/>
                <w:szCs w:val="21"/>
                <w:highlight w:val="none"/>
              </w:rPr>
              <w:t>监测结果表明，在生活污水正常排放的工况下，厂区污水总排口中污染物浓度均能达到</w:t>
            </w:r>
            <w:r>
              <w:rPr>
                <w:rFonts w:hint="default" w:ascii="Times New Roman" w:hAnsi="Times New Roman" w:eastAsia="宋体" w:cs="Times New Roman"/>
                <w:b w:val="0"/>
                <w:bCs w:val="0"/>
                <w:color w:val="auto"/>
                <w:kern w:val="0"/>
                <w:sz w:val="21"/>
                <w:szCs w:val="21"/>
                <w:lang w:val="en-US" w:eastAsia="zh-CN" w:bidi="ar"/>
              </w:rPr>
              <w:t>常州金坛区第</w:t>
            </w:r>
            <w:r>
              <w:rPr>
                <w:rFonts w:hint="eastAsia" w:ascii="Times New Roman" w:hAnsi="Times New Roman" w:eastAsia="宋体" w:cs="Times New Roman"/>
                <w:b w:val="0"/>
                <w:bCs w:val="0"/>
                <w:color w:val="auto"/>
                <w:kern w:val="0"/>
                <w:sz w:val="21"/>
                <w:szCs w:val="21"/>
                <w:lang w:val="en-US" w:eastAsia="zh-CN" w:bidi="ar"/>
              </w:rPr>
              <w:t>二</w:t>
            </w:r>
            <w:r>
              <w:rPr>
                <w:rFonts w:hint="default" w:ascii="Times New Roman" w:hAnsi="Times New Roman" w:eastAsia="宋体" w:cs="Times New Roman"/>
                <w:b w:val="0"/>
                <w:bCs w:val="0"/>
                <w:color w:val="auto"/>
                <w:kern w:val="0"/>
                <w:sz w:val="21"/>
                <w:szCs w:val="21"/>
                <w:lang w:val="en-US" w:eastAsia="zh-CN" w:bidi="ar"/>
              </w:rPr>
              <w:t>污水处理有限公司</w:t>
            </w:r>
            <w:r>
              <w:rPr>
                <w:rFonts w:hint="eastAsia" w:ascii="宋体" w:hAnsi="宋体" w:cs="宋体"/>
                <w:color w:val="auto"/>
                <w:sz w:val="21"/>
                <w:szCs w:val="21"/>
                <w:highlight w:val="none"/>
              </w:rPr>
              <w:t>接管</w:t>
            </w:r>
            <w:r>
              <w:rPr>
                <w:rFonts w:hint="eastAsia" w:ascii="宋体" w:hAnsi="宋体" w:cs="宋体"/>
                <w:color w:val="auto"/>
                <w:sz w:val="21"/>
                <w:szCs w:val="21"/>
                <w:highlight w:val="none"/>
                <w:lang w:val="en-US" w:eastAsia="zh-CN"/>
              </w:rPr>
              <w:t>限值要求</w:t>
            </w:r>
            <w:r>
              <w:rPr>
                <w:rFonts w:hint="eastAsia" w:ascii="宋体" w:hAnsi="宋体" w:cs="宋体"/>
                <w:color w:val="auto"/>
                <w:sz w:val="21"/>
                <w:szCs w:val="21"/>
                <w:highlight w:val="none"/>
              </w:rPr>
              <w:t>。</w:t>
            </w:r>
          </w:p>
          <w:p w14:paraId="06AF9AC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textAlignment w:val="auto"/>
              <w:rPr>
                <w:rFonts w:hint="eastAsia"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（3）噪声</w:t>
            </w:r>
          </w:p>
          <w:p w14:paraId="31AB65BC">
            <w:pPr>
              <w:pStyle w:val="2"/>
              <w:keepNext w:val="0"/>
              <w:keepLines w:val="0"/>
              <w:pageBreakBefore w:val="0"/>
              <w:widowControl w:val="0"/>
              <w:kinsoku/>
              <w:wordWrap/>
              <w:overflowPunct/>
              <w:topLinePunct w:val="0"/>
              <w:autoSpaceDE/>
              <w:autoSpaceDN/>
              <w:bidi w:val="0"/>
              <w:adjustRightInd/>
              <w:snapToGrid/>
              <w:spacing w:after="0" w:line="360" w:lineRule="auto"/>
              <w:ind w:firstLine="420" w:firstLineChars="200"/>
              <w:jc w:val="both"/>
              <w:textAlignment w:val="auto"/>
              <w:rPr>
                <w:rFonts w:ascii="Times New Roman" w:hAnsi="Times New Roman" w:eastAsia="宋体"/>
                <w:b/>
                <w:bCs/>
                <w:color w:val="auto"/>
                <w:sz w:val="21"/>
                <w:szCs w:val="21"/>
                <w:highlight w:val="none"/>
              </w:rPr>
            </w:pPr>
            <w:r>
              <w:rPr>
                <w:rFonts w:hint="eastAsia" w:ascii="Times New Roman" w:hAnsi="Times New Roman" w:eastAsia="宋体"/>
                <w:color w:val="auto"/>
                <w:sz w:val="21"/>
                <w:szCs w:val="21"/>
                <w:highlight w:val="none"/>
              </w:rPr>
              <w:t>项目噪声监测结果见</w:t>
            </w:r>
            <w:r>
              <w:rPr>
                <w:rFonts w:hint="eastAsia" w:ascii="Times New Roman" w:hAnsi="Times New Roman" w:eastAsia="宋体"/>
                <w:color w:val="auto"/>
                <w:sz w:val="21"/>
                <w:szCs w:val="21"/>
                <w:highlight w:val="none"/>
                <w:lang w:val="en-US" w:eastAsia="zh-CN"/>
              </w:rPr>
              <w:t>下表</w:t>
            </w:r>
            <w:r>
              <w:rPr>
                <w:rFonts w:hint="eastAsia" w:ascii="Times New Roman" w:hAnsi="Times New Roman" w:eastAsia="宋体"/>
                <w:color w:val="auto"/>
                <w:sz w:val="21"/>
                <w:szCs w:val="21"/>
                <w:highlight w:val="none"/>
              </w:rPr>
              <w:t>。</w:t>
            </w:r>
          </w:p>
          <w:p w14:paraId="7C7DF42D">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ascii="Times New Roman" w:hAnsi="Times New Roman" w:eastAsia="宋体"/>
                <w:b/>
                <w:bCs/>
                <w:color w:val="auto"/>
                <w:sz w:val="21"/>
                <w:szCs w:val="21"/>
                <w:highlight w:val="none"/>
              </w:rPr>
            </w:pPr>
            <w:r>
              <w:rPr>
                <w:rFonts w:ascii="Times New Roman" w:hAnsi="Times New Roman" w:eastAsia="宋体"/>
                <w:b/>
                <w:bCs/>
                <w:color w:val="auto"/>
                <w:sz w:val="21"/>
                <w:szCs w:val="21"/>
                <w:highlight w:val="none"/>
              </w:rPr>
              <w:t>表</w:t>
            </w:r>
            <w:r>
              <w:rPr>
                <w:rFonts w:hint="eastAsia" w:ascii="Times New Roman" w:hAnsi="Times New Roman" w:eastAsia="宋体"/>
                <w:b/>
                <w:bCs/>
                <w:color w:val="auto"/>
                <w:sz w:val="21"/>
                <w:szCs w:val="21"/>
                <w:highlight w:val="none"/>
              </w:rPr>
              <w:t>2-</w:t>
            </w:r>
            <w:r>
              <w:rPr>
                <w:rFonts w:hint="eastAsia" w:ascii="Times New Roman" w:hAnsi="Times New Roman" w:eastAsia="宋体"/>
                <w:b/>
                <w:bCs/>
                <w:color w:val="auto"/>
                <w:sz w:val="21"/>
                <w:szCs w:val="21"/>
                <w:highlight w:val="none"/>
                <w:lang w:val="en-US" w:eastAsia="zh-CN"/>
              </w:rPr>
              <w:t xml:space="preserve">13 </w:t>
            </w:r>
            <w:r>
              <w:rPr>
                <w:rFonts w:ascii="Times New Roman" w:hAnsi="Times New Roman" w:eastAsia="宋体"/>
                <w:b/>
                <w:bCs/>
                <w:color w:val="auto"/>
                <w:sz w:val="21"/>
                <w:szCs w:val="21"/>
                <w:highlight w:val="none"/>
              </w:rPr>
              <w:t>厂界噪声监测一览表  单位：dB（A）</w:t>
            </w:r>
          </w:p>
          <w:tbl>
            <w:tblPr>
              <w:tblStyle w:val="28"/>
              <w:tblW w:w="4999"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276"/>
              <w:gridCol w:w="3557"/>
              <w:gridCol w:w="1629"/>
              <w:gridCol w:w="1830"/>
            </w:tblGrid>
            <w:tr w14:paraId="08A5AF8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69" w:type="pct"/>
                  <w:vMerge w:val="restart"/>
                  <w:tcBorders>
                    <w:tl2br w:val="nil"/>
                    <w:tr2bl w:val="nil"/>
                  </w:tcBorders>
                  <w:noWrap w:val="0"/>
                  <w:tcMar>
                    <w:top w:w="0" w:type="dxa"/>
                    <w:left w:w="0" w:type="dxa"/>
                    <w:bottom w:w="0" w:type="dxa"/>
                    <w:right w:w="0" w:type="dxa"/>
                  </w:tcMar>
                  <w:vAlign w:val="center"/>
                </w:tcPr>
                <w:p w14:paraId="5C9AC49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b/>
                      <w:bCs/>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采样日期</w:t>
                  </w:r>
                </w:p>
              </w:tc>
              <w:tc>
                <w:tcPr>
                  <w:tcW w:w="2144" w:type="pct"/>
                  <w:vMerge w:val="restart"/>
                  <w:tcBorders>
                    <w:tl2br w:val="nil"/>
                    <w:tr2bl w:val="nil"/>
                  </w:tcBorders>
                  <w:noWrap w:val="0"/>
                  <w:tcMar>
                    <w:top w:w="0" w:type="dxa"/>
                    <w:left w:w="0" w:type="dxa"/>
                    <w:bottom w:w="0" w:type="dxa"/>
                    <w:right w:w="0" w:type="dxa"/>
                  </w:tcMar>
                  <w:vAlign w:val="center"/>
                </w:tcPr>
                <w:p w14:paraId="5F39DF7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b/>
                      <w:bCs/>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采样点位</w:t>
                  </w:r>
                </w:p>
              </w:tc>
              <w:tc>
                <w:tcPr>
                  <w:tcW w:w="982" w:type="pct"/>
                  <w:tcBorders>
                    <w:tl2br w:val="nil"/>
                    <w:tr2bl w:val="nil"/>
                  </w:tcBorders>
                  <w:noWrap w:val="0"/>
                  <w:tcMar>
                    <w:top w:w="0" w:type="dxa"/>
                    <w:left w:w="0" w:type="dxa"/>
                    <w:bottom w:w="0" w:type="dxa"/>
                    <w:right w:w="0" w:type="dxa"/>
                  </w:tcMar>
                  <w:vAlign w:val="center"/>
                </w:tcPr>
                <w:p w14:paraId="2D3D103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b/>
                      <w:bCs/>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昼间</w:t>
                  </w:r>
                </w:p>
              </w:tc>
              <w:tc>
                <w:tcPr>
                  <w:tcW w:w="1103" w:type="pct"/>
                  <w:tcBorders>
                    <w:tl2br w:val="nil"/>
                    <w:tr2bl w:val="nil"/>
                  </w:tcBorders>
                  <w:noWrap w:val="0"/>
                  <w:tcMar>
                    <w:top w:w="0" w:type="dxa"/>
                    <w:left w:w="0" w:type="dxa"/>
                    <w:bottom w:w="0" w:type="dxa"/>
                    <w:right w:w="0" w:type="dxa"/>
                  </w:tcMar>
                  <w:vAlign w:val="center"/>
                </w:tcPr>
                <w:p w14:paraId="2407CEE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b/>
                      <w:bCs/>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夜间</w:t>
                  </w:r>
                </w:p>
              </w:tc>
            </w:tr>
            <w:tr w14:paraId="26B4B66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69" w:type="pct"/>
                  <w:vMerge w:val="continue"/>
                  <w:tcBorders>
                    <w:tl2br w:val="nil"/>
                    <w:tr2bl w:val="nil"/>
                  </w:tcBorders>
                  <w:noWrap w:val="0"/>
                  <w:tcMar>
                    <w:top w:w="0" w:type="dxa"/>
                    <w:left w:w="0" w:type="dxa"/>
                    <w:bottom w:w="0" w:type="dxa"/>
                    <w:right w:w="0" w:type="dxa"/>
                  </w:tcMar>
                  <w:vAlign w:val="center"/>
                </w:tcPr>
                <w:p w14:paraId="4696319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b/>
                      <w:bCs/>
                      <w:color w:val="auto"/>
                      <w:kern w:val="0"/>
                      <w:sz w:val="21"/>
                      <w:szCs w:val="21"/>
                      <w:lang w:val="en-US" w:eastAsia="zh-CN"/>
                    </w:rPr>
                  </w:pPr>
                </w:p>
              </w:tc>
              <w:tc>
                <w:tcPr>
                  <w:tcW w:w="2144" w:type="pct"/>
                  <w:vMerge w:val="continue"/>
                  <w:tcBorders>
                    <w:tl2br w:val="nil"/>
                    <w:tr2bl w:val="nil"/>
                  </w:tcBorders>
                  <w:noWrap w:val="0"/>
                  <w:tcMar>
                    <w:top w:w="0" w:type="dxa"/>
                    <w:left w:w="0" w:type="dxa"/>
                    <w:bottom w:w="0" w:type="dxa"/>
                    <w:right w:w="0" w:type="dxa"/>
                  </w:tcMar>
                  <w:vAlign w:val="center"/>
                </w:tcPr>
                <w:p w14:paraId="64543A5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b/>
                      <w:bCs/>
                      <w:color w:val="auto"/>
                      <w:kern w:val="0"/>
                      <w:sz w:val="21"/>
                      <w:szCs w:val="21"/>
                      <w:lang w:val="en-US" w:eastAsia="zh-CN"/>
                    </w:rPr>
                  </w:pPr>
                </w:p>
              </w:tc>
              <w:tc>
                <w:tcPr>
                  <w:tcW w:w="982" w:type="pct"/>
                  <w:tcBorders>
                    <w:tl2br w:val="nil"/>
                    <w:tr2bl w:val="nil"/>
                  </w:tcBorders>
                  <w:shd w:val="clear" w:color="auto" w:fill="auto"/>
                  <w:noWrap w:val="0"/>
                  <w:tcMar>
                    <w:top w:w="0" w:type="dxa"/>
                    <w:left w:w="0" w:type="dxa"/>
                    <w:bottom w:w="0" w:type="dxa"/>
                    <w:right w:w="0" w:type="dxa"/>
                  </w:tcMar>
                  <w:vAlign w:val="center"/>
                </w:tcPr>
                <w:p w14:paraId="3109A45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kern w:val="0"/>
                      <w:sz w:val="21"/>
                      <w:szCs w:val="21"/>
                      <w:lang w:val="en-US" w:eastAsia="zh-CN" w:bidi="ar-SA"/>
                    </w:rPr>
                  </w:pPr>
                  <w:r>
                    <w:rPr>
                      <w:rFonts w:hint="default" w:ascii="Times New Roman" w:hAnsi="Times New Roman" w:eastAsia="宋体" w:cs="Times New Roman"/>
                      <w:b/>
                      <w:bCs/>
                      <w:color w:val="auto"/>
                      <w:kern w:val="0"/>
                      <w:sz w:val="21"/>
                      <w:szCs w:val="21"/>
                      <w:lang w:val="en-US" w:eastAsia="zh-CN"/>
                    </w:rPr>
                    <w:t>检测结果</w:t>
                  </w:r>
                </w:p>
              </w:tc>
              <w:tc>
                <w:tcPr>
                  <w:tcW w:w="1103" w:type="pct"/>
                  <w:tcBorders>
                    <w:tl2br w:val="nil"/>
                    <w:tr2bl w:val="nil"/>
                  </w:tcBorders>
                  <w:shd w:val="clear" w:color="auto" w:fill="auto"/>
                  <w:noWrap w:val="0"/>
                  <w:tcMar>
                    <w:top w:w="0" w:type="dxa"/>
                    <w:left w:w="0" w:type="dxa"/>
                    <w:bottom w:w="0" w:type="dxa"/>
                    <w:right w:w="0" w:type="dxa"/>
                  </w:tcMar>
                  <w:vAlign w:val="center"/>
                </w:tcPr>
                <w:p w14:paraId="06539FE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kern w:val="0"/>
                      <w:sz w:val="21"/>
                      <w:szCs w:val="21"/>
                      <w:lang w:val="en-US" w:eastAsia="zh-CN" w:bidi="ar-SA"/>
                    </w:rPr>
                  </w:pPr>
                  <w:r>
                    <w:rPr>
                      <w:rFonts w:hint="default" w:ascii="Times New Roman" w:hAnsi="Times New Roman" w:eastAsia="宋体" w:cs="Times New Roman"/>
                      <w:b/>
                      <w:bCs/>
                      <w:color w:val="auto"/>
                      <w:kern w:val="0"/>
                      <w:sz w:val="21"/>
                      <w:szCs w:val="21"/>
                      <w:lang w:val="en-US" w:eastAsia="zh-CN"/>
                    </w:rPr>
                    <w:t>检测结果</w:t>
                  </w:r>
                </w:p>
              </w:tc>
            </w:tr>
            <w:tr w14:paraId="040EF89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69" w:type="pct"/>
                  <w:vMerge w:val="restart"/>
                  <w:tcBorders>
                    <w:tl2br w:val="nil"/>
                    <w:tr2bl w:val="nil"/>
                  </w:tcBorders>
                  <w:noWrap w:val="0"/>
                  <w:tcMar>
                    <w:top w:w="0" w:type="dxa"/>
                    <w:left w:w="0" w:type="dxa"/>
                    <w:bottom w:w="0" w:type="dxa"/>
                    <w:right w:w="0" w:type="dxa"/>
                  </w:tcMar>
                  <w:vAlign w:val="center"/>
                </w:tcPr>
                <w:p w14:paraId="70A8CC6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2022.01.07</w:t>
                  </w:r>
                </w:p>
              </w:tc>
              <w:tc>
                <w:tcPr>
                  <w:tcW w:w="2144" w:type="pct"/>
                  <w:tcBorders>
                    <w:tl2br w:val="nil"/>
                    <w:tr2bl w:val="nil"/>
                  </w:tcBorders>
                  <w:noWrap w:val="0"/>
                  <w:tcMar>
                    <w:top w:w="0" w:type="dxa"/>
                    <w:left w:w="0" w:type="dxa"/>
                    <w:bottom w:w="0" w:type="dxa"/>
                    <w:right w:w="0" w:type="dxa"/>
                  </w:tcMar>
                  <w:vAlign w:val="center"/>
                </w:tcPr>
                <w:p w14:paraId="53D0C9D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cs="Times New Roman"/>
                      <w:color w:val="auto"/>
                      <w:sz w:val="21"/>
                      <w:szCs w:val="21"/>
                      <w:highlight w:val="none"/>
                    </w:rPr>
                    <w:t>东厂界</w:t>
                  </w:r>
                  <w:r>
                    <w:rPr>
                      <w:rFonts w:hint="eastAsia" w:ascii="Times New Roman" w:hAnsi="Times New Roman" w:cs="Times New Roman"/>
                      <w:color w:val="auto"/>
                      <w:sz w:val="21"/>
                      <w:szCs w:val="21"/>
                      <w:highlight w:val="none"/>
                      <w:lang w:val="en-US" w:eastAsia="zh-CN"/>
                    </w:rPr>
                    <w:t>外</w:t>
                  </w:r>
                  <w:r>
                    <w:rPr>
                      <w:rFonts w:hint="default" w:ascii="Times New Roman" w:hAnsi="Times New Roman" w:eastAsia="宋体" w:cs="Times New Roman"/>
                      <w:color w:val="auto"/>
                      <w:kern w:val="0"/>
                      <w:sz w:val="21"/>
                      <w:szCs w:val="21"/>
                      <w:lang w:val="en-US" w:eastAsia="zh-CN"/>
                    </w:rPr>
                    <w:t>1米处Z1监测点</w:t>
                  </w:r>
                </w:p>
              </w:tc>
              <w:tc>
                <w:tcPr>
                  <w:tcW w:w="982" w:type="pct"/>
                  <w:tcBorders>
                    <w:tl2br w:val="nil"/>
                    <w:tr2bl w:val="nil"/>
                  </w:tcBorders>
                  <w:shd w:val="clear" w:color="auto" w:fill="auto"/>
                  <w:noWrap w:val="0"/>
                  <w:tcMar>
                    <w:top w:w="0" w:type="dxa"/>
                    <w:left w:w="0" w:type="dxa"/>
                    <w:bottom w:w="0" w:type="dxa"/>
                    <w:right w:w="0" w:type="dxa"/>
                  </w:tcMar>
                  <w:vAlign w:val="center"/>
                </w:tcPr>
                <w:p w14:paraId="005B2A1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56.9</w:t>
                  </w:r>
                </w:p>
              </w:tc>
              <w:tc>
                <w:tcPr>
                  <w:tcW w:w="1103" w:type="pct"/>
                  <w:tcBorders>
                    <w:tl2br w:val="nil"/>
                    <w:tr2bl w:val="nil"/>
                  </w:tcBorders>
                  <w:shd w:val="clear" w:color="auto" w:fill="auto"/>
                  <w:noWrap w:val="0"/>
                  <w:tcMar>
                    <w:top w:w="0" w:type="dxa"/>
                    <w:left w:w="0" w:type="dxa"/>
                    <w:bottom w:w="0" w:type="dxa"/>
                    <w:right w:w="0" w:type="dxa"/>
                  </w:tcMar>
                  <w:vAlign w:val="center"/>
                </w:tcPr>
                <w:p w14:paraId="432F346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50.3</w:t>
                  </w:r>
                </w:p>
              </w:tc>
            </w:tr>
            <w:tr w14:paraId="6E9D994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69" w:type="pct"/>
                  <w:vMerge w:val="continue"/>
                  <w:tcBorders>
                    <w:tl2br w:val="nil"/>
                    <w:tr2bl w:val="nil"/>
                  </w:tcBorders>
                  <w:noWrap w:val="0"/>
                  <w:tcMar>
                    <w:top w:w="0" w:type="dxa"/>
                    <w:left w:w="0" w:type="dxa"/>
                    <w:bottom w:w="0" w:type="dxa"/>
                    <w:right w:w="0" w:type="dxa"/>
                  </w:tcMar>
                  <w:vAlign w:val="center"/>
                </w:tcPr>
                <w:p w14:paraId="7A8B745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0"/>
                      <w:sz w:val="21"/>
                      <w:szCs w:val="21"/>
                      <w:lang w:val="en-US" w:eastAsia="zh-CN"/>
                    </w:rPr>
                  </w:pPr>
                </w:p>
              </w:tc>
              <w:tc>
                <w:tcPr>
                  <w:tcW w:w="2144" w:type="pct"/>
                  <w:tcBorders>
                    <w:tl2br w:val="nil"/>
                    <w:tr2bl w:val="nil"/>
                  </w:tcBorders>
                  <w:noWrap w:val="0"/>
                  <w:tcMar>
                    <w:top w:w="0" w:type="dxa"/>
                    <w:left w:w="0" w:type="dxa"/>
                    <w:bottom w:w="0" w:type="dxa"/>
                    <w:right w:w="0" w:type="dxa"/>
                  </w:tcMar>
                  <w:vAlign w:val="center"/>
                </w:tcPr>
                <w:p w14:paraId="5B31A16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cs="Times New Roman"/>
                      <w:color w:val="auto"/>
                      <w:sz w:val="21"/>
                      <w:szCs w:val="21"/>
                      <w:highlight w:val="none"/>
                    </w:rPr>
                    <w:t>南厂界</w:t>
                  </w:r>
                  <w:r>
                    <w:rPr>
                      <w:rFonts w:hint="eastAsia" w:ascii="Times New Roman" w:hAnsi="Times New Roman" w:cs="Times New Roman"/>
                      <w:color w:val="auto"/>
                      <w:sz w:val="21"/>
                      <w:szCs w:val="21"/>
                      <w:highlight w:val="none"/>
                      <w:lang w:val="en-US" w:eastAsia="zh-CN"/>
                    </w:rPr>
                    <w:t>外</w:t>
                  </w:r>
                  <w:r>
                    <w:rPr>
                      <w:rFonts w:hint="default" w:ascii="Times New Roman" w:hAnsi="Times New Roman" w:eastAsia="宋体" w:cs="Times New Roman"/>
                      <w:color w:val="auto"/>
                      <w:kern w:val="0"/>
                      <w:sz w:val="21"/>
                      <w:szCs w:val="21"/>
                      <w:lang w:val="en-US" w:eastAsia="zh-CN"/>
                    </w:rPr>
                    <w:t>1米处Z2监测点</w:t>
                  </w:r>
                </w:p>
              </w:tc>
              <w:tc>
                <w:tcPr>
                  <w:tcW w:w="982" w:type="pct"/>
                  <w:tcBorders>
                    <w:tl2br w:val="nil"/>
                    <w:tr2bl w:val="nil"/>
                  </w:tcBorders>
                  <w:shd w:val="clear" w:color="auto" w:fill="auto"/>
                  <w:noWrap w:val="0"/>
                  <w:tcMar>
                    <w:top w:w="0" w:type="dxa"/>
                    <w:left w:w="0" w:type="dxa"/>
                    <w:bottom w:w="0" w:type="dxa"/>
                    <w:right w:w="0" w:type="dxa"/>
                  </w:tcMar>
                  <w:vAlign w:val="center"/>
                </w:tcPr>
                <w:p w14:paraId="707795A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57.6</w:t>
                  </w:r>
                </w:p>
              </w:tc>
              <w:tc>
                <w:tcPr>
                  <w:tcW w:w="1103" w:type="pct"/>
                  <w:tcBorders>
                    <w:tl2br w:val="nil"/>
                    <w:tr2bl w:val="nil"/>
                  </w:tcBorders>
                  <w:shd w:val="clear" w:color="auto" w:fill="auto"/>
                  <w:noWrap w:val="0"/>
                  <w:tcMar>
                    <w:top w:w="0" w:type="dxa"/>
                    <w:left w:w="0" w:type="dxa"/>
                    <w:bottom w:w="0" w:type="dxa"/>
                    <w:right w:w="0" w:type="dxa"/>
                  </w:tcMar>
                  <w:vAlign w:val="center"/>
                </w:tcPr>
                <w:p w14:paraId="7671CC8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49.3</w:t>
                  </w:r>
                </w:p>
              </w:tc>
            </w:tr>
            <w:tr w14:paraId="072D166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69" w:type="pct"/>
                  <w:vMerge w:val="continue"/>
                  <w:tcBorders>
                    <w:tl2br w:val="nil"/>
                    <w:tr2bl w:val="nil"/>
                  </w:tcBorders>
                  <w:noWrap w:val="0"/>
                  <w:tcMar>
                    <w:top w:w="0" w:type="dxa"/>
                    <w:left w:w="0" w:type="dxa"/>
                    <w:bottom w:w="0" w:type="dxa"/>
                    <w:right w:w="0" w:type="dxa"/>
                  </w:tcMar>
                  <w:vAlign w:val="center"/>
                </w:tcPr>
                <w:p w14:paraId="318CF5A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0"/>
                      <w:sz w:val="21"/>
                      <w:szCs w:val="21"/>
                      <w:lang w:val="en-US" w:eastAsia="zh-CN"/>
                    </w:rPr>
                  </w:pPr>
                </w:p>
              </w:tc>
              <w:tc>
                <w:tcPr>
                  <w:tcW w:w="2144" w:type="pct"/>
                  <w:tcBorders>
                    <w:tl2br w:val="nil"/>
                    <w:tr2bl w:val="nil"/>
                  </w:tcBorders>
                  <w:noWrap w:val="0"/>
                  <w:tcMar>
                    <w:top w:w="0" w:type="dxa"/>
                    <w:left w:w="0" w:type="dxa"/>
                    <w:bottom w:w="0" w:type="dxa"/>
                    <w:right w:w="0" w:type="dxa"/>
                  </w:tcMar>
                  <w:vAlign w:val="center"/>
                </w:tcPr>
                <w:p w14:paraId="40DFA94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lang w:val="en-US" w:eastAsia="zh-CN"/>
                    </w:rPr>
                    <w:t>西</w:t>
                  </w:r>
                  <w:r>
                    <w:rPr>
                      <w:rFonts w:hint="default" w:ascii="Times New Roman" w:hAnsi="Times New Roman" w:cs="Times New Roman"/>
                      <w:color w:val="auto"/>
                      <w:sz w:val="21"/>
                      <w:szCs w:val="21"/>
                      <w:highlight w:val="none"/>
                    </w:rPr>
                    <w:t>厂界</w:t>
                  </w:r>
                  <w:r>
                    <w:rPr>
                      <w:rFonts w:hint="eastAsia" w:ascii="Times New Roman" w:hAnsi="Times New Roman" w:cs="Times New Roman"/>
                      <w:color w:val="auto"/>
                      <w:sz w:val="21"/>
                      <w:szCs w:val="21"/>
                      <w:highlight w:val="none"/>
                      <w:lang w:val="en-US" w:eastAsia="zh-CN"/>
                    </w:rPr>
                    <w:t>外</w:t>
                  </w:r>
                  <w:r>
                    <w:rPr>
                      <w:rFonts w:hint="default" w:ascii="Times New Roman" w:hAnsi="Times New Roman" w:eastAsia="宋体" w:cs="Times New Roman"/>
                      <w:color w:val="auto"/>
                      <w:kern w:val="0"/>
                      <w:sz w:val="21"/>
                      <w:szCs w:val="21"/>
                      <w:lang w:val="en-US" w:eastAsia="zh-CN"/>
                    </w:rPr>
                    <w:t>1米处Z3监测点</w:t>
                  </w:r>
                </w:p>
              </w:tc>
              <w:tc>
                <w:tcPr>
                  <w:tcW w:w="982" w:type="pct"/>
                  <w:tcBorders>
                    <w:tl2br w:val="nil"/>
                    <w:tr2bl w:val="nil"/>
                  </w:tcBorders>
                  <w:shd w:val="clear" w:color="auto" w:fill="auto"/>
                  <w:noWrap w:val="0"/>
                  <w:tcMar>
                    <w:top w:w="0" w:type="dxa"/>
                    <w:left w:w="0" w:type="dxa"/>
                    <w:bottom w:w="0" w:type="dxa"/>
                    <w:right w:w="0" w:type="dxa"/>
                  </w:tcMar>
                  <w:vAlign w:val="center"/>
                </w:tcPr>
                <w:p w14:paraId="340E215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56.2</w:t>
                  </w:r>
                </w:p>
              </w:tc>
              <w:tc>
                <w:tcPr>
                  <w:tcW w:w="1103" w:type="pct"/>
                  <w:tcBorders>
                    <w:tl2br w:val="nil"/>
                    <w:tr2bl w:val="nil"/>
                  </w:tcBorders>
                  <w:shd w:val="clear" w:color="auto" w:fill="auto"/>
                  <w:noWrap w:val="0"/>
                  <w:tcMar>
                    <w:top w:w="0" w:type="dxa"/>
                    <w:left w:w="0" w:type="dxa"/>
                    <w:bottom w:w="0" w:type="dxa"/>
                    <w:right w:w="0" w:type="dxa"/>
                  </w:tcMar>
                  <w:vAlign w:val="center"/>
                </w:tcPr>
                <w:p w14:paraId="029526D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50.7</w:t>
                  </w:r>
                </w:p>
              </w:tc>
            </w:tr>
            <w:tr w14:paraId="7334FE9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69" w:type="pct"/>
                  <w:vMerge w:val="continue"/>
                  <w:tcBorders>
                    <w:tl2br w:val="nil"/>
                    <w:tr2bl w:val="nil"/>
                  </w:tcBorders>
                  <w:noWrap w:val="0"/>
                  <w:tcMar>
                    <w:top w:w="0" w:type="dxa"/>
                    <w:left w:w="0" w:type="dxa"/>
                    <w:bottom w:w="0" w:type="dxa"/>
                    <w:right w:w="0" w:type="dxa"/>
                  </w:tcMar>
                  <w:vAlign w:val="center"/>
                </w:tcPr>
                <w:p w14:paraId="21D2748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0"/>
                      <w:sz w:val="21"/>
                      <w:szCs w:val="21"/>
                      <w:lang w:val="en-US" w:eastAsia="zh-CN"/>
                    </w:rPr>
                  </w:pPr>
                </w:p>
              </w:tc>
              <w:tc>
                <w:tcPr>
                  <w:tcW w:w="2144" w:type="pct"/>
                  <w:tcBorders>
                    <w:tl2br w:val="nil"/>
                    <w:tr2bl w:val="nil"/>
                  </w:tcBorders>
                  <w:noWrap w:val="0"/>
                  <w:tcMar>
                    <w:top w:w="0" w:type="dxa"/>
                    <w:left w:w="0" w:type="dxa"/>
                    <w:bottom w:w="0" w:type="dxa"/>
                    <w:right w:w="0" w:type="dxa"/>
                  </w:tcMar>
                  <w:vAlign w:val="center"/>
                </w:tcPr>
                <w:p w14:paraId="1DFE601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lang w:val="en-US" w:eastAsia="zh-CN"/>
                    </w:rPr>
                    <w:t>北</w:t>
                  </w:r>
                  <w:r>
                    <w:rPr>
                      <w:rFonts w:hint="default" w:ascii="Times New Roman" w:hAnsi="Times New Roman" w:cs="Times New Roman"/>
                      <w:color w:val="auto"/>
                      <w:sz w:val="21"/>
                      <w:szCs w:val="21"/>
                      <w:highlight w:val="none"/>
                    </w:rPr>
                    <w:t>厂界</w:t>
                  </w:r>
                  <w:r>
                    <w:rPr>
                      <w:rFonts w:hint="eastAsia" w:ascii="Times New Roman" w:hAnsi="Times New Roman" w:cs="Times New Roman"/>
                      <w:color w:val="auto"/>
                      <w:sz w:val="21"/>
                      <w:szCs w:val="21"/>
                      <w:highlight w:val="none"/>
                      <w:lang w:val="en-US" w:eastAsia="zh-CN"/>
                    </w:rPr>
                    <w:t>外</w:t>
                  </w:r>
                  <w:r>
                    <w:rPr>
                      <w:rFonts w:hint="default" w:ascii="Times New Roman" w:hAnsi="Times New Roman" w:eastAsia="宋体" w:cs="Times New Roman"/>
                      <w:color w:val="auto"/>
                      <w:kern w:val="0"/>
                      <w:sz w:val="21"/>
                      <w:szCs w:val="21"/>
                      <w:lang w:val="en-US" w:eastAsia="zh-CN"/>
                    </w:rPr>
                    <w:t>1米处Z4监测点</w:t>
                  </w:r>
                </w:p>
              </w:tc>
              <w:tc>
                <w:tcPr>
                  <w:tcW w:w="982" w:type="pct"/>
                  <w:tcBorders>
                    <w:tl2br w:val="nil"/>
                    <w:tr2bl w:val="nil"/>
                  </w:tcBorders>
                  <w:shd w:val="clear" w:color="auto" w:fill="auto"/>
                  <w:noWrap w:val="0"/>
                  <w:tcMar>
                    <w:top w:w="0" w:type="dxa"/>
                    <w:left w:w="0" w:type="dxa"/>
                    <w:bottom w:w="0" w:type="dxa"/>
                    <w:right w:w="0" w:type="dxa"/>
                  </w:tcMar>
                  <w:vAlign w:val="center"/>
                </w:tcPr>
                <w:p w14:paraId="431A617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58.3</w:t>
                  </w:r>
                </w:p>
              </w:tc>
              <w:tc>
                <w:tcPr>
                  <w:tcW w:w="1103" w:type="pct"/>
                  <w:tcBorders>
                    <w:tl2br w:val="nil"/>
                    <w:tr2bl w:val="nil"/>
                  </w:tcBorders>
                  <w:shd w:val="clear" w:color="auto" w:fill="auto"/>
                  <w:noWrap w:val="0"/>
                  <w:tcMar>
                    <w:top w:w="0" w:type="dxa"/>
                    <w:left w:w="0" w:type="dxa"/>
                    <w:bottom w:w="0" w:type="dxa"/>
                    <w:right w:w="0" w:type="dxa"/>
                  </w:tcMar>
                  <w:vAlign w:val="center"/>
                </w:tcPr>
                <w:p w14:paraId="7BC1C0D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52.0</w:t>
                  </w:r>
                </w:p>
              </w:tc>
            </w:tr>
            <w:tr w14:paraId="3AF41C5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69" w:type="pct"/>
                  <w:vMerge w:val="restart"/>
                  <w:tcBorders>
                    <w:tl2br w:val="nil"/>
                    <w:tr2bl w:val="nil"/>
                  </w:tcBorders>
                  <w:noWrap w:val="0"/>
                  <w:tcMar>
                    <w:top w:w="0" w:type="dxa"/>
                    <w:left w:w="0" w:type="dxa"/>
                    <w:bottom w:w="0" w:type="dxa"/>
                    <w:right w:w="0" w:type="dxa"/>
                  </w:tcMar>
                  <w:vAlign w:val="center"/>
                </w:tcPr>
                <w:p w14:paraId="0B43E84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2022.01.08</w:t>
                  </w:r>
                </w:p>
              </w:tc>
              <w:tc>
                <w:tcPr>
                  <w:tcW w:w="2144" w:type="pct"/>
                  <w:tcBorders>
                    <w:tl2br w:val="nil"/>
                    <w:tr2bl w:val="nil"/>
                  </w:tcBorders>
                  <w:shd w:val="clear" w:color="auto" w:fill="auto"/>
                  <w:noWrap w:val="0"/>
                  <w:tcMar>
                    <w:top w:w="0" w:type="dxa"/>
                    <w:left w:w="0" w:type="dxa"/>
                    <w:bottom w:w="0" w:type="dxa"/>
                    <w:right w:w="0" w:type="dxa"/>
                  </w:tcMar>
                  <w:vAlign w:val="center"/>
                </w:tcPr>
                <w:p w14:paraId="00D04BB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highlight w:val="none"/>
                    </w:rPr>
                    <w:t>东厂界</w:t>
                  </w:r>
                  <w:r>
                    <w:rPr>
                      <w:rFonts w:hint="eastAsia" w:ascii="Times New Roman" w:hAnsi="Times New Roman" w:cs="Times New Roman"/>
                      <w:color w:val="auto"/>
                      <w:sz w:val="21"/>
                      <w:szCs w:val="21"/>
                      <w:highlight w:val="none"/>
                      <w:lang w:val="en-US" w:eastAsia="zh-CN"/>
                    </w:rPr>
                    <w:t>外</w:t>
                  </w:r>
                  <w:r>
                    <w:rPr>
                      <w:rFonts w:hint="default" w:ascii="Times New Roman" w:hAnsi="Times New Roman" w:eastAsia="宋体" w:cs="Times New Roman"/>
                      <w:color w:val="auto"/>
                      <w:kern w:val="0"/>
                      <w:sz w:val="21"/>
                      <w:szCs w:val="21"/>
                      <w:lang w:val="en-US" w:eastAsia="zh-CN"/>
                    </w:rPr>
                    <w:t>1米处Z1监测点</w:t>
                  </w:r>
                </w:p>
              </w:tc>
              <w:tc>
                <w:tcPr>
                  <w:tcW w:w="982" w:type="pct"/>
                  <w:tcBorders>
                    <w:tl2br w:val="nil"/>
                    <w:tr2bl w:val="nil"/>
                  </w:tcBorders>
                  <w:shd w:val="clear" w:color="auto" w:fill="auto"/>
                  <w:noWrap w:val="0"/>
                  <w:tcMar>
                    <w:top w:w="0" w:type="dxa"/>
                    <w:left w:w="0" w:type="dxa"/>
                    <w:bottom w:w="0" w:type="dxa"/>
                    <w:right w:w="0" w:type="dxa"/>
                  </w:tcMar>
                  <w:vAlign w:val="center"/>
                </w:tcPr>
                <w:p w14:paraId="4EF915A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57.3</w:t>
                  </w:r>
                </w:p>
              </w:tc>
              <w:tc>
                <w:tcPr>
                  <w:tcW w:w="1103" w:type="pct"/>
                  <w:tcBorders>
                    <w:tl2br w:val="nil"/>
                    <w:tr2bl w:val="nil"/>
                  </w:tcBorders>
                  <w:shd w:val="clear" w:color="auto" w:fill="auto"/>
                  <w:noWrap w:val="0"/>
                  <w:tcMar>
                    <w:top w:w="0" w:type="dxa"/>
                    <w:left w:w="0" w:type="dxa"/>
                    <w:bottom w:w="0" w:type="dxa"/>
                    <w:right w:w="0" w:type="dxa"/>
                  </w:tcMar>
                  <w:vAlign w:val="center"/>
                </w:tcPr>
                <w:p w14:paraId="122F60E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49.9</w:t>
                  </w:r>
                </w:p>
              </w:tc>
            </w:tr>
            <w:tr w14:paraId="2E5AACE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69" w:type="pct"/>
                  <w:vMerge w:val="continue"/>
                  <w:tcBorders>
                    <w:tl2br w:val="nil"/>
                    <w:tr2bl w:val="nil"/>
                  </w:tcBorders>
                  <w:noWrap w:val="0"/>
                  <w:tcMar>
                    <w:top w:w="0" w:type="dxa"/>
                    <w:left w:w="0" w:type="dxa"/>
                    <w:bottom w:w="0" w:type="dxa"/>
                    <w:right w:w="0" w:type="dxa"/>
                  </w:tcMar>
                  <w:vAlign w:val="center"/>
                </w:tcPr>
                <w:p w14:paraId="5535E21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0"/>
                      <w:sz w:val="21"/>
                      <w:szCs w:val="21"/>
                      <w:lang w:val="en-US" w:eastAsia="zh-CN"/>
                    </w:rPr>
                  </w:pPr>
                </w:p>
              </w:tc>
              <w:tc>
                <w:tcPr>
                  <w:tcW w:w="2144" w:type="pct"/>
                  <w:tcBorders>
                    <w:tl2br w:val="nil"/>
                    <w:tr2bl w:val="nil"/>
                  </w:tcBorders>
                  <w:shd w:val="clear" w:color="auto" w:fill="auto"/>
                  <w:noWrap w:val="0"/>
                  <w:tcMar>
                    <w:top w:w="0" w:type="dxa"/>
                    <w:left w:w="0" w:type="dxa"/>
                    <w:bottom w:w="0" w:type="dxa"/>
                    <w:right w:w="0" w:type="dxa"/>
                  </w:tcMar>
                  <w:vAlign w:val="center"/>
                </w:tcPr>
                <w:p w14:paraId="4ED75D3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highlight w:val="none"/>
                    </w:rPr>
                    <w:t>南厂界</w:t>
                  </w:r>
                  <w:r>
                    <w:rPr>
                      <w:rFonts w:hint="eastAsia" w:ascii="Times New Roman" w:hAnsi="Times New Roman" w:cs="Times New Roman"/>
                      <w:color w:val="auto"/>
                      <w:sz w:val="21"/>
                      <w:szCs w:val="21"/>
                      <w:highlight w:val="none"/>
                      <w:lang w:val="en-US" w:eastAsia="zh-CN"/>
                    </w:rPr>
                    <w:t>外</w:t>
                  </w:r>
                  <w:r>
                    <w:rPr>
                      <w:rFonts w:hint="default" w:ascii="Times New Roman" w:hAnsi="Times New Roman" w:eastAsia="宋体" w:cs="Times New Roman"/>
                      <w:color w:val="auto"/>
                      <w:kern w:val="0"/>
                      <w:sz w:val="21"/>
                      <w:szCs w:val="21"/>
                      <w:lang w:val="en-US" w:eastAsia="zh-CN"/>
                    </w:rPr>
                    <w:t>1米处Z2监测点</w:t>
                  </w:r>
                </w:p>
              </w:tc>
              <w:tc>
                <w:tcPr>
                  <w:tcW w:w="982" w:type="pct"/>
                  <w:tcBorders>
                    <w:tl2br w:val="nil"/>
                    <w:tr2bl w:val="nil"/>
                  </w:tcBorders>
                  <w:shd w:val="clear" w:color="auto" w:fill="auto"/>
                  <w:noWrap w:val="0"/>
                  <w:tcMar>
                    <w:top w:w="0" w:type="dxa"/>
                    <w:left w:w="0" w:type="dxa"/>
                    <w:bottom w:w="0" w:type="dxa"/>
                    <w:right w:w="0" w:type="dxa"/>
                  </w:tcMar>
                  <w:vAlign w:val="center"/>
                </w:tcPr>
                <w:p w14:paraId="6C34214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57.9</w:t>
                  </w:r>
                </w:p>
              </w:tc>
              <w:tc>
                <w:tcPr>
                  <w:tcW w:w="1103" w:type="pct"/>
                  <w:tcBorders>
                    <w:tl2br w:val="nil"/>
                    <w:tr2bl w:val="nil"/>
                  </w:tcBorders>
                  <w:shd w:val="clear" w:color="auto" w:fill="auto"/>
                  <w:noWrap w:val="0"/>
                  <w:tcMar>
                    <w:top w:w="0" w:type="dxa"/>
                    <w:left w:w="0" w:type="dxa"/>
                    <w:bottom w:w="0" w:type="dxa"/>
                    <w:right w:w="0" w:type="dxa"/>
                  </w:tcMar>
                  <w:vAlign w:val="center"/>
                </w:tcPr>
                <w:p w14:paraId="358BF1A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50.5</w:t>
                  </w:r>
                </w:p>
              </w:tc>
            </w:tr>
            <w:tr w14:paraId="60214AC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69" w:type="pct"/>
                  <w:vMerge w:val="continue"/>
                  <w:tcBorders>
                    <w:tl2br w:val="nil"/>
                    <w:tr2bl w:val="nil"/>
                  </w:tcBorders>
                  <w:noWrap w:val="0"/>
                  <w:tcMar>
                    <w:top w:w="0" w:type="dxa"/>
                    <w:left w:w="0" w:type="dxa"/>
                    <w:bottom w:w="0" w:type="dxa"/>
                    <w:right w:w="0" w:type="dxa"/>
                  </w:tcMar>
                  <w:vAlign w:val="center"/>
                </w:tcPr>
                <w:p w14:paraId="7EF5DBC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0"/>
                      <w:sz w:val="21"/>
                      <w:szCs w:val="21"/>
                      <w:lang w:val="en-US" w:eastAsia="zh-CN"/>
                    </w:rPr>
                  </w:pPr>
                </w:p>
              </w:tc>
              <w:tc>
                <w:tcPr>
                  <w:tcW w:w="2144" w:type="pct"/>
                  <w:tcBorders>
                    <w:tl2br w:val="nil"/>
                    <w:tr2bl w:val="nil"/>
                  </w:tcBorders>
                  <w:shd w:val="clear" w:color="auto" w:fill="auto"/>
                  <w:noWrap w:val="0"/>
                  <w:tcMar>
                    <w:top w:w="0" w:type="dxa"/>
                    <w:left w:w="0" w:type="dxa"/>
                    <w:bottom w:w="0" w:type="dxa"/>
                    <w:right w:w="0" w:type="dxa"/>
                  </w:tcMar>
                  <w:vAlign w:val="center"/>
                </w:tcPr>
                <w:p w14:paraId="7CDE6CD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rPr>
                    <w:t>西</w:t>
                  </w:r>
                  <w:r>
                    <w:rPr>
                      <w:rFonts w:hint="default" w:ascii="Times New Roman" w:hAnsi="Times New Roman" w:cs="Times New Roman"/>
                      <w:color w:val="auto"/>
                      <w:sz w:val="21"/>
                      <w:szCs w:val="21"/>
                      <w:highlight w:val="none"/>
                    </w:rPr>
                    <w:t>厂界</w:t>
                  </w:r>
                  <w:r>
                    <w:rPr>
                      <w:rFonts w:hint="eastAsia" w:ascii="Times New Roman" w:hAnsi="Times New Roman" w:cs="Times New Roman"/>
                      <w:color w:val="auto"/>
                      <w:sz w:val="21"/>
                      <w:szCs w:val="21"/>
                      <w:highlight w:val="none"/>
                      <w:lang w:val="en-US" w:eastAsia="zh-CN"/>
                    </w:rPr>
                    <w:t>外</w:t>
                  </w:r>
                  <w:r>
                    <w:rPr>
                      <w:rFonts w:hint="default" w:ascii="Times New Roman" w:hAnsi="Times New Roman" w:eastAsia="宋体" w:cs="Times New Roman"/>
                      <w:color w:val="auto"/>
                      <w:kern w:val="0"/>
                      <w:sz w:val="21"/>
                      <w:szCs w:val="21"/>
                      <w:lang w:val="en-US" w:eastAsia="zh-CN"/>
                    </w:rPr>
                    <w:t>1米处Z3监测点</w:t>
                  </w:r>
                </w:p>
              </w:tc>
              <w:tc>
                <w:tcPr>
                  <w:tcW w:w="982" w:type="pct"/>
                  <w:tcBorders>
                    <w:tl2br w:val="nil"/>
                    <w:tr2bl w:val="nil"/>
                  </w:tcBorders>
                  <w:shd w:val="clear" w:color="auto" w:fill="auto"/>
                  <w:noWrap w:val="0"/>
                  <w:tcMar>
                    <w:top w:w="0" w:type="dxa"/>
                    <w:left w:w="0" w:type="dxa"/>
                    <w:bottom w:w="0" w:type="dxa"/>
                    <w:right w:w="0" w:type="dxa"/>
                  </w:tcMar>
                  <w:vAlign w:val="center"/>
                </w:tcPr>
                <w:p w14:paraId="4A52B44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57.0</w:t>
                  </w:r>
                </w:p>
              </w:tc>
              <w:tc>
                <w:tcPr>
                  <w:tcW w:w="1103" w:type="pct"/>
                  <w:tcBorders>
                    <w:tl2br w:val="nil"/>
                    <w:tr2bl w:val="nil"/>
                  </w:tcBorders>
                  <w:shd w:val="clear" w:color="auto" w:fill="auto"/>
                  <w:noWrap w:val="0"/>
                  <w:tcMar>
                    <w:top w:w="0" w:type="dxa"/>
                    <w:left w:w="0" w:type="dxa"/>
                    <w:bottom w:w="0" w:type="dxa"/>
                    <w:right w:w="0" w:type="dxa"/>
                  </w:tcMar>
                  <w:vAlign w:val="center"/>
                </w:tcPr>
                <w:p w14:paraId="5FC807E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49.5</w:t>
                  </w:r>
                </w:p>
              </w:tc>
            </w:tr>
            <w:tr w14:paraId="4DBF195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69" w:type="pct"/>
                  <w:vMerge w:val="continue"/>
                  <w:tcBorders>
                    <w:tl2br w:val="nil"/>
                    <w:tr2bl w:val="nil"/>
                  </w:tcBorders>
                  <w:noWrap w:val="0"/>
                  <w:tcMar>
                    <w:top w:w="0" w:type="dxa"/>
                    <w:left w:w="0" w:type="dxa"/>
                    <w:bottom w:w="0" w:type="dxa"/>
                    <w:right w:w="0" w:type="dxa"/>
                  </w:tcMar>
                  <w:vAlign w:val="center"/>
                </w:tcPr>
                <w:p w14:paraId="18F87A5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0"/>
                      <w:sz w:val="21"/>
                      <w:szCs w:val="21"/>
                      <w:lang w:val="en-US" w:eastAsia="zh-CN"/>
                    </w:rPr>
                  </w:pPr>
                </w:p>
              </w:tc>
              <w:tc>
                <w:tcPr>
                  <w:tcW w:w="2144" w:type="pct"/>
                  <w:tcBorders>
                    <w:tl2br w:val="nil"/>
                    <w:tr2bl w:val="nil"/>
                  </w:tcBorders>
                  <w:shd w:val="clear" w:color="auto" w:fill="auto"/>
                  <w:noWrap w:val="0"/>
                  <w:tcMar>
                    <w:top w:w="0" w:type="dxa"/>
                    <w:left w:w="0" w:type="dxa"/>
                    <w:bottom w:w="0" w:type="dxa"/>
                    <w:right w:w="0" w:type="dxa"/>
                  </w:tcMar>
                  <w:vAlign w:val="center"/>
                </w:tcPr>
                <w:p w14:paraId="09F3AEB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rPr>
                    <w:t>北</w:t>
                  </w:r>
                  <w:r>
                    <w:rPr>
                      <w:rFonts w:hint="default" w:ascii="Times New Roman" w:hAnsi="Times New Roman" w:cs="Times New Roman"/>
                      <w:color w:val="auto"/>
                      <w:sz w:val="21"/>
                      <w:szCs w:val="21"/>
                      <w:highlight w:val="none"/>
                    </w:rPr>
                    <w:t>厂界</w:t>
                  </w:r>
                  <w:r>
                    <w:rPr>
                      <w:rFonts w:hint="eastAsia" w:ascii="Times New Roman" w:hAnsi="Times New Roman" w:cs="Times New Roman"/>
                      <w:color w:val="auto"/>
                      <w:sz w:val="21"/>
                      <w:szCs w:val="21"/>
                      <w:highlight w:val="none"/>
                      <w:lang w:val="en-US" w:eastAsia="zh-CN"/>
                    </w:rPr>
                    <w:t>外</w:t>
                  </w:r>
                  <w:r>
                    <w:rPr>
                      <w:rFonts w:hint="default" w:ascii="Times New Roman" w:hAnsi="Times New Roman" w:eastAsia="宋体" w:cs="Times New Roman"/>
                      <w:color w:val="auto"/>
                      <w:kern w:val="0"/>
                      <w:sz w:val="21"/>
                      <w:szCs w:val="21"/>
                      <w:lang w:val="en-US" w:eastAsia="zh-CN"/>
                    </w:rPr>
                    <w:t>1米处Z4监测点</w:t>
                  </w:r>
                </w:p>
              </w:tc>
              <w:tc>
                <w:tcPr>
                  <w:tcW w:w="982" w:type="pct"/>
                  <w:tcBorders>
                    <w:tl2br w:val="nil"/>
                    <w:tr2bl w:val="nil"/>
                  </w:tcBorders>
                  <w:shd w:val="clear" w:color="auto" w:fill="auto"/>
                  <w:noWrap w:val="0"/>
                  <w:tcMar>
                    <w:top w:w="0" w:type="dxa"/>
                    <w:left w:w="0" w:type="dxa"/>
                    <w:bottom w:w="0" w:type="dxa"/>
                    <w:right w:w="0" w:type="dxa"/>
                  </w:tcMar>
                  <w:vAlign w:val="center"/>
                </w:tcPr>
                <w:p w14:paraId="5CB10DA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58.7</w:t>
                  </w:r>
                </w:p>
              </w:tc>
              <w:tc>
                <w:tcPr>
                  <w:tcW w:w="1103" w:type="pct"/>
                  <w:tcBorders>
                    <w:tl2br w:val="nil"/>
                    <w:tr2bl w:val="nil"/>
                  </w:tcBorders>
                  <w:shd w:val="clear" w:color="auto" w:fill="auto"/>
                  <w:noWrap w:val="0"/>
                  <w:tcMar>
                    <w:top w:w="0" w:type="dxa"/>
                    <w:left w:w="0" w:type="dxa"/>
                    <w:bottom w:w="0" w:type="dxa"/>
                    <w:right w:w="0" w:type="dxa"/>
                  </w:tcMar>
                  <w:vAlign w:val="center"/>
                </w:tcPr>
                <w:p w14:paraId="031C1DF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52.1</w:t>
                  </w:r>
                </w:p>
              </w:tc>
            </w:tr>
          </w:tbl>
          <w:p w14:paraId="53F19F2A">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20" w:firstLineChars="200"/>
              <w:textAlignment w:val="auto"/>
              <w:rPr>
                <w:rFonts w:hint="default" w:ascii="Times New Roman" w:hAnsi="Times New Roman" w:eastAsia="宋体" w:cs="Times New Roman"/>
                <w:b/>
                <w:bCs/>
                <w:color w:val="auto"/>
                <w:sz w:val="21"/>
                <w:szCs w:val="21"/>
                <w:lang w:val="en-US" w:eastAsia="zh-CN"/>
              </w:rPr>
            </w:pPr>
            <w:r>
              <w:rPr>
                <w:rFonts w:hint="eastAsia"/>
                <w:color w:val="auto"/>
                <w:sz w:val="21"/>
                <w:szCs w:val="21"/>
                <w:highlight w:val="none"/>
              </w:rPr>
              <w:t>监测结果表明，厂界噪声监测值均符合《工业企业厂界环境噪声排放标准》（GB12348-2008）</w:t>
            </w:r>
            <w:r>
              <w:rPr>
                <w:rFonts w:hint="eastAsia"/>
                <w:color w:val="auto"/>
                <w:sz w:val="21"/>
                <w:szCs w:val="21"/>
                <w:highlight w:val="none"/>
                <w:lang w:val="en-US" w:eastAsia="zh-CN"/>
              </w:rPr>
              <w:t>3</w:t>
            </w:r>
            <w:r>
              <w:rPr>
                <w:rFonts w:hint="eastAsia"/>
                <w:color w:val="auto"/>
                <w:sz w:val="21"/>
                <w:szCs w:val="21"/>
                <w:highlight w:val="none"/>
              </w:rPr>
              <w:t>类标准限值要求。</w:t>
            </w:r>
          </w:p>
          <w:p w14:paraId="79E51F83">
            <w:pPr>
              <w:spacing w:line="360" w:lineRule="auto"/>
              <w:ind w:firstLine="422" w:firstLineChars="200"/>
              <w:rPr>
                <w:color w:val="auto"/>
                <w:sz w:val="21"/>
                <w:szCs w:val="21"/>
                <w:highlight w:val="none"/>
              </w:rPr>
            </w:pPr>
            <w:r>
              <w:rPr>
                <w:rFonts w:hint="eastAsia" w:ascii="Times New Roman" w:hAnsi="Times New Roman" w:eastAsia="宋体" w:cs="Times New Roman"/>
                <w:b/>
                <w:color w:val="auto"/>
                <w:szCs w:val="21"/>
                <w:lang w:val="en-US" w:eastAsia="zh-CN"/>
              </w:rPr>
              <w:t>3、原</w:t>
            </w:r>
            <w:r>
              <w:rPr>
                <w:rFonts w:hint="eastAsia"/>
                <w:b/>
                <w:color w:val="auto"/>
                <w:szCs w:val="21"/>
              </w:rPr>
              <w:t>项目污染物产生及批复排放量汇总</w:t>
            </w:r>
          </w:p>
          <w:p w14:paraId="129EC29C">
            <w:pPr>
              <w:pStyle w:val="7"/>
              <w:keepNext w:val="0"/>
              <w:keepLines w:val="0"/>
              <w:pageBreakBefore w:val="0"/>
              <w:widowControl w:val="0"/>
              <w:kinsoku/>
              <w:wordWrap/>
              <w:overflowPunct/>
              <w:topLinePunct w:val="0"/>
              <w:autoSpaceDE/>
              <w:autoSpaceDN/>
              <w:bidi w:val="0"/>
              <w:adjustRightInd w:val="0"/>
              <w:snapToGrid w:val="0"/>
              <w:spacing w:line="360" w:lineRule="auto"/>
              <w:ind w:left="0" w:leftChars="0" w:firstLine="420" w:firstLineChars="200"/>
              <w:textAlignment w:val="auto"/>
              <w:rPr>
                <w:rFonts w:hint="eastAsia"/>
                <w:color w:val="auto"/>
                <w:sz w:val="21"/>
                <w:szCs w:val="21"/>
                <w:highlight w:val="none"/>
                <w:lang w:val="en-US" w:eastAsia="zh-CN"/>
              </w:rPr>
            </w:pPr>
            <w:r>
              <w:rPr>
                <w:color w:val="auto"/>
                <w:sz w:val="21"/>
                <w:szCs w:val="21"/>
                <w:highlight w:val="none"/>
              </w:rPr>
              <w:t>根据</w:t>
            </w:r>
            <w:r>
              <w:rPr>
                <w:rFonts w:hint="eastAsia"/>
                <w:color w:val="auto"/>
                <w:sz w:val="21"/>
                <w:szCs w:val="21"/>
                <w:highlight w:val="none"/>
                <w:lang w:val="en-US" w:eastAsia="zh-CN"/>
              </w:rPr>
              <w:t>现有项目环评报告、竣工验收报告中数据，污染物环评批复排放量及实际排放量见下表。</w:t>
            </w:r>
          </w:p>
          <w:p w14:paraId="35D061A2">
            <w:pPr>
              <w:pStyle w:val="7"/>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color w:val="auto"/>
                <w:sz w:val="21"/>
                <w:szCs w:val="21"/>
                <w:highlight w:val="none"/>
                <w:lang w:val="en-US" w:eastAsia="zh-CN"/>
              </w:rPr>
            </w:pPr>
            <w:r>
              <w:rPr>
                <w:rFonts w:hint="eastAsia"/>
                <w:b/>
                <w:bCs/>
                <w:color w:val="auto"/>
                <w:sz w:val="21"/>
                <w:szCs w:val="21"/>
                <w:highlight w:val="none"/>
              </w:rPr>
              <w:t>表2-</w:t>
            </w:r>
            <w:r>
              <w:rPr>
                <w:rFonts w:hint="eastAsia"/>
                <w:b/>
                <w:bCs/>
                <w:color w:val="auto"/>
                <w:sz w:val="21"/>
                <w:szCs w:val="21"/>
                <w:highlight w:val="none"/>
                <w:lang w:val="en-US" w:eastAsia="zh-CN"/>
              </w:rPr>
              <w:t>14 原</w:t>
            </w:r>
            <w:r>
              <w:rPr>
                <w:b/>
                <w:bCs/>
                <w:color w:val="auto"/>
                <w:sz w:val="21"/>
                <w:szCs w:val="21"/>
                <w:highlight w:val="none"/>
              </w:rPr>
              <w:t>项目污染物</w:t>
            </w:r>
            <w:r>
              <w:rPr>
                <w:rFonts w:hint="eastAsia"/>
                <w:b/>
                <w:bCs/>
                <w:color w:val="auto"/>
                <w:sz w:val="21"/>
                <w:szCs w:val="21"/>
                <w:highlight w:val="none"/>
                <w:lang w:val="en-US" w:eastAsia="zh-CN"/>
              </w:rPr>
              <w:t>环评批复排放量及实际排放量汇总表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097"/>
              <w:gridCol w:w="1684"/>
              <w:gridCol w:w="1686"/>
              <w:gridCol w:w="1930"/>
              <w:gridCol w:w="1897"/>
            </w:tblGrid>
            <w:tr w14:paraId="0DBFF0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blHeader/>
                <w:jc w:val="center"/>
              </w:trPr>
              <w:tc>
                <w:tcPr>
                  <w:tcW w:w="661" w:type="pct"/>
                  <w:noWrap w:val="0"/>
                  <w:vAlign w:val="center"/>
                </w:tcPr>
                <w:p w14:paraId="40F4FE81">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分类</w:t>
                  </w:r>
                </w:p>
              </w:tc>
              <w:tc>
                <w:tcPr>
                  <w:tcW w:w="2031" w:type="pct"/>
                  <w:gridSpan w:val="2"/>
                  <w:noWrap w:val="0"/>
                  <w:vAlign w:val="center"/>
                </w:tcPr>
                <w:p w14:paraId="2FA5634E">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污染物</w:t>
                  </w:r>
                </w:p>
              </w:tc>
              <w:tc>
                <w:tcPr>
                  <w:tcW w:w="1163" w:type="pct"/>
                  <w:noWrap w:val="0"/>
                  <w:vAlign w:val="center"/>
                </w:tcPr>
                <w:p w14:paraId="6C141925">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环评批复量t/a</w:t>
                  </w:r>
                </w:p>
              </w:tc>
              <w:tc>
                <w:tcPr>
                  <w:tcW w:w="1143" w:type="pct"/>
                  <w:noWrap w:val="0"/>
                  <w:vAlign w:val="center"/>
                </w:tcPr>
                <w:p w14:paraId="4425E061">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实际排放量t/a</w:t>
                  </w:r>
                </w:p>
              </w:tc>
            </w:tr>
            <w:tr w14:paraId="100390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61" w:type="pct"/>
                  <w:vMerge w:val="restart"/>
                  <w:noWrap w:val="0"/>
                  <w:vAlign w:val="center"/>
                </w:tcPr>
                <w:p w14:paraId="6E7D4D45">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废水</w:t>
                  </w:r>
                </w:p>
              </w:tc>
              <w:tc>
                <w:tcPr>
                  <w:tcW w:w="2031" w:type="pct"/>
                  <w:gridSpan w:val="2"/>
                  <w:noWrap w:val="0"/>
                  <w:vAlign w:val="center"/>
                </w:tcPr>
                <w:p w14:paraId="436F5086">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废水量</w:t>
                  </w:r>
                </w:p>
              </w:tc>
              <w:tc>
                <w:tcPr>
                  <w:tcW w:w="1163" w:type="pct"/>
                  <w:shd w:val="clear" w:color="auto" w:fill="auto"/>
                  <w:noWrap w:val="0"/>
                  <w:vAlign w:val="center"/>
                </w:tcPr>
                <w:p w14:paraId="738467AB">
                  <w:pPr>
                    <w:widowControl/>
                    <w:jc w:val="center"/>
                    <w:textAlignment w:val="center"/>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olor w:val="auto"/>
                      <w:szCs w:val="21"/>
                      <w:lang w:val="en-US" w:eastAsia="zh-CN"/>
                    </w:rPr>
                    <w:t>107.52</w:t>
                  </w:r>
                </w:p>
              </w:tc>
              <w:tc>
                <w:tcPr>
                  <w:tcW w:w="1143" w:type="pct"/>
                  <w:shd w:val="clear" w:color="auto" w:fill="auto"/>
                  <w:noWrap w:val="0"/>
                  <w:vAlign w:val="center"/>
                </w:tcPr>
                <w:p w14:paraId="5CB472F9">
                  <w:pPr>
                    <w:widowControl/>
                    <w:jc w:val="center"/>
                    <w:textAlignment w:val="center"/>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olor w:val="auto"/>
                      <w:szCs w:val="21"/>
                      <w:lang w:val="en-US" w:eastAsia="zh-CN"/>
                    </w:rPr>
                    <w:t>107.52</w:t>
                  </w:r>
                </w:p>
              </w:tc>
            </w:tr>
            <w:tr w14:paraId="6F0AA8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61" w:type="pct"/>
                  <w:vMerge w:val="continue"/>
                  <w:noWrap w:val="0"/>
                  <w:vAlign w:val="center"/>
                </w:tcPr>
                <w:p w14:paraId="54DBA3C2">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p>
              </w:tc>
              <w:tc>
                <w:tcPr>
                  <w:tcW w:w="2031" w:type="pct"/>
                  <w:gridSpan w:val="2"/>
                  <w:noWrap w:val="0"/>
                  <w:vAlign w:val="center"/>
                </w:tcPr>
                <w:p w14:paraId="3023A283">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COD</w:t>
                  </w:r>
                </w:p>
              </w:tc>
              <w:tc>
                <w:tcPr>
                  <w:tcW w:w="1163" w:type="pct"/>
                  <w:shd w:val="clear" w:color="auto" w:fill="auto"/>
                  <w:noWrap w:val="0"/>
                  <w:vAlign w:val="center"/>
                </w:tcPr>
                <w:p w14:paraId="66FD5FC4">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0.043</w:t>
                  </w:r>
                </w:p>
              </w:tc>
              <w:tc>
                <w:tcPr>
                  <w:tcW w:w="1143" w:type="pct"/>
                  <w:shd w:val="clear" w:color="auto" w:fill="auto"/>
                  <w:noWrap w:val="0"/>
                  <w:vAlign w:val="center"/>
                </w:tcPr>
                <w:p w14:paraId="56E6B6D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0.043</w:t>
                  </w:r>
                </w:p>
              </w:tc>
            </w:tr>
            <w:tr w14:paraId="3C5E3C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61" w:type="pct"/>
                  <w:vMerge w:val="continue"/>
                  <w:noWrap w:val="0"/>
                  <w:vAlign w:val="center"/>
                </w:tcPr>
                <w:p w14:paraId="09F60130">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p>
              </w:tc>
              <w:tc>
                <w:tcPr>
                  <w:tcW w:w="2031" w:type="pct"/>
                  <w:gridSpan w:val="2"/>
                  <w:noWrap w:val="0"/>
                  <w:vAlign w:val="center"/>
                </w:tcPr>
                <w:p w14:paraId="6F68B796">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SS</w:t>
                  </w:r>
                </w:p>
              </w:tc>
              <w:tc>
                <w:tcPr>
                  <w:tcW w:w="1163" w:type="pct"/>
                  <w:shd w:val="clear" w:color="auto" w:fill="auto"/>
                  <w:noWrap w:val="0"/>
                  <w:vAlign w:val="center"/>
                </w:tcPr>
                <w:p w14:paraId="4468FC4B">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0.0215</w:t>
                  </w:r>
                </w:p>
              </w:tc>
              <w:tc>
                <w:tcPr>
                  <w:tcW w:w="1143" w:type="pct"/>
                  <w:shd w:val="clear" w:color="auto" w:fill="auto"/>
                  <w:noWrap w:val="0"/>
                  <w:vAlign w:val="center"/>
                </w:tcPr>
                <w:p w14:paraId="1799F97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0.0215</w:t>
                  </w:r>
                </w:p>
              </w:tc>
            </w:tr>
            <w:tr w14:paraId="1863E7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61" w:type="pct"/>
                  <w:vMerge w:val="continue"/>
                  <w:noWrap w:val="0"/>
                  <w:vAlign w:val="center"/>
                </w:tcPr>
                <w:p w14:paraId="28818E60">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p>
              </w:tc>
              <w:tc>
                <w:tcPr>
                  <w:tcW w:w="2031" w:type="pct"/>
                  <w:gridSpan w:val="2"/>
                  <w:noWrap w:val="0"/>
                  <w:vAlign w:val="center"/>
                </w:tcPr>
                <w:p w14:paraId="221415AA">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氨氮</w:t>
                  </w:r>
                </w:p>
              </w:tc>
              <w:tc>
                <w:tcPr>
                  <w:tcW w:w="1163" w:type="pct"/>
                  <w:shd w:val="clear" w:color="auto" w:fill="auto"/>
                  <w:noWrap w:val="0"/>
                  <w:vAlign w:val="center"/>
                </w:tcPr>
                <w:p w14:paraId="28202E1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0.0038</w:t>
                  </w:r>
                </w:p>
              </w:tc>
              <w:tc>
                <w:tcPr>
                  <w:tcW w:w="1143" w:type="pct"/>
                  <w:shd w:val="clear" w:color="auto" w:fill="auto"/>
                  <w:noWrap w:val="0"/>
                  <w:vAlign w:val="center"/>
                </w:tcPr>
                <w:p w14:paraId="4C778EB4">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0.0038</w:t>
                  </w:r>
                </w:p>
              </w:tc>
            </w:tr>
            <w:tr w14:paraId="58B916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61" w:type="pct"/>
                  <w:vMerge w:val="continue"/>
                  <w:noWrap w:val="0"/>
                  <w:vAlign w:val="center"/>
                </w:tcPr>
                <w:p w14:paraId="2A8045A0">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p>
              </w:tc>
              <w:tc>
                <w:tcPr>
                  <w:tcW w:w="2031" w:type="pct"/>
                  <w:gridSpan w:val="2"/>
                  <w:noWrap w:val="0"/>
                  <w:vAlign w:val="center"/>
                </w:tcPr>
                <w:p w14:paraId="7176B4CA">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TP</w:t>
                  </w:r>
                </w:p>
              </w:tc>
              <w:tc>
                <w:tcPr>
                  <w:tcW w:w="1163" w:type="pct"/>
                  <w:shd w:val="clear" w:color="auto" w:fill="auto"/>
                  <w:noWrap w:val="0"/>
                  <w:vAlign w:val="center"/>
                </w:tcPr>
                <w:p w14:paraId="359C173B">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0.0003</w:t>
                  </w:r>
                </w:p>
              </w:tc>
              <w:tc>
                <w:tcPr>
                  <w:tcW w:w="1143" w:type="pct"/>
                  <w:shd w:val="clear" w:color="auto" w:fill="auto"/>
                  <w:noWrap w:val="0"/>
                  <w:vAlign w:val="center"/>
                </w:tcPr>
                <w:p w14:paraId="3FFAC0CA">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0.0003</w:t>
                  </w:r>
                </w:p>
              </w:tc>
            </w:tr>
            <w:tr w14:paraId="0BC6EC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61" w:type="pct"/>
                  <w:vMerge w:val="continue"/>
                  <w:noWrap w:val="0"/>
                  <w:vAlign w:val="center"/>
                </w:tcPr>
                <w:p w14:paraId="6084710A">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p>
              </w:tc>
              <w:tc>
                <w:tcPr>
                  <w:tcW w:w="2031" w:type="pct"/>
                  <w:gridSpan w:val="2"/>
                  <w:noWrap w:val="0"/>
                  <w:vAlign w:val="center"/>
                </w:tcPr>
                <w:p w14:paraId="700130B4">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T</w:t>
                  </w:r>
                  <w:r>
                    <w:rPr>
                      <w:rFonts w:hint="eastAsia" w:ascii="Times New Roman" w:hAnsi="Times New Roman" w:eastAsia="宋体" w:cs="Times New Roman"/>
                      <w:color w:val="auto"/>
                      <w:sz w:val="21"/>
                      <w:szCs w:val="21"/>
                      <w:highlight w:val="none"/>
                      <w:lang w:val="en-US" w:eastAsia="zh-CN"/>
                    </w:rPr>
                    <w:t>N</w:t>
                  </w:r>
                </w:p>
              </w:tc>
              <w:tc>
                <w:tcPr>
                  <w:tcW w:w="1163" w:type="pct"/>
                  <w:shd w:val="clear" w:color="auto" w:fill="auto"/>
                  <w:noWrap w:val="0"/>
                  <w:vAlign w:val="center"/>
                </w:tcPr>
                <w:p w14:paraId="2FAFF1A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0.0054</w:t>
                  </w:r>
                </w:p>
              </w:tc>
              <w:tc>
                <w:tcPr>
                  <w:tcW w:w="1143" w:type="pct"/>
                  <w:shd w:val="clear" w:color="auto" w:fill="auto"/>
                  <w:noWrap w:val="0"/>
                  <w:vAlign w:val="center"/>
                </w:tcPr>
                <w:p w14:paraId="04DDF406">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0.0054</w:t>
                  </w:r>
                </w:p>
              </w:tc>
            </w:tr>
            <w:tr w14:paraId="09B8F2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61" w:type="pct"/>
                  <w:vMerge w:val="restart"/>
                  <w:noWrap w:val="0"/>
                  <w:vAlign w:val="center"/>
                </w:tcPr>
                <w:p w14:paraId="14178CC2">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有组织废气</w:t>
                  </w:r>
                </w:p>
              </w:tc>
              <w:tc>
                <w:tcPr>
                  <w:tcW w:w="1015" w:type="pct"/>
                  <w:noWrap w:val="0"/>
                  <w:vAlign w:val="center"/>
                </w:tcPr>
                <w:p w14:paraId="0DC73071">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DA001</w:t>
                  </w:r>
                </w:p>
              </w:tc>
              <w:tc>
                <w:tcPr>
                  <w:tcW w:w="1016" w:type="pct"/>
                  <w:shd w:val="clear" w:color="auto" w:fill="auto"/>
                  <w:noWrap w:val="0"/>
                  <w:vAlign w:val="center"/>
                </w:tcPr>
                <w:p w14:paraId="642E50AE">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颗粒物</w:t>
                  </w:r>
                </w:p>
              </w:tc>
              <w:tc>
                <w:tcPr>
                  <w:tcW w:w="1163" w:type="pct"/>
                  <w:shd w:val="clear" w:color="auto" w:fill="auto"/>
                  <w:noWrap w:val="0"/>
                  <w:vAlign w:val="center"/>
                </w:tcPr>
                <w:p w14:paraId="3AECE972">
                  <w:pPr>
                    <w:jc w:val="center"/>
                    <w:rPr>
                      <w:rFonts w:hint="default" w:ascii="Times New Roman" w:hAnsi="Times New Roman" w:eastAsia="宋体" w:cs="Times New Roman"/>
                      <w:color w:val="auto"/>
                      <w:kern w:val="2"/>
                      <w:sz w:val="21"/>
                      <w:szCs w:val="24"/>
                      <w:lang w:val="en-US" w:eastAsia="zh-CN" w:bidi="ar-SA"/>
                    </w:rPr>
                  </w:pPr>
                  <w:r>
                    <w:rPr>
                      <w:rFonts w:ascii="Times New Roman" w:hAnsi="Times New Roman"/>
                      <w:color w:val="auto"/>
                      <w:szCs w:val="21"/>
                    </w:rPr>
                    <w:t>0.0189</w:t>
                  </w:r>
                </w:p>
              </w:tc>
              <w:tc>
                <w:tcPr>
                  <w:tcW w:w="1143" w:type="pct"/>
                  <w:shd w:val="clear" w:color="auto" w:fill="auto"/>
                  <w:noWrap w:val="0"/>
                  <w:vAlign w:val="center"/>
                </w:tcPr>
                <w:p w14:paraId="066DFB08">
                  <w:pPr>
                    <w:jc w:val="center"/>
                    <w:rPr>
                      <w:rFonts w:hint="default" w:ascii="Times New Roman" w:hAnsi="Times New Roman" w:eastAsia="宋体" w:cs="Times New Roman"/>
                      <w:color w:val="auto"/>
                      <w:kern w:val="2"/>
                      <w:sz w:val="21"/>
                      <w:szCs w:val="24"/>
                      <w:lang w:val="en-US" w:eastAsia="zh-CN" w:bidi="ar-SA"/>
                    </w:rPr>
                  </w:pPr>
                  <w:r>
                    <w:rPr>
                      <w:rFonts w:ascii="Times New Roman" w:hAnsi="Times New Roman"/>
                      <w:color w:val="auto"/>
                      <w:szCs w:val="21"/>
                    </w:rPr>
                    <w:t>0.0189</w:t>
                  </w:r>
                </w:p>
              </w:tc>
            </w:tr>
            <w:tr w14:paraId="252234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blHeader/>
                <w:jc w:val="center"/>
              </w:trPr>
              <w:tc>
                <w:tcPr>
                  <w:tcW w:w="661" w:type="pct"/>
                  <w:vMerge w:val="continue"/>
                  <w:noWrap w:val="0"/>
                  <w:vAlign w:val="center"/>
                </w:tcPr>
                <w:p w14:paraId="55F046EF">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sz w:val="21"/>
                      <w:szCs w:val="21"/>
                      <w:highlight w:val="none"/>
                      <w:lang w:val="en-US" w:eastAsia="zh-CN"/>
                    </w:rPr>
                  </w:pPr>
                </w:p>
              </w:tc>
              <w:tc>
                <w:tcPr>
                  <w:tcW w:w="1015" w:type="pct"/>
                  <w:vMerge w:val="restart"/>
                  <w:noWrap w:val="0"/>
                  <w:vAlign w:val="center"/>
                </w:tcPr>
                <w:p w14:paraId="57F2B33E">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DA002</w:t>
                  </w:r>
                </w:p>
              </w:tc>
              <w:tc>
                <w:tcPr>
                  <w:tcW w:w="1016" w:type="pct"/>
                  <w:shd w:val="clear" w:color="auto" w:fill="auto"/>
                  <w:noWrap w:val="0"/>
                  <w:vAlign w:val="center"/>
                </w:tcPr>
                <w:p w14:paraId="3DC63B5B">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非甲烷总烃</w:t>
                  </w:r>
                </w:p>
              </w:tc>
              <w:tc>
                <w:tcPr>
                  <w:tcW w:w="1163" w:type="pct"/>
                  <w:shd w:val="clear" w:color="auto" w:fill="auto"/>
                  <w:noWrap w:val="0"/>
                  <w:vAlign w:val="center"/>
                </w:tcPr>
                <w:p w14:paraId="0B06EC2F">
                  <w:pPr>
                    <w:jc w:val="center"/>
                    <w:rPr>
                      <w:rFonts w:hint="default" w:ascii="Times New Roman" w:hAnsi="Times New Roman" w:eastAsia="宋体" w:cs="Times New Roman"/>
                      <w:color w:val="auto"/>
                      <w:kern w:val="2"/>
                      <w:sz w:val="21"/>
                      <w:szCs w:val="24"/>
                      <w:lang w:val="en-US" w:eastAsia="zh-CN" w:bidi="ar-SA"/>
                    </w:rPr>
                  </w:pPr>
                  <w:r>
                    <w:rPr>
                      <w:rFonts w:ascii="Times New Roman" w:hAnsi="Times New Roman"/>
                      <w:color w:val="auto"/>
                      <w:szCs w:val="21"/>
                    </w:rPr>
                    <w:t>0.054</w:t>
                  </w:r>
                </w:p>
              </w:tc>
              <w:tc>
                <w:tcPr>
                  <w:tcW w:w="1143" w:type="pct"/>
                  <w:shd w:val="clear" w:color="auto" w:fill="auto"/>
                  <w:noWrap w:val="0"/>
                  <w:vAlign w:val="center"/>
                </w:tcPr>
                <w:p w14:paraId="0ED6D840">
                  <w:pPr>
                    <w:jc w:val="center"/>
                    <w:rPr>
                      <w:rFonts w:hint="default" w:ascii="Times New Roman" w:hAnsi="Times New Roman" w:eastAsia="宋体" w:cs="Times New Roman"/>
                      <w:color w:val="auto"/>
                      <w:kern w:val="2"/>
                      <w:sz w:val="21"/>
                      <w:szCs w:val="24"/>
                      <w:lang w:val="en-US" w:eastAsia="zh-CN" w:bidi="ar-SA"/>
                    </w:rPr>
                  </w:pPr>
                  <w:r>
                    <w:rPr>
                      <w:rFonts w:ascii="Times New Roman" w:hAnsi="Times New Roman"/>
                      <w:color w:val="auto"/>
                      <w:szCs w:val="21"/>
                    </w:rPr>
                    <w:t>0.054</w:t>
                  </w:r>
                </w:p>
              </w:tc>
            </w:tr>
            <w:tr w14:paraId="70E0FC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tblHeader/>
                <w:jc w:val="center"/>
              </w:trPr>
              <w:tc>
                <w:tcPr>
                  <w:tcW w:w="661" w:type="pct"/>
                  <w:vMerge w:val="continue"/>
                  <w:noWrap w:val="0"/>
                  <w:vAlign w:val="center"/>
                </w:tcPr>
                <w:p w14:paraId="09C8B133">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sz w:val="21"/>
                      <w:szCs w:val="21"/>
                      <w:highlight w:val="none"/>
                      <w:lang w:val="en-US" w:eastAsia="zh-CN"/>
                    </w:rPr>
                  </w:pPr>
                </w:p>
              </w:tc>
              <w:tc>
                <w:tcPr>
                  <w:tcW w:w="1015" w:type="pct"/>
                  <w:vMerge w:val="continue"/>
                  <w:noWrap w:val="0"/>
                  <w:vAlign w:val="center"/>
                </w:tcPr>
                <w:p w14:paraId="2EAFA75F">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lang w:val="en-US" w:eastAsia="zh-CN"/>
                    </w:rPr>
                  </w:pPr>
                </w:p>
              </w:tc>
              <w:tc>
                <w:tcPr>
                  <w:tcW w:w="1016" w:type="pct"/>
                  <w:shd w:val="clear" w:color="auto" w:fill="auto"/>
                  <w:noWrap w:val="0"/>
                  <w:vAlign w:val="center"/>
                </w:tcPr>
                <w:p w14:paraId="6BC64B61">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颗粒物</w:t>
                  </w:r>
                </w:p>
              </w:tc>
              <w:tc>
                <w:tcPr>
                  <w:tcW w:w="1163" w:type="pct"/>
                  <w:shd w:val="clear" w:color="auto" w:fill="auto"/>
                  <w:noWrap w:val="0"/>
                  <w:vAlign w:val="center"/>
                </w:tcPr>
                <w:p w14:paraId="45F127B5">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0.0</w:t>
                  </w:r>
                  <w:r>
                    <w:rPr>
                      <w:rFonts w:hint="eastAsia" w:ascii="Times New Roman" w:hAnsi="Times New Roman"/>
                      <w:color w:val="auto"/>
                      <w:szCs w:val="21"/>
                      <w:lang w:val="en-US" w:eastAsia="zh-CN"/>
                    </w:rPr>
                    <w:t>43</w:t>
                  </w:r>
                </w:p>
              </w:tc>
              <w:tc>
                <w:tcPr>
                  <w:tcW w:w="1143" w:type="pct"/>
                  <w:shd w:val="clear" w:color="auto" w:fill="auto"/>
                  <w:noWrap w:val="0"/>
                  <w:vAlign w:val="center"/>
                </w:tcPr>
                <w:p w14:paraId="42F3ADC9">
                  <w:pPr>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color w:val="auto"/>
                      <w:szCs w:val="21"/>
                    </w:rPr>
                    <w:t>0.0</w:t>
                  </w:r>
                  <w:r>
                    <w:rPr>
                      <w:rFonts w:hint="eastAsia" w:ascii="Times New Roman" w:hAnsi="Times New Roman"/>
                      <w:color w:val="auto"/>
                      <w:szCs w:val="21"/>
                      <w:lang w:val="en-US" w:eastAsia="zh-CN"/>
                    </w:rPr>
                    <w:t>43</w:t>
                  </w:r>
                </w:p>
              </w:tc>
            </w:tr>
            <w:tr w14:paraId="2815D5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61" w:type="pct"/>
                  <w:vMerge w:val="restart"/>
                  <w:noWrap w:val="0"/>
                  <w:vAlign w:val="center"/>
                </w:tcPr>
                <w:p w14:paraId="64CEF30C">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无组织废气</w:t>
                  </w:r>
                </w:p>
              </w:tc>
              <w:tc>
                <w:tcPr>
                  <w:tcW w:w="2031" w:type="pct"/>
                  <w:gridSpan w:val="2"/>
                  <w:noWrap w:val="0"/>
                  <w:vAlign w:val="center"/>
                </w:tcPr>
                <w:p w14:paraId="0426D56F">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非甲烷总烃</w:t>
                  </w:r>
                </w:p>
              </w:tc>
              <w:tc>
                <w:tcPr>
                  <w:tcW w:w="1163" w:type="pct"/>
                  <w:shd w:val="clear" w:color="auto" w:fill="auto"/>
                  <w:noWrap w:val="0"/>
                  <w:vAlign w:val="center"/>
                </w:tcPr>
                <w:p w14:paraId="76FDF487">
                  <w:pPr>
                    <w:pStyle w:val="49"/>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ascii="Times New Roman" w:hAnsi="Times New Roman" w:eastAsia="宋体"/>
                      <w:color w:val="auto"/>
                    </w:rPr>
                    <w:t>0.064</w:t>
                  </w:r>
                </w:p>
              </w:tc>
              <w:tc>
                <w:tcPr>
                  <w:tcW w:w="1143" w:type="pct"/>
                  <w:noWrap w:val="0"/>
                  <w:vAlign w:val="center"/>
                </w:tcPr>
                <w:p w14:paraId="06D7D2BE">
                  <w:pPr>
                    <w:pStyle w:val="49"/>
                    <w:ind w:firstLine="0" w:firstLineChars="0"/>
                    <w:jc w:val="center"/>
                    <w:rPr>
                      <w:rFonts w:hint="default" w:ascii="Times New Roman" w:hAnsi="Times New Roman" w:eastAsia="宋体" w:cs="Times New Roman"/>
                      <w:color w:val="auto"/>
                      <w:sz w:val="21"/>
                      <w:szCs w:val="21"/>
                      <w:highlight w:val="none"/>
                      <w:lang w:val="en-US" w:eastAsia="zh-CN"/>
                    </w:rPr>
                  </w:pPr>
                  <w:r>
                    <w:rPr>
                      <w:rFonts w:ascii="Times New Roman" w:hAnsi="Times New Roman" w:eastAsia="宋体"/>
                      <w:color w:val="auto"/>
                    </w:rPr>
                    <w:t>0.064</w:t>
                  </w:r>
                </w:p>
              </w:tc>
            </w:tr>
            <w:tr w14:paraId="6D32DC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61" w:type="pct"/>
                  <w:vMerge w:val="continue"/>
                  <w:noWrap w:val="0"/>
                  <w:vAlign w:val="center"/>
                </w:tcPr>
                <w:p w14:paraId="68A3A3AF">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sz w:val="21"/>
                      <w:szCs w:val="21"/>
                      <w:highlight w:val="none"/>
                      <w:lang w:val="en-US" w:eastAsia="zh-CN"/>
                    </w:rPr>
                  </w:pPr>
                </w:p>
              </w:tc>
              <w:tc>
                <w:tcPr>
                  <w:tcW w:w="2031" w:type="pct"/>
                  <w:gridSpan w:val="2"/>
                  <w:noWrap w:val="0"/>
                  <w:vAlign w:val="center"/>
                </w:tcPr>
                <w:p w14:paraId="66CD4C04">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颗粒物</w:t>
                  </w:r>
                </w:p>
              </w:tc>
              <w:tc>
                <w:tcPr>
                  <w:tcW w:w="1163" w:type="pct"/>
                  <w:shd w:val="clear" w:color="auto" w:fill="auto"/>
                  <w:noWrap w:val="0"/>
                  <w:vAlign w:val="center"/>
                </w:tcPr>
                <w:p w14:paraId="3FAC7B27">
                  <w:pPr>
                    <w:pStyle w:val="49"/>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ascii="Times New Roman" w:hAnsi="Times New Roman" w:eastAsia="宋体"/>
                      <w:color w:val="auto"/>
                    </w:rPr>
                    <w:t>0.0966</w:t>
                  </w:r>
                </w:p>
              </w:tc>
              <w:tc>
                <w:tcPr>
                  <w:tcW w:w="1143" w:type="pct"/>
                  <w:noWrap w:val="0"/>
                  <w:vAlign w:val="center"/>
                </w:tcPr>
                <w:p w14:paraId="17F70B4E">
                  <w:pPr>
                    <w:pStyle w:val="49"/>
                    <w:ind w:firstLine="0" w:firstLineChars="0"/>
                    <w:jc w:val="center"/>
                    <w:rPr>
                      <w:rFonts w:hint="default" w:ascii="Times New Roman" w:hAnsi="Times New Roman" w:eastAsia="宋体" w:cs="Times New Roman"/>
                      <w:color w:val="auto"/>
                      <w:sz w:val="21"/>
                      <w:szCs w:val="21"/>
                      <w:highlight w:val="none"/>
                      <w:lang w:val="en-US" w:eastAsia="zh-CN"/>
                    </w:rPr>
                  </w:pPr>
                  <w:r>
                    <w:rPr>
                      <w:rFonts w:ascii="Times New Roman" w:hAnsi="Times New Roman" w:eastAsia="宋体"/>
                      <w:color w:val="auto"/>
                    </w:rPr>
                    <w:t>0.0966</w:t>
                  </w:r>
                </w:p>
              </w:tc>
            </w:tr>
            <w:tr w14:paraId="2272BB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61" w:type="pct"/>
                  <w:vMerge w:val="restart"/>
                  <w:noWrap w:val="0"/>
                  <w:vAlign w:val="center"/>
                </w:tcPr>
                <w:p w14:paraId="66A70370">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固废</w:t>
                  </w:r>
                </w:p>
              </w:tc>
              <w:tc>
                <w:tcPr>
                  <w:tcW w:w="2031" w:type="pct"/>
                  <w:gridSpan w:val="2"/>
                  <w:noWrap w:val="0"/>
                  <w:vAlign w:val="center"/>
                </w:tcPr>
                <w:p w14:paraId="7B42B2C4">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生活垃圾</w:t>
                  </w:r>
                </w:p>
              </w:tc>
              <w:tc>
                <w:tcPr>
                  <w:tcW w:w="1163" w:type="pct"/>
                  <w:noWrap w:val="0"/>
                  <w:vAlign w:val="center"/>
                </w:tcPr>
                <w:p w14:paraId="6076B0A9">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p>
              </w:tc>
              <w:tc>
                <w:tcPr>
                  <w:tcW w:w="1143" w:type="pct"/>
                  <w:noWrap w:val="0"/>
                  <w:vAlign w:val="center"/>
                </w:tcPr>
                <w:p w14:paraId="342FC319">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p>
              </w:tc>
            </w:tr>
            <w:tr w14:paraId="52B4C8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61" w:type="pct"/>
                  <w:vMerge w:val="continue"/>
                  <w:noWrap w:val="0"/>
                  <w:vAlign w:val="center"/>
                </w:tcPr>
                <w:p w14:paraId="129D45B4">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p>
              </w:tc>
              <w:tc>
                <w:tcPr>
                  <w:tcW w:w="2031" w:type="pct"/>
                  <w:gridSpan w:val="2"/>
                  <w:noWrap w:val="0"/>
                  <w:vAlign w:val="center"/>
                </w:tcPr>
                <w:p w14:paraId="4AC9BBDA">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一般固废</w:t>
                  </w:r>
                </w:p>
              </w:tc>
              <w:tc>
                <w:tcPr>
                  <w:tcW w:w="1163" w:type="pct"/>
                  <w:noWrap w:val="0"/>
                  <w:vAlign w:val="center"/>
                </w:tcPr>
                <w:p w14:paraId="51230DDF">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p>
              </w:tc>
              <w:tc>
                <w:tcPr>
                  <w:tcW w:w="1143" w:type="pct"/>
                  <w:noWrap w:val="0"/>
                  <w:vAlign w:val="center"/>
                </w:tcPr>
                <w:p w14:paraId="7C25332E">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p>
              </w:tc>
            </w:tr>
            <w:tr w14:paraId="6EB9A5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61" w:type="pct"/>
                  <w:vMerge w:val="continue"/>
                  <w:noWrap w:val="0"/>
                  <w:vAlign w:val="center"/>
                </w:tcPr>
                <w:p w14:paraId="6C962950">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p>
              </w:tc>
              <w:tc>
                <w:tcPr>
                  <w:tcW w:w="2031" w:type="pct"/>
                  <w:gridSpan w:val="2"/>
                  <w:noWrap w:val="0"/>
                  <w:vAlign w:val="center"/>
                </w:tcPr>
                <w:p w14:paraId="730A5B1D">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危险固废</w:t>
                  </w:r>
                </w:p>
              </w:tc>
              <w:tc>
                <w:tcPr>
                  <w:tcW w:w="1163" w:type="pct"/>
                  <w:noWrap w:val="0"/>
                  <w:vAlign w:val="center"/>
                </w:tcPr>
                <w:p w14:paraId="2E04C664">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p>
              </w:tc>
              <w:tc>
                <w:tcPr>
                  <w:tcW w:w="1143" w:type="pct"/>
                  <w:noWrap w:val="0"/>
                  <w:vAlign w:val="center"/>
                </w:tcPr>
                <w:p w14:paraId="632AE2A8">
                  <w:pPr>
                    <w:keepNext w:val="0"/>
                    <w:keepLines w:val="0"/>
                    <w:pageBreakBefore w:val="0"/>
                    <w:kinsoku/>
                    <w:wordWrap/>
                    <w:overflowPunct/>
                    <w:topLinePunct w:val="0"/>
                    <w:autoSpaceDE/>
                    <w:autoSpaceDN/>
                    <w:bidi w:val="0"/>
                    <w:adjustRightInd/>
                    <w:snapToGrid/>
                    <w:spacing w:before="63" w:beforeLines="20" w:after="63" w:afterLines="20" w:line="240" w:lineRule="auto"/>
                    <w:ind w:right="0" w:right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p>
              </w:tc>
            </w:tr>
          </w:tbl>
          <w:p w14:paraId="2E4D97BC">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20" w:firstLineChars="200"/>
              <w:textAlignment w:val="auto"/>
              <w:rPr>
                <w:rFonts w:hint="default" w:ascii="Times New Roman" w:hAnsi="Times New Roman" w:eastAsia="宋体" w:cs="Times New Roman"/>
                <w:b/>
                <w:bCs/>
                <w:color w:val="auto"/>
                <w:sz w:val="21"/>
                <w:szCs w:val="21"/>
                <w:lang w:val="en-US" w:eastAsia="zh-CN"/>
              </w:rPr>
            </w:pPr>
            <w:r>
              <w:rPr>
                <w:color w:val="auto"/>
                <w:sz w:val="21"/>
                <w:szCs w:val="21"/>
                <w:highlight w:val="none"/>
              </w:rPr>
              <w:t>根据上表可知，</w:t>
            </w:r>
            <w:r>
              <w:rPr>
                <w:rFonts w:hint="eastAsia"/>
                <w:color w:val="auto"/>
                <w:sz w:val="21"/>
                <w:szCs w:val="21"/>
                <w:highlight w:val="none"/>
                <w:lang w:val="en-US" w:eastAsia="zh-CN"/>
              </w:rPr>
              <w:t>原</w:t>
            </w:r>
            <w:r>
              <w:rPr>
                <w:color w:val="auto"/>
                <w:sz w:val="21"/>
                <w:szCs w:val="21"/>
                <w:highlight w:val="none"/>
              </w:rPr>
              <w:t>项目</w:t>
            </w:r>
            <w:r>
              <w:rPr>
                <w:rFonts w:hint="eastAsia"/>
                <w:color w:val="auto"/>
                <w:sz w:val="21"/>
                <w:szCs w:val="21"/>
                <w:highlight w:val="none"/>
                <w:lang w:val="en-US" w:eastAsia="zh-CN"/>
              </w:rPr>
              <w:t>废气及</w:t>
            </w:r>
            <w:r>
              <w:rPr>
                <w:color w:val="auto"/>
                <w:sz w:val="21"/>
                <w:szCs w:val="21"/>
                <w:highlight w:val="none"/>
              </w:rPr>
              <w:t>废水</w:t>
            </w:r>
            <w:r>
              <w:rPr>
                <w:rFonts w:hint="eastAsia"/>
                <w:color w:val="auto"/>
                <w:sz w:val="21"/>
                <w:szCs w:val="21"/>
                <w:highlight w:val="none"/>
              </w:rPr>
              <w:t>排放量</w:t>
            </w:r>
            <w:r>
              <w:rPr>
                <w:color w:val="auto"/>
                <w:sz w:val="21"/>
                <w:szCs w:val="21"/>
                <w:highlight w:val="none"/>
              </w:rPr>
              <w:t>未超出</w:t>
            </w:r>
            <w:r>
              <w:rPr>
                <w:rFonts w:hint="eastAsia"/>
                <w:color w:val="auto"/>
                <w:sz w:val="21"/>
                <w:szCs w:val="21"/>
                <w:highlight w:val="none"/>
              </w:rPr>
              <w:t>环评及</w:t>
            </w:r>
            <w:r>
              <w:rPr>
                <w:color w:val="auto"/>
                <w:sz w:val="21"/>
                <w:szCs w:val="21"/>
                <w:highlight w:val="none"/>
              </w:rPr>
              <w:t>批复总量。</w:t>
            </w:r>
          </w:p>
          <w:p w14:paraId="1D6BD3FA">
            <w:pPr>
              <w:tabs>
                <w:tab w:val="left" w:pos="840"/>
              </w:tabs>
              <w:adjustRightInd w:val="0"/>
              <w:snapToGrid w:val="0"/>
              <w:spacing w:line="360" w:lineRule="auto"/>
              <w:ind w:firstLine="422" w:firstLineChars="200"/>
              <w:rPr>
                <w:rFonts w:hint="default" w:ascii="Times New Roman" w:hAnsi="Times New Roman" w:eastAsia="宋体" w:cs="Times New Roman"/>
                <w:b/>
                <w:bCs/>
                <w:color w:val="auto"/>
                <w:szCs w:val="21"/>
              </w:rPr>
            </w:pPr>
            <w:r>
              <w:rPr>
                <w:rFonts w:hint="eastAsia" w:cs="Times New Roman"/>
                <w:b/>
                <w:bCs/>
                <w:color w:val="auto"/>
                <w:szCs w:val="21"/>
                <w:lang w:val="en-US" w:eastAsia="zh-CN"/>
              </w:rPr>
              <w:t>四</w:t>
            </w:r>
            <w:r>
              <w:rPr>
                <w:rFonts w:hint="default" w:ascii="Times New Roman" w:hAnsi="Times New Roman" w:eastAsia="宋体" w:cs="Times New Roman"/>
                <w:b/>
                <w:bCs/>
                <w:color w:val="auto"/>
                <w:szCs w:val="21"/>
              </w:rPr>
              <w:t>、现有项目存在的问题及以新带老措施：</w:t>
            </w:r>
          </w:p>
          <w:p w14:paraId="4C54DCA3">
            <w:pPr>
              <w:widowControl/>
              <w:spacing w:line="360" w:lineRule="auto"/>
              <w:ind w:firstLine="420" w:firstLineChars="200"/>
              <w:rPr>
                <w:rFonts w:hint="default" w:ascii="Times New Roman" w:hAnsi="Times New Roman" w:eastAsia="宋体" w:cs="Times New Roman"/>
                <w:color w:val="auto"/>
                <w:szCs w:val="21"/>
              </w:rPr>
            </w:pPr>
            <w:r>
              <w:rPr>
                <w:rFonts w:hint="eastAsia" w:cs="Times New Roman"/>
                <w:color w:val="auto"/>
                <w:szCs w:val="21"/>
                <w:lang w:val="en-US" w:eastAsia="zh-CN"/>
              </w:rPr>
              <w:t>1、</w:t>
            </w:r>
            <w:r>
              <w:rPr>
                <w:rFonts w:hint="default" w:ascii="Times New Roman" w:hAnsi="Times New Roman" w:eastAsia="宋体" w:cs="Times New Roman"/>
                <w:color w:val="auto"/>
                <w:szCs w:val="21"/>
              </w:rPr>
              <w:t>环保手续履行情况</w:t>
            </w:r>
          </w:p>
          <w:p w14:paraId="4D351F33">
            <w:pPr>
              <w:widowControl/>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①</w:t>
            </w:r>
            <w:r>
              <w:rPr>
                <w:rFonts w:hint="eastAsia" w:cs="Times New Roman"/>
                <w:color w:val="auto"/>
                <w:szCs w:val="21"/>
                <w:lang w:val="en-US" w:eastAsia="zh-CN"/>
              </w:rPr>
              <w:t>原</w:t>
            </w:r>
            <w:r>
              <w:rPr>
                <w:rFonts w:hint="default" w:ascii="Times New Roman" w:hAnsi="Times New Roman" w:eastAsia="宋体" w:cs="Times New Roman"/>
                <w:color w:val="auto"/>
                <w:szCs w:val="21"/>
              </w:rPr>
              <w:t>项目已取得排污许可证（证书编号：91320413MA256BF113001Y</w:t>
            </w:r>
            <w:r>
              <w:rPr>
                <w:rFonts w:hint="default" w:ascii="Times New Roman" w:hAnsi="Times New Roman" w:eastAsia="宋体" w:cs="Times New Roman"/>
                <w:color w:val="auto"/>
                <w:sz w:val="21"/>
                <w:szCs w:val="21"/>
                <w:lang w:val="en-US" w:eastAsia="zh-CN"/>
              </w:rPr>
              <w:t>，自2021年12月28日至2026年12月27日止</w:t>
            </w:r>
            <w:r>
              <w:rPr>
                <w:rFonts w:hint="default" w:ascii="Times New Roman" w:hAnsi="Times New Roman" w:eastAsia="宋体" w:cs="Times New Roman"/>
                <w:color w:val="auto"/>
                <w:szCs w:val="21"/>
              </w:rPr>
              <w:t>），在有效期范围内。</w:t>
            </w:r>
          </w:p>
          <w:p w14:paraId="4C0A6F64">
            <w:pPr>
              <w:adjustRightInd w:val="0"/>
              <w:snapToGrid w:val="0"/>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②企业一般固废收集后外售综合利用，危废收集后交由有资质单位处理，生活垃圾交由环卫处理，固废零排放。</w:t>
            </w:r>
          </w:p>
          <w:p w14:paraId="6F0B5F30">
            <w:pPr>
              <w:widowControl/>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③建设单位</w:t>
            </w:r>
            <w:r>
              <w:rPr>
                <w:rFonts w:hint="default" w:ascii="Times New Roman" w:hAnsi="Times New Roman" w:eastAsia="宋体" w:cs="Times New Roman"/>
                <w:color w:val="auto"/>
                <w:szCs w:val="21"/>
                <w:lang w:val="en-US" w:eastAsia="zh-CN"/>
              </w:rPr>
              <w:t>已</w:t>
            </w:r>
            <w:r>
              <w:rPr>
                <w:rFonts w:hint="default" w:ascii="Times New Roman" w:hAnsi="Times New Roman" w:eastAsia="宋体" w:cs="Times New Roman"/>
                <w:color w:val="auto"/>
                <w:szCs w:val="21"/>
              </w:rPr>
              <w:t>编制《突发环境事件应急预案》，</w:t>
            </w:r>
            <w:r>
              <w:rPr>
                <w:rFonts w:hint="default" w:ascii="Times New Roman" w:hAnsi="Times New Roman" w:eastAsia="宋体" w:cs="Times New Roman"/>
                <w:color w:val="auto"/>
                <w:szCs w:val="21"/>
                <w:lang w:val="en-US" w:eastAsia="zh-CN"/>
              </w:rPr>
              <w:t>备案号：</w:t>
            </w:r>
            <w:r>
              <w:rPr>
                <w:rFonts w:hint="default" w:ascii="Times New Roman" w:hAnsi="Times New Roman" w:eastAsia="宋体" w:cs="Times New Roman"/>
                <w:color w:val="auto"/>
                <w:sz w:val="21"/>
                <w:szCs w:val="21"/>
                <w:lang w:val="en-US" w:eastAsia="zh-CN"/>
              </w:rPr>
              <w:t>320413-202</w:t>
            </w:r>
            <w:r>
              <w:rPr>
                <w:rFonts w:hint="eastAsia" w:cs="Times New Roman"/>
                <w:color w:val="auto"/>
                <w:sz w:val="21"/>
                <w:szCs w:val="21"/>
                <w:lang w:val="en-US" w:eastAsia="zh-CN"/>
              </w:rPr>
              <w:t>2-089</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L</w:t>
            </w:r>
            <w:r>
              <w:rPr>
                <w:rFonts w:hint="default" w:ascii="Times New Roman" w:hAnsi="Times New Roman" w:eastAsia="宋体" w:cs="Times New Roman"/>
                <w:color w:val="auto"/>
                <w:szCs w:val="21"/>
              </w:rPr>
              <w:t>。</w:t>
            </w:r>
          </w:p>
          <w:p w14:paraId="2DF14F79">
            <w:pPr>
              <w:widowControl/>
              <w:spacing w:line="360" w:lineRule="auto"/>
              <w:ind w:firstLine="420" w:firstLineChars="200"/>
              <w:rPr>
                <w:rFonts w:hint="default" w:ascii="Times New Roman" w:hAnsi="Times New Roman" w:eastAsia="宋体" w:cs="Times New Roman"/>
                <w:bCs/>
                <w:color w:val="auto"/>
                <w:szCs w:val="21"/>
              </w:rPr>
            </w:pPr>
            <w:r>
              <w:rPr>
                <w:rFonts w:hint="eastAsia" w:cs="Times New Roman"/>
                <w:bCs/>
                <w:color w:val="auto"/>
                <w:szCs w:val="21"/>
                <w:lang w:val="en-US" w:eastAsia="zh-CN"/>
              </w:rPr>
              <w:t>2、</w:t>
            </w:r>
            <w:r>
              <w:rPr>
                <w:rFonts w:hint="default" w:ascii="Times New Roman" w:hAnsi="Times New Roman" w:eastAsia="宋体" w:cs="Times New Roman"/>
                <w:bCs/>
                <w:color w:val="auto"/>
                <w:szCs w:val="21"/>
              </w:rPr>
              <w:t>环境管理情况</w:t>
            </w:r>
          </w:p>
          <w:p w14:paraId="581A354E">
            <w:pPr>
              <w:widowControl/>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①建设单位仅职工生活污水经厂区污水管网排入常州金坛区第二污水处理有限公司集中处理；</w:t>
            </w:r>
          </w:p>
          <w:p w14:paraId="12B1C36E">
            <w:pPr>
              <w:widowControl/>
              <w:spacing w:line="360" w:lineRule="auto"/>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②高噪声设备经合理布局、消声、减振、厂房隔声及距离衰减后，各厂界噪声均可达标排放；</w:t>
            </w:r>
          </w:p>
          <w:p w14:paraId="0169B45C">
            <w:pPr>
              <w:spacing w:line="360" w:lineRule="auto"/>
              <w:ind w:firstLine="420" w:firstLineChars="20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Cs w:val="21"/>
              </w:rPr>
              <w:t>③危废、一般固废分别暂存于危废仓库、一般固废仓库，一般固废合同、危废合同已签订</w:t>
            </w:r>
            <w:r>
              <w:rPr>
                <w:rFonts w:hint="default" w:ascii="Times New Roman" w:hAnsi="Times New Roman" w:eastAsia="宋体" w:cs="Times New Roman"/>
                <w:color w:val="auto"/>
                <w:sz w:val="21"/>
                <w:szCs w:val="21"/>
                <w:lang w:val="en-US" w:eastAsia="zh-CN"/>
              </w:rPr>
              <w:t>处置协议，合同在有限期范围内，已设置危废台账等，均可得到妥善处置</w:t>
            </w:r>
            <w:r>
              <w:rPr>
                <w:rFonts w:hint="eastAsia" w:ascii="Times New Roman" w:hAnsi="Times New Roman" w:eastAsia="宋体" w:cs="Times New Roman"/>
                <w:color w:val="auto"/>
                <w:sz w:val="21"/>
                <w:szCs w:val="21"/>
                <w:lang w:val="en-US" w:eastAsia="zh-CN"/>
              </w:rPr>
              <w:t>，现有危废仓库满足《危险废物贮存污染控制标准》（GB18597-2023）等文件要求、现有一般固废仓库满足《一般工业固体废物贮存和填埋污染控制标准》（GB18599-2020）要求</w:t>
            </w:r>
            <w:r>
              <w:rPr>
                <w:rFonts w:hint="default" w:ascii="Times New Roman" w:hAnsi="Times New Roman" w:eastAsia="宋体" w:cs="Times New Roman"/>
                <w:color w:val="auto"/>
                <w:sz w:val="21"/>
                <w:szCs w:val="21"/>
                <w:lang w:val="en-US" w:eastAsia="zh-CN"/>
              </w:rPr>
              <w:t>。</w:t>
            </w:r>
          </w:p>
          <w:p w14:paraId="270FF9C3">
            <w:pPr>
              <w:spacing w:line="360" w:lineRule="auto"/>
              <w:ind w:firstLine="420" w:firstLineChars="200"/>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④现有厂区已按要求做好相关防渗措施。</w:t>
            </w:r>
          </w:p>
          <w:p w14:paraId="023D9122">
            <w:pPr>
              <w:spacing w:line="360" w:lineRule="auto"/>
              <w:ind w:firstLine="420" w:firstLineChars="20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r>
              <w:rPr>
                <w:rFonts w:hint="eastAsia" w:cs="Times New Roman"/>
                <w:color w:val="auto"/>
                <w:sz w:val="21"/>
                <w:szCs w:val="21"/>
                <w:lang w:val="en-US" w:eastAsia="zh-CN"/>
              </w:rPr>
              <w:t>原</w:t>
            </w:r>
            <w:r>
              <w:rPr>
                <w:rFonts w:hint="default" w:ascii="Times New Roman" w:hAnsi="Times New Roman" w:eastAsia="宋体" w:cs="Times New Roman"/>
                <w:color w:val="auto"/>
                <w:sz w:val="21"/>
                <w:szCs w:val="21"/>
                <w:lang w:val="en-US" w:eastAsia="zh-CN"/>
              </w:rPr>
              <w:t>项目问题</w:t>
            </w:r>
          </w:p>
          <w:p w14:paraId="2EF16E3A">
            <w:pPr>
              <w:spacing w:line="360" w:lineRule="auto"/>
              <w:ind w:firstLine="420" w:firstLineChars="20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①建设单位目前未对废气、废水、噪声等进行例行检测，本项目建成后应按要求及时进行检测。</w:t>
            </w:r>
          </w:p>
          <w:p w14:paraId="14DE0CBD">
            <w:pPr>
              <w:spacing w:line="360" w:lineRule="auto"/>
              <w:ind w:firstLine="420" w:firstLineChars="200"/>
              <w:rPr>
                <w:rFonts w:hint="default" w:ascii="Times New Roman" w:hAnsi="Times New Roman" w:eastAsia="宋体" w:cs="Times New Roman"/>
                <w:b w:val="0"/>
                <w:bCs w:val="0"/>
                <w:color w:val="auto"/>
                <w:szCs w:val="21"/>
                <w:lang w:val="en-US" w:eastAsia="zh-CN"/>
              </w:rPr>
            </w:pPr>
          </w:p>
          <w:p w14:paraId="06D99ACC">
            <w:pPr>
              <w:pStyle w:val="2"/>
              <w:rPr>
                <w:rFonts w:hint="default" w:ascii="Times New Roman" w:hAnsi="Times New Roman" w:eastAsia="宋体" w:cs="Times New Roman"/>
                <w:b w:val="0"/>
                <w:bCs w:val="0"/>
                <w:color w:val="auto"/>
                <w:szCs w:val="21"/>
                <w:lang w:val="en-US" w:eastAsia="zh-CN"/>
              </w:rPr>
            </w:pPr>
          </w:p>
          <w:p w14:paraId="2063191A">
            <w:pPr>
              <w:pStyle w:val="3"/>
              <w:widowControl w:val="0"/>
              <w:numPr>
                <w:ilvl w:val="0"/>
                <w:numId w:val="0"/>
              </w:numPr>
              <w:jc w:val="both"/>
              <w:rPr>
                <w:rFonts w:hint="default" w:ascii="Times New Roman" w:hAnsi="Times New Roman" w:eastAsia="宋体" w:cs="Times New Roman"/>
                <w:b w:val="0"/>
                <w:bCs w:val="0"/>
                <w:color w:val="auto"/>
                <w:szCs w:val="21"/>
                <w:lang w:val="en-US" w:eastAsia="zh-CN"/>
              </w:rPr>
            </w:pPr>
          </w:p>
          <w:p w14:paraId="535142F0">
            <w:pPr>
              <w:pStyle w:val="3"/>
              <w:widowControl w:val="0"/>
              <w:numPr>
                <w:ilvl w:val="0"/>
                <w:numId w:val="0"/>
              </w:numPr>
              <w:jc w:val="both"/>
              <w:rPr>
                <w:rFonts w:hint="default" w:ascii="Times New Roman" w:hAnsi="Times New Roman" w:eastAsia="宋体" w:cs="Times New Roman"/>
                <w:b w:val="0"/>
                <w:bCs w:val="0"/>
                <w:color w:val="auto"/>
                <w:szCs w:val="21"/>
                <w:lang w:val="en-US" w:eastAsia="zh-CN"/>
              </w:rPr>
            </w:pPr>
          </w:p>
          <w:p w14:paraId="796816E4">
            <w:pPr>
              <w:pStyle w:val="3"/>
              <w:widowControl w:val="0"/>
              <w:numPr>
                <w:ilvl w:val="0"/>
                <w:numId w:val="0"/>
              </w:numPr>
              <w:jc w:val="both"/>
              <w:rPr>
                <w:rFonts w:hint="default" w:ascii="Times New Roman" w:hAnsi="Times New Roman" w:eastAsia="宋体" w:cs="Times New Roman"/>
                <w:b w:val="0"/>
                <w:bCs w:val="0"/>
                <w:color w:val="auto"/>
                <w:szCs w:val="21"/>
                <w:lang w:val="en-US" w:eastAsia="zh-CN"/>
              </w:rPr>
            </w:pPr>
          </w:p>
          <w:p w14:paraId="2FD55644">
            <w:pPr>
              <w:pStyle w:val="3"/>
              <w:widowControl w:val="0"/>
              <w:numPr>
                <w:ilvl w:val="0"/>
                <w:numId w:val="0"/>
              </w:numPr>
              <w:jc w:val="both"/>
              <w:rPr>
                <w:rFonts w:hint="default" w:ascii="Times New Roman" w:hAnsi="Times New Roman" w:eastAsia="宋体" w:cs="Times New Roman"/>
                <w:b w:val="0"/>
                <w:bCs w:val="0"/>
                <w:color w:val="auto"/>
                <w:szCs w:val="21"/>
                <w:lang w:val="en-US" w:eastAsia="zh-CN"/>
              </w:rPr>
            </w:pPr>
          </w:p>
          <w:p w14:paraId="64128868">
            <w:pPr>
              <w:pStyle w:val="3"/>
              <w:numPr>
                <w:ilvl w:val="0"/>
                <w:numId w:val="0"/>
              </w:numPr>
              <w:rPr>
                <w:rFonts w:hint="default" w:ascii="Times New Roman" w:hAnsi="Times New Roman" w:eastAsia="宋体" w:cs="Times New Roman"/>
                <w:color w:val="auto"/>
                <w:szCs w:val="21"/>
              </w:rPr>
            </w:pPr>
          </w:p>
          <w:p w14:paraId="49010F41">
            <w:pPr>
              <w:pStyle w:val="3"/>
              <w:numPr>
                <w:ilvl w:val="0"/>
                <w:numId w:val="0"/>
              </w:numPr>
              <w:rPr>
                <w:rFonts w:hint="default" w:ascii="Times New Roman" w:hAnsi="Times New Roman" w:eastAsia="宋体" w:cs="Times New Roman"/>
                <w:color w:val="auto"/>
                <w:szCs w:val="21"/>
              </w:rPr>
            </w:pPr>
          </w:p>
          <w:p w14:paraId="3171AC76">
            <w:pPr>
              <w:pStyle w:val="3"/>
              <w:numPr>
                <w:ilvl w:val="0"/>
                <w:numId w:val="0"/>
              </w:numPr>
              <w:rPr>
                <w:rFonts w:hint="default" w:ascii="Times New Roman" w:hAnsi="Times New Roman" w:eastAsia="宋体" w:cs="Times New Roman"/>
                <w:color w:val="auto"/>
                <w:szCs w:val="21"/>
              </w:rPr>
            </w:pPr>
          </w:p>
          <w:p w14:paraId="4A0580EA">
            <w:pPr>
              <w:pStyle w:val="3"/>
              <w:numPr>
                <w:ilvl w:val="0"/>
                <w:numId w:val="0"/>
              </w:numPr>
              <w:rPr>
                <w:rFonts w:hint="default" w:ascii="Times New Roman" w:hAnsi="Times New Roman" w:eastAsia="宋体" w:cs="Times New Roman"/>
                <w:color w:val="auto"/>
                <w:szCs w:val="21"/>
              </w:rPr>
            </w:pPr>
          </w:p>
          <w:p w14:paraId="51305E8F">
            <w:pPr>
              <w:pStyle w:val="3"/>
              <w:numPr>
                <w:ilvl w:val="0"/>
                <w:numId w:val="0"/>
              </w:numPr>
              <w:rPr>
                <w:rFonts w:hint="default" w:ascii="Times New Roman" w:hAnsi="Times New Roman" w:eastAsia="宋体" w:cs="Times New Roman"/>
                <w:color w:val="auto"/>
                <w:szCs w:val="21"/>
              </w:rPr>
            </w:pPr>
          </w:p>
          <w:p w14:paraId="71C8814A">
            <w:pPr>
              <w:pStyle w:val="3"/>
              <w:numPr>
                <w:ilvl w:val="0"/>
                <w:numId w:val="0"/>
              </w:numPr>
              <w:rPr>
                <w:rFonts w:hint="default" w:ascii="Times New Roman" w:hAnsi="Times New Roman" w:eastAsia="宋体" w:cs="Times New Roman"/>
                <w:color w:val="auto"/>
                <w:szCs w:val="21"/>
              </w:rPr>
            </w:pPr>
          </w:p>
          <w:p w14:paraId="0972B01A">
            <w:pPr>
              <w:pStyle w:val="3"/>
              <w:numPr>
                <w:ilvl w:val="0"/>
                <w:numId w:val="0"/>
              </w:numPr>
              <w:rPr>
                <w:rFonts w:hint="default" w:ascii="Times New Roman" w:hAnsi="Times New Roman" w:eastAsia="宋体" w:cs="Times New Roman"/>
                <w:color w:val="auto"/>
                <w:szCs w:val="21"/>
              </w:rPr>
            </w:pPr>
          </w:p>
          <w:p w14:paraId="4A727A72">
            <w:pPr>
              <w:pStyle w:val="3"/>
              <w:numPr>
                <w:ilvl w:val="0"/>
                <w:numId w:val="0"/>
              </w:numPr>
              <w:rPr>
                <w:rFonts w:hint="default" w:ascii="Times New Roman" w:hAnsi="Times New Roman" w:eastAsia="宋体" w:cs="Times New Roman"/>
                <w:color w:val="auto"/>
                <w:szCs w:val="21"/>
              </w:rPr>
            </w:pPr>
          </w:p>
          <w:p w14:paraId="4211E8A0">
            <w:pPr>
              <w:pStyle w:val="3"/>
              <w:numPr>
                <w:ilvl w:val="0"/>
                <w:numId w:val="0"/>
              </w:numPr>
              <w:rPr>
                <w:rFonts w:hint="default" w:ascii="Times New Roman" w:hAnsi="Times New Roman" w:eastAsia="宋体" w:cs="Times New Roman"/>
                <w:color w:val="auto"/>
                <w:szCs w:val="21"/>
              </w:rPr>
            </w:pPr>
          </w:p>
          <w:p w14:paraId="2C150430">
            <w:pPr>
              <w:pStyle w:val="3"/>
              <w:numPr>
                <w:ilvl w:val="0"/>
                <w:numId w:val="0"/>
              </w:numPr>
              <w:rPr>
                <w:rFonts w:hint="default" w:ascii="Times New Roman" w:hAnsi="Times New Roman" w:eastAsia="宋体" w:cs="Times New Roman"/>
                <w:color w:val="auto"/>
                <w:szCs w:val="21"/>
              </w:rPr>
            </w:pPr>
          </w:p>
          <w:p w14:paraId="79E4147D">
            <w:pPr>
              <w:pStyle w:val="3"/>
              <w:numPr>
                <w:ilvl w:val="0"/>
                <w:numId w:val="0"/>
              </w:numPr>
              <w:rPr>
                <w:rFonts w:hint="default" w:ascii="Times New Roman" w:hAnsi="Times New Roman" w:eastAsia="宋体" w:cs="Times New Roman"/>
                <w:color w:val="auto"/>
                <w:szCs w:val="21"/>
              </w:rPr>
            </w:pPr>
          </w:p>
          <w:p w14:paraId="4B45E340">
            <w:pPr>
              <w:pStyle w:val="7"/>
              <w:ind w:firstLine="0" w:firstLineChars="0"/>
              <w:rPr>
                <w:rFonts w:hint="default" w:ascii="Times New Roman" w:hAnsi="Times New Roman" w:eastAsia="宋体" w:cs="Times New Roman"/>
                <w:color w:val="auto"/>
                <w:szCs w:val="21"/>
              </w:rPr>
            </w:pPr>
          </w:p>
        </w:tc>
      </w:tr>
    </w:tbl>
    <w:p w14:paraId="28D88AF4">
      <w:pPr>
        <w:pStyle w:val="25"/>
        <w:jc w:val="center"/>
        <w:rPr>
          <w:rFonts w:ascii="Times New Roman" w:hAnsi="Times New Roman"/>
          <w:snapToGrid w:val="0"/>
          <w:color w:val="auto"/>
          <w:sz w:val="36"/>
          <w:szCs w:val="36"/>
        </w:rPr>
        <w:sectPr>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p>
    <w:p w14:paraId="2CEEB990">
      <w:pPr>
        <w:pStyle w:val="25"/>
        <w:adjustRightInd w:val="0"/>
        <w:snapToGrid w:val="0"/>
        <w:spacing w:before="0" w:beforeAutospacing="0" w:after="0" w:afterAutospacing="0"/>
        <w:outlineLvl w:val="0"/>
        <w:rPr>
          <w:rFonts w:ascii="Times New Roman" w:hAnsi="Times New Roman"/>
          <w:b/>
          <w:bCs/>
          <w:snapToGrid w:val="0"/>
          <w:color w:val="auto"/>
          <w:sz w:val="28"/>
          <w:szCs w:val="28"/>
        </w:rPr>
      </w:pPr>
      <w:bookmarkStart w:id="6" w:name="_Toc28743"/>
      <w:r>
        <w:rPr>
          <w:rFonts w:ascii="Times New Roman" w:hAnsi="Times New Roman"/>
          <w:b/>
          <w:bCs/>
          <w:snapToGrid w:val="0"/>
          <w:color w:val="auto"/>
          <w:sz w:val="28"/>
          <w:szCs w:val="28"/>
        </w:rPr>
        <w:t>三、区域环境质量现状、环境保护目标及评价标准</w:t>
      </w:r>
      <w:bookmarkEnd w:id="6"/>
    </w:p>
    <w:tbl>
      <w:tblPr>
        <w:tblStyle w:val="28"/>
        <w:tblW w:w="896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522"/>
        <w:gridCol w:w="8438"/>
      </w:tblGrid>
      <w:tr w14:paraId="19A21A8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182" w:hRule="atLeast"/>
          <w:jc w:val="center"/>
        </w:trPr>
        <w:tc>
          <w:tcPr>
            <w:tcW w:w="522" w:type="dxa"/>
            <w:noWrap w:val="0"/>
            <w:tcMar>
              <w:top w:w="0" w:type="dxa"/>
              <w:left w:w="0" w:type="dxa"/>
              <w:bottom w:w="0" w:type="dxa"/>
              <w:right w:w="0" w:type="dxa"/>
            </w:tcMar>
            <w:vAlign w:val="center"/>
          </w:tcPr>
          <w:p w14:paraId="45B72090">
            <w:pPr>
              <w:adjustRightInd w:val="0"/>
              <w:snapToGrid w:val="0"/>
              <w:jc w:val="center"/>
              <w:rPr>
                <w:color w:val="auto"/>
                <w:kern w:val="0"/>
                <w:szCs w:val="21"/>
              </w:rPr>
            </w:pPr>
            <w:r>
              <w:rPr>
                <w:color w:val="auto"/>
                <w:kern w:val="0"/>
                <w:szCs w:val="21"/>
              </w:rPr>
              <w:t>区域环境质量现状</w:t>
            </w:r>
          </w:p>
        </w:tc>
        <w:tc>
          <w:tcPr>
            <w:tcW w:w="8438" w:type="dxa"/>
            <w:noWrap w:val="0"/>
            <w:vAlign w:val="center"/>
          </w:tcPr>
          <w:p w14:paraId="63636CA6">
            <w:pPr>
              <w:adjustRightInd w:val="0"/>
              <w:snapToGrid w:val="0"/>
              <w:spacing w:before="120" w:beforeLines="50" w:line="360" w:lineRule="auto"/>
              <w:ind w:firstLine="422" w:firstLineChars="200"/>
              <w:jc w:val="left"/>
              <w:rPr>
                <w:b/>
                <w:color w:val="auto"/>
                <w:szCs w:val="21"/>
              </w:rPr>
            </w:pPr>
            <w:r>
              <w:rPr>
                <w:rFonts w:hint="eastAsia"/>
                <w:b/>
                <w:color w:val="auto"/>
                <w:szCs w:val="21"/>
              </w:rPr>
              <w:t>一</w:t>
            </w:r>
            <w:r>
              <w:rPr>
                <w:b/>
                <w:color w:val="auto"/>
                <w:szCs w:val="21"/>
              </w:rPr>
              <w:t>、大气环境质量现状</w:t>
            </w:r>
          </w:p>
          <w:p w14:paraId="00E1AF05">
            <w:pPr>
              <w:adjustRightInd w:val="0"/>
              <w:snapToGrid w:val="0"/>
              <w:spacing w:line="360" w:lineRule="auto"/>
              <w:ind w:firstLine="420" w:firstLineChars="200"/>
              <w:jc w:val="left"/>
              <w:rPr>
                <w:bCs/>
                <w:color w:val="auto"/>
                <w:szCs w:val="21"/>
              </w:rPr>
            </w:pPr>
            <w:r>
              <w:rPr>
                <w:rFonts w:hint="eastAsia"/>
                <w:bCs/>
                <w:color w:val="auto"/>
                <w:szCs w:val="21"/>
              </w:rPr>
              <w:t>1、</w:t>
            </w:r>
            <w:r>
              <w:rPr>
                <w:bCs/>
                <w:color w:val="auto"/>
                <w:szCs w:val="21"/>
              </w:rPr>
              <w:t>项目所在区域达标判定</w:t>
            </w:r>
          </w:p>
          <w:p w14:paraId="60995BAE">
            <w:pPr>
              <w:widowControl/>
              <w:spacing w:line="360" w:lineRule="auto"/>
              <w:ind w:firstLine="420" w:firstLineChars="200"/>
              <w:rPr>
                <w:color w:val="auto"/>
                <w:szCs w:val="21"/>
              </w:rPr>
            </w:pPr>
            <w:r>
              <w:rPr>
                <w:color w:val="auto"/>
                <w:szCs w:val="21"/>
              </w:rPr>
              <w:t>为了解项目所在地区的环境质量现状，本项目引用《202</w:t>
            </w:r>
            <w:r>
              <w:rPr>
                <w:rFonts w:hint="eastAsia"/>
                <w:color w:val="auto"/>
                <w:szCs w:val="21"/>
                <w:lang w:val="en-US" w:eastAsia="zh-CN"/>
              </w:rPr>
              <w:t>4</w:t>
            </w:r>
            <w:r>
              <w:rPr>
                <w:color w:val="auto"/>
                <w:szCs w:val="21"/>
              </w:rPr>
              <w:t>年常州市生态环境状况公报》中环境空气质量数据。本次评价选取202</w:t>
            </w:r>
            <w:r>
              <w:rPr>
                <w:rFonts w:hint="eastAsia"/>
                <w:color w:val="auto"/>
                <w:szCs w:val="21"/>
                <w:lang w:val="en-US" w:eastAsia="zh-CN"/>
              </w:rPr>
              <w:t>4</w:t>
            </w:r>
            <w:r>
              <w:rPr>
                <w:color w:val="auto"/>
                <w:szCs w:val="21"/>
              </w:rPr>
              <w:t>年作为评价基准年，根据《</w:t>
            </w:r>
            <w:r>
              <w:rPr>
                <w:rFonts w:hint="eastAsia"/>
                <w:color w:val="auto"/>
                <w:szCs w:val="21"/>
              </w:rPr>
              <w:t>202</w:t>
            </w:r>
            <w:r>
              <w:rPr>
                <w:rFonts w:hint="eastAsia"/>
                <w:color w:val="auto"/>
                <w:szCs w:val="21"/>
                <w:lang w:val="en-US" w:eastAsia="zh-CN"/>
              </w:rPr>
              <w:t>4</w:t>
            </w:r>
            <w:r>
              <w:rPr>
                <w:color w:val="auto"/>
                <w:szCs w:val="21"/>
              </w:rPr>
              <w:t>年常州市生态环境状况公报》，项目所在区域常州市各评价因子数据见下表。</w:t>
            </w:r>
          </w:p>
          <w:p w14:paraId="252AA0FD">
            <w:pPr>
              <w:adjustRightInd w:val="0"/>
              <w:snapToGrid w:val="0"/>
              <w:jc w:val="center"/>
              <w:rPr>
                <w:b/>
                <w:bCs/>
                <w:color w:val="auto"/>
                <w:szCs w:val="21"/>
              </w:rPr>
            </w:pPr>
            <w:r>
              <w:rPr>
                <w:b/>
                <w:bCs/>
                <w:color w:val="auto"/>
                <w:szCs w:val="21"/>
              </w:rPr>
              <w:t>表3-1 区域空气质量现状评价表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921"/>
              <w:gridCol w:w="2167"/>
              <w:gridCol w:w="1357"/>
              <w:gridCol w:w="1617"/>
              <w:gridCol w:w="994"/>
              <w:gridCol w:w="1166"/>
            </w:tblGrid>
            <w:tr w14:paraId="1F9B859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tcBorders>
                    <w:tl2br w:val="nil"/>
                    <w:tr2bl w:val="nil"/>
                  </w:tcBorders>
                  <w:noWrap w:val="0"/>
                  <w:vAlign w:val="center"/>
                </w:tcPr>
                <w:p w14:paraId="5D6A9381">
                  <w:pPr>
                    <w:adjustRightInd w:val="0"/>
                    <w:snapToGrid w:val="0"/>
                    <w:spacing w:line="240" w:lineRule="auto"/>
                    <w:jc w:val="center"/>
                    <w:rPr>
                      <w:rFonts w:hint="default" w:ascii="Times New Roman" w:hAnsi="Times New Roman" w:eastAsia="宋体" w:cs="Times New Roman"/>
                      <w:b/>
                      <w:color w:val="auto"/>
                      <w:kern w:val="0"/>
                      <w:sz w:val="21"/>
                      <w:szCs w:val="21"/>
                      <w:highlight w:val="none"/>
                    </w:rPr>
                  </w:pPr>
                  <w:r>
                    <w:rPr>
                      <w:rFonts w:hint="default" w:ascii="Times New Roman" w:hAnsi="Times New Roman" w:eastAsia="宋体" w:cs="Times New Roman"/>
                      <w:b/>
                      <w:color w:val="auto"/>
                      <w:kern w:val="0"/>
                      <w:sz w:val="21"/>
                      <w:szCs w:val="21"/>
                      <w:highlight w:val="none"/>
                    </w:rPr>
                    <w:t>污染物</w:t>
                  </w:r>
                </w:p>
              </w:tc>
              <w:tc>
                <w:tcPr>
                  <w:tcW w:w="1317" w:type="pct"/>
                  <w:tcBorders>
                    <w:tl2br w:val="nil"/>
                    <w:tr2bl w:val="nil"/>
                  </w:tcBorders>
                  <w:noWrap w:val="0"/>
                  <w:vAlign w:val="center"/>
                </w:tcPr>
                <w:p w14:paraId="4B8A8304">
                  <w:pPr>
                    <w:adjustRightInd w:val="0"/>
                    <w:snapToGrid w:val="0"/>
                    <w:spacing w:line="240" w:lineRule="auto"/>
                    <w:jc w:val="center"/>
                    <w:rPr>
                      <w:rFonts w:hint="default" w:ascii="Times New Roman" w:hAnsi="Times New Roman" w:eastAsia="宋体" w:cs="Times New Roman"/>
                      <w:b/>
                      <w:color w:val="auto"/>
                      <w:kern w:val="0"/>
                      <w:sz w:val="21"/>
                      <w:szCs w:val="21"/>
                      <w:highlight w:val="none"/>
                    </w:rPr>
                  </w:pPr>
                  <w:r>
                    <w:rPr>
                      <w:rFonts w:hint="default" w:ascii="Times New Roman" w:hAnsi="Times New Roman" w:eastAsia="宋体" w:cs="Times New Roman"/>
                      <w:b/>
                      <w:color w:val="auto"/>
                      <w:kern w:val="0"/>
                      <w:sz w:val="21"/>
                      <w:szCs w:val="21"/>
                      <w:highlight w:val="none"/>
                    </w:rPr>
                    <w:t>年平均指标</w:t>
                  </w:r>
                </w:p>
              </w:tc>
              <w:tc>
                <w:tcPr>
                  <w:tcW w:w="825" w:type="pct"/>
                  <w:tcBorders>
                    <w:tl2br w:val="nil"/>
                    <w:tr2bl w:val="nil"/>
                  </w:tcBorders>
                  <w:noWrap w:val="0"/>
                  <w:vAlign w:val="center"/>
                </w:tcPr>
                <w:p w14:paraId="28E0839E">
                  <w:pPr>
                    <w:adjustRightInd w:val="0"/>
                    <w:snapToGrid w:val="0"/>
                    <w:spacing w:line="240" w:lineRule="auto"/>
                    <w:jc w:val="center"/>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现状浓度μg/m</w:t>
                  </w:r>
                  <w:r>
                    <w:rPr>
                      <w:rFonts w:hint="default" w:ascii="Times New Roman" w:hAnsi="Times New Roman" w:eastAsia="宋体" w:cs="Times New Roman"/>
                      <w:b/>
                      <w:color w:val="auto"/>
                      <w:sz w:val="21"/>
                      <w:szCs w:val="21"/>
                      <w:highlight w:val="none"/>
                      <w:vertAlign w:val="superscript"/>
                    </w:rPr>
                    <w:t>3</w:t>
                  </w:r>
                </w:p>
              </w:tc>
              <w:tc>
                <w:tcPr>
                  <w:tcW w:w="983" w:type="pct"/>
                  <w:tcBorders>
                    <w:tl2br w:val="nil"/>
                    <w:tr2bl w:val="nil"/>
                  </w:tcBorders>
                  <w:noWrap w:val="0"/>
                  <w:vAlign w:val="center"/>
                </w:tcPr>
                <w:p w14:paraId="41573809">
                  <w:pPr>
                    <w:adjustRightInd w:val="0"/>
                    <w:snapToGrid w:val="0"/>
                    <w:spacing w:line="240" w:lineRule="auto"/>
                    <w:jc w:val="center"/>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标准限值μg/m</w:t>
                  </w:r>
                  <w:r>
                    <w:rPr>
                      <w:rFonts w:hint="default" w:ascii="Times New Roman" w:hAnsi="Times New Roman" w:eastAsia="宋体" w:cs="Times New Roman"/>
                      <w:b/>
                      <w:color w:val="auto"/>
                      <w:sz w:val="21"/>
                      <w:szCs w:val="21"/>
                      <w:highlight w:val="none"/>
                      <w:vertAlign w:val="superscript"/>
                    </w:rPr>
                    <w:t>3</w:t>
                  </w:r>
                </w:p>
              </w:tc>
              <w:tc>
                <w:tcPr>
                  <w:tcW w:w="604" w:type="pct"/>
                  <w:tcBorders>
                    <w:tl2br w:val="nil"/>
                    <w:tr2bl w:val="nil"/>
                  </w:tcBorders>
                  <w:noWrap w:val="0"/>
                  <w:vAlign w:val="center"/>
                </w:tcPr>
                <w:p w14:paraId="4B4F4A63">
                  <w:pPr>
                    <w:adjustRightInd w:val="0"/>
                    <w:snapToGrid w:val="0"/>
                    <w:spacing w:line="240" w:lineRule="auto"/>
                    <w:jc w:val="center"/>
                    <w:rPr>
                      <w:rFonts w:hint="default" w:ascii="Times New Roman" w:hAnsi="Times New Roman" w:eastAsia="宋体" w:cs="Times New Roman"/>
                      <w:b/>
                      <w:color w:val="auto"/>
                      <w:kern w:val="0"/>
                      <w:sz w:val="21"/>
                      <w:szCs w:val="21"/>
                      <w:highlight w:val="none"/>
                    </w:rPr>
                  </w:pPr>
                  <w:r>
                    <w:rPr>
                      <w:rFonts w:hint="default" w:ascii="Times New Roman" w:hAnsi="Times New Roman" w:eastAsia="宋体" w:cs="Times New Roman"/>
                      <w:b/>
                      <w:color w:val="auto"/>
                      <w:kern w:val="0"/>
                      <w:sz w:val="21"/>
                      <w:szCs w:val="21"/>
                      <w:highlight w:val="none"/>
                      <w:lang w:val="en-US" w:eastAsia="zh-CN"/>
                    </w:rPr>
                    <w:t>达标率</w:t>
                  </w:r>
                  <w:r>
                    <w:rPr>
                      <w:rFonts w:hint="default" w:ascii="Times New Roman" w:hAnsi="Times New Roman" w:eastAsia="宋体" w:cs="Times New Roman"/>
                      <w:b/>
                      <w:color w:val="auto"/>
                      <w:kern w:val="0"/>
                      <w:sz w:val="21"/>
                      <w:szCs w:val="21"/>
                      <w:highlight w:val="none"/>
                    </w:rPr>
                    <w:t>%</w:t>
                  </w:r>
                </w:p>
              </w:tc>
              <w:tc>
                <w:tcPr>
                  <w:tcW w:w="708" w:type="pct"/>
                  <w:tcBorders>
                    <w:tl2br w:val="nil"/>
                    <w:tr2bl w:val="nil"/>
                  </w:tcBorders>
                  <w:noWrap w:val="0"/>
                  <w:vAlign w:val="center"/>
                </w:tcPr>
                <w:p w14:paraId="20507997">
                  <w:pPr>
                    <w:adjustRightInd w:val="0"/>
                    <w:snapToGrid w:val="0"/>
                    <w:spacing w:line="240" w:lineRule="auto"/>
                    <w:jc w:val="center"/>
                    <w:rPr>
                      <w:rFonts w:hint="default" w:ascii="Times New Roman" w:hAnsi="Times New Roman" w:eastAsia="宋体" w:cs="Times New Roman"/>
                      <w:b/>
                      <w:color w:val="auto"/>
                      <w:kern w:val="0"/>
                      <w:sz w:val="21"/>
                      <w:szCs w:val="21"/>
                      <w:highlight w:val="none"/>
                    </w:rPr>
                  </w:pPr>
                  <w:r>
                    <w:rPr>
                      <w:rFonts w:hint="default" w:ascii="Times New Roman" w:hAnsi="Times New Roman" w:eastAsia="宋体" w:cs="Times New Roman"/>
                      <w:b/>
                      <w:color w:val="auto"/>
                      <w:kern w:val="0"/>
                      <w:sz w:val="21"/>
                      <w:szCs w:val="21"/>
                      <w:highlight w:val="none"/>
                    </w:rPr>
                    <w:t>达标情况</w:t>
                  </w:r>
                </w:p>
              </w:tc>
            </w:tr>
            <w:tr w14:paraId="3EAE15E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vMerge w:val="restart"/>
                  <w:tcBorders>
                    <w:tl2br w:val="nil"/>
                    <w:tr2bl w:val="nil"/>
                  </w:tcBorders>
                  <w:noWrap w:val="0"/>
                  <w:vAlign w:val="center"/>
                </w:tcPr>
                <w:p w14:paraId="0ECC605F">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PM</w:t>
                  </w:r>
                  <w:r>
                    <w:rPr>
                      <w:rFonts w:hint="default" w:ascii="Times New Roman" w:hAnsi="Times New Roman" w:eastAsia="宋体" w:cs="Times New Roman"/>
                      <w:color w:val="auto"/>
                      <w:kern w:val="0"/>
                      <w:sz w:val="21"/>
                      <w:szCs w:val="21"/>
                      <w:highlight w:val="none"/>
                      <w:vertAlign w:val="subscript"/>
                    </w:rPr>
                    <w:t>2.5</w:t>
                  </w:r>
                </w:p>
              </w:tc>
              <w:tc>
                <w:tcPr>
                  <w:tcW w:w="1317" w:type="pct"/>
                  <w:tcBorders>
                    <w:tl2br w:val="nil"/>
                    <w:tr2bl w:val="nil"/>
                  </w:tcBorders>
                  <w:noWrap w:val="0"/>
                  <w:vAlign w:val="center"/>
                </w:tcPr>
                <w:p w14:paraId="010AFD9A">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年平均质量浓度</w:t>
                  </w:r>
                </w:p>
              </w:tc>
              <w:tc>
                <w:tcPr>
                  <w:tcW w:w="825" w:type="pct"/>
                  <w:tcBorders>
                    <w:tl2br w:val="nil"/>
                    <w:tr2bl w:val="nil"/>
                  </w:tcBorders>
                  <w:noWrap w:val="0"/>
                  <w:vAlign w:val="center"/>
                </w:tcPr>
                <w:p w14:paraId="1B52AA24">
                  <w:pPr>
                    <w:adjustRightInd w:val="0"/>
                    <w:snapToGrid w:val="0"/>
                    <w:spacing w:line="240" w:lineRule="auto"/>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32</w:t>
                  </w:r>
                </w:p>
              </w:tc>
              <w:tc>
                <w:tcPr>
                  <w:tcW w:w="983" w:type="pct"/>
                  <w:tcBorders>
                    <w:tl2br w:val="nil"/>
                    <w:tr2bl w:val="nil"/>
                  </w:tcBorders>
                  <w:noWrap w:val="0"/>
                  <w:vAlign w:val="center"/>
                </w:tcPr>
                <w:p w14:paraId="1708416B">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35</w:t>
                  </w:r>
                </w:p>
              </w:tc>
              <w:tc>
                <w:tcPr>
                  <w:tcW w:w="604" w:type="pct"/>
                  <w:tcBorders>
                    <w:tl2br w:val="nil"/>
                    <w:tr2bl w:val="nil"/>
                  </w:tcBorders>
                  <w:noWrap w:val="0"/>
                  <w:vAlign w:val="center"/>
                </w:tcPr>
                <w:p w14:paraId="5126E033">
                  <w:pPr>
                    <w:widowControl/>
                    <w:spacing w:line="240" w:lineRule="auto"/>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bidi="ar"/>
                    </w:rPr>
                    <w:t>100</w:t>
                  </w:r>
                </w:p>
              </w:tc>
              <w:tc>
                <w:tcPr>
                  <w:tcW w:w="708" w:type="pct"/>
                  <w:tcBorders>
                    <w:tl2br w:val="nil"/>
                    <w:tr2bl w:val="nil"/>
                  </w:tcBorders>
                  <w:noWrap w:val="0"/>
                  <w:vAlign w:val="center"/>
                </w:tcPr>
                <w:p w14:paraId="48754051">
                  <w:pPr>
                    <w:adjustRightInd w:val="0"/>
                    <w:snapToGrid w:val="0"/>
                    <w:spacing w:line="240" w:lineRule="auto"/>
                    <w:jc w:val="center"/>
                    <w:rPr>
                      <w:rFonts w:hint="eastAsia"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达标</w:t>
                  </w:r>
                </w:p>
              </w:tc>
            </w:tr>
            <w:tr w14:paraId="5877B75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vMerge w:val="continue"/>
                  <w:tcBorders>
                    <w:tl2br w:val="nil"/>
                    <w:tr2bl w:val="nil"/>
                  </w:tcBorders>
                  <w:noWrap w:val="0"/>
                  <w:vAlign w:val="center"/>
                </w:tcPr>
                <w:p w14:paraId="28F373A7">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p>
              </w:tc>
              <w:tc>
                <w:tcPr>
                  <w:tcW w:w="1317" w:type="pct"/>
                  <w:tcBorders>
                    <w:tl2br w:val="nil"/>
                    <w:tr2bl w:val="nil"/>
                  </w:tcBorders>
                  <w:noWrap w:val="0"/>
                  <w:vAlign w:val="center"/>
                </w:tcPr>
                <w:p w14:paraId="09CBA73E">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日平均浓度</w:t>
                  </w:r>
                </w:p>
              </w:tc>
              <w:tc>
                <w:tcPr>
                  <w:tcW w:w="825" w:type="pct"/>
                  <w:tcBorders>
                    <w:tl2br w:val="nil"/>
                    <w:tr2bl w:val="nil"/>
                  </w:tcBorders>
                  <w:noWrap w:val="0"/>
                  <w:vAlign w:val="center"/>
                </w:tcPr>
                <w:p w14:paraId="50493D7A">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 w:val="21"/>
                      <w:szCs w:val="21"/>
                      <w:lang w:val="en-US" w:eastAsia="zh-CN"/>
                    </w:rPr>
                    <w:t>5-157</w:t>
                  </w:r>
                </w:p>
              </w:tc>
              <w:tc>
                <w:tcPr>
                  <w:tcW w:w="983" w:type="pct"/>
                  <w:tcBorders>
                    <w:tl2br w:val="nil"/>
                    <w:tr2bl w:val="nil"/>
                  </w:tcBorders>
                  <w:noWrap w:val="0"/>
                  <w:vAlign w:val="center"/>
                </w:tcPr>
                <w:p w14:paraId="4D63E54F">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75</w:t>
                  </w:r>
                </w:p>
              </w:tc>
              <w:tc>
                <w:tcPr>
                  <w:tcW w:w="604" w:type="pct"/>
                  <w:tcBorders>
                    <w:tl2br w:val="nil"/>
                    <w:tr2bl w:val="nil"/>
                  </w:tcBorders>
                  <w:noWrap w:val="0"/>
                  <w:vAlign w:val="center"/>
                </w:tcPr>
                <w:p w14:paraId="7F67823C">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 w:val="21"/>
                      <w:szCs w:val="21"/>
                      <w:lang w:val="en-US" w:eastAsia="zh-CN"/>
                    </w:rPr>
                    <w:t>93.2</w:t>
                  </w:r>
                </w:p>
              </w:tc>
              <w:tc>
                <w:tcPr>
                  <w:tcW w:w="708" w:type="pct"/>
                  <w:tcBorders>
                    <w:tl2br w:val="nil"/>
                    <w:tr2bl w:val="nil"/>
                  </w:tcBorders>
                  <w:noWrap w:val="0"/>
                  <w:vAlign w:val="center"/>
                </w:tcPr>
                <w:p w14:paraId="00CCCDAE">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rPr>
                    <w:t>不</w:t>
                  </w:r>
                  <w:r>
                    <w:rPr>
                      <w:rFonts w:hint="default" w:ascii="Times New Roman" w:hAnsi="Times New Roman" w:eastAsia="宋体" w:cs="Times New Roman"/>
                      <w:color w:val="auto"/>
                      <w:kern w:val="0"/>
                      <w:sz w:val="21"/>
                      <w:szCs w:val="21"/>
                      <w:highlight w:val="none"/>
                    </w:rPr>
                    <w:t>达标</w:t>
                  </w:r>
                </w:p>
              </w:tc>
            </w:tr>
            <w:tr w14:paraId="08CE7C4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vMerge w:val="restart"/>
                  <w:tcBorders>
                    <w:tl2br w:val="nil"/>
                    <w:tr2bl w:val="nil"/>
                  </w:tcBorders>
                  <w:noWrap w:val="0"/>
                  <w:vAlign w:val="center"/>
                </w:tcPr>
                <w:p w14:paraId="6624FE93">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PM</w:t>
                  </w:r>
                  <w:r>
                    <w:rPr>
                      <w:rFonts w:hint="default" w:ascii="Times New Roman" w:hAnsi="Times New Roman" w:eastAsia="宋体" w:cs="Times New Roman"/>
                      <w:color w:val="auto"/>
                      <w:kern w:val="0"/>
                      <w:sz w:val="21"/>
                      <w:szCs w:val="21"/>
                      <w:highlight w:val="none"/>
                      <w:vertAlign w:val="subscript"/>
                    </w:rPr>
                    <w:t>10</w:t>
                  </w:r>
                </w:p>
              </w:tc>
              <w:tc>
                <w:tcPr>
                  <w:tcW w:w="1317" w:type="pct"/>
                  <w:tcBorders>
                    <w:tl2br w:val="nil"/>
                    <w:tr2bl w:val="nil"/>
                  </w:tcBorders>
                  <w:noWrap w:val="0"/>
                  <w:vAlign w:val="center"/>
                </w:tcPr>
                <w:p w14:paraId="04FCF2E9">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年平均质量浓度</w:t>
                  </w:r>
                </w:p>
              </w:tc>
              <w:tc>
                <w:tcPr>
                  <w:tcW w:w="825" w:type="pct"/>
                  <w:tcBorders>
                    <w:tl2br w:val="nil"/>
                    <w:tr2bl w:val="nil"/>
                  </w:tcBorders>
                  <w:noWrap w:val="0"/>
                  <w:vAlign w:val="center"/>
                </w:tcPr>
                <w:p w14:paraId="43CD7412">
                  <w:pPr>
                    <w:adjustRightInd w:val="0"/>
                    <w:snapToGrid w:val="0"/>
                    <w:spacing w:line="240" w:lineRule="auto"/>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52</w:t>
                  </w:r>
                </w:p>
              </w:tc>
              <w:tc>
                <w:tcPr>
                  <w:tcW w:w="983" w:type="pct"/>
                  <w:tcBorders>
                    <w:tl2br w:val="nil"/>
                    <w:tr2bl w:val="nil"/>
                  </w:tcBorders>
                  <w:noWrap w:val="0"/>
                  <w:vAlign w:val="center"/>
                </w:tcPr>
                <w:p w14:paraId="06C1BB38">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70</w:t>
                  </w:r>
                </w:p>
              </w:tc>
              <w:tc>
                <w:tcPr>
                  <w:tcW w:w="604" w:type="pct"/>
                  <w:tcBorders>
                    <w:tl2br w:val="nil"/>
                    <w:tr2bl w:val="nil"/>
                  </w:tcBorders>
                  <w:noWrap w:val="0"/>
                  <w:vAlign w:val="center"/>
                </w:tcPr>
                <w:p w14:paraId="6B47090C">
                  <w:pPr>
                    <w:widowControl/>
                    <w:spacing w:line="240" w:lineRule="auto"/>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bidi="ar"/>
                    </w:rPr>
                    <w:t>100</w:t>
                  </w:r>
                </w:p>
              </w:tc>
              <w:tc>
                <w:tcPr>
                  <w:tcW w:w="708" w:type="pct"/>
                  <w:vMerge w:val="restart"/>
                  <w:tcBorders>
                    <w:tl2br w:val="nil"/>
                    <w:tr2bl w:val="nil"/>
                  </w:tcBorders>
                  <w:noWrap w:val="0"/>
                  <w:vAlign w:val="center"/>
                </w:tcPr>
                <w:p w14:paraId="754E043F">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达标</w:t>
                  </w:r>
                </w:p>
              </w:tc>
            </w:tr>
            <w:tr w14:paraId="5437773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vMerge w:val="continue"/>
                  <w:tcBorders>
                    <w:tl2br w:val="nil"/>
                    <w:tr2bl w:val="nil"/>
                  </w:tcBorders>
                  <w:noWrap w:val="0"/>
                  <w:vAlign w:val="center"/>
                </w:tcPr>
                <w:p w14:paraId="6B3F73CC">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p>
              </w:tc>
              <w:tc>
                <w:tcPr>
                  <w:tcW w:w="1317" w:type="pct"/>
                  <w:tcBorders>
                    <w:tl2br w:val="nil"/>
                    <w:tr2bl w:val="nil"/>
                  </w:tcBorders>
                  <w:noWrap w:val="0"/>
                  <w:vAlign w:val="center"/>
                </w:tcPr>
                <w:p w14:paraId="3E45EC6B">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日平均浓度</w:t>
                  </w:r>
                </w:p>
              </w:tc>
              <w:tc>
                <w:tcPr>
                  <w:tcW w:w="825" w:type="pct"/>
                  <w:tcBorders>
                    <w:tl2br w:val="nil"/>
                    <w:tr2bl w:val="nil"/>
                  </w:tcBorders>
                  <w:noWrap w:val="0"/>
                  <w:vAlign w:val="center"/>
                </w:tcPr>
                <w:p w14:paraId="40B7F972">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 w:val="21"/>
                      <w:szCs w:val="21"/>
                      <w:lang w:val="en-US" w:eastAsia="zh-CN"/>
                    </w:rPr>
                    <w:t>9-206</w:t>
                  </w:r>
                </w:p>
              </w:tc>
              <w:tc>
                <w:tcPr>
                  <w:tcW w:w="983" w:type="pct"/>
                  <w:tcBorders>
                    <w:tl2br w:val="nil"/>
                    <w:tr2bl w:val="nil"/>
                  </w:tcBorders>
                  <w:noWrap w:val="0"/>
                  <w:vAlign w:val="center"/>
                </w:tcPr>
                <w:p w14:paraId="12AF315A">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150</w:t>
                  </w:r>
                </w:p>
              </w:tc>
              <w:tc>
                <w:tcPr>
                  <w:tcW w:w="604" w:type="pct"/>
                  <w:tcBorders>
                    <w:tl2br w:val="nil"/>
                    <w:tr2bl w:val="nil"/>
                  </w:tcBorders>
                  <w:noWrap w:val="0"/>
                  <w:vAlign w:val="center"/>
                </w:tcPr>
                <w:p w14:paraId="732D3C03">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 w:val="21"/>
                      <w:szCs w:val="21"/>
                      <w:lang w:val="en-US" w:eastAsia="zh-CN"/>
                    </w:rPr>
                    <w:t>98.3</w:t>
                  </w:r>
                </w:p>
              </w:tc>
              <w:tc>
                <w:tcPr>
                  <w:tcW w:w="708" w:type="pct"/>
                  <w:vMerge w:val="continue"/>
                  <w:tcBorders>
                    <w:tl2br w:val="nil"/>
                    <w:tr2bl w:val="nil"/>
                  </w:tcBorders>
                  <w:noWrap w:val="0"/>
                  <w:vAlign w:val="center"/>
                </w:tcPr>
                <w:p w14:paraId="293C2367">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p>
              </w:tc>
            </w:tr>
            <w:tr w14:paraId="0ED8295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vMerge w:val="restart"/>
                  <w:tcBorders>
                    <w:tl2br w:val="nil"/>
                    <w:tr2bl w:val="nil"/>
                  </w:tcBorders>
                  <w:noWrap w:val="0"/>
                  <w:vAlign w:val="center"/>
                </w:tcPr>
                <w:p w14:paraId="1DFA85B8">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SO</w:t>
                  </w:r>
                  <w:r>
                    <w:rPr>
                      <w:rFonts w:hint="default" w:ascii="Times New Roman" w:hAnsi="Times New Roman" w:eastAsia="宋体" w:cs="Times New Roman"/>
                      <w:color w:val="auto"/>
                      <w:kern w:val="0"/>
                      <w:sz w:val="21"/>
                      <w:szCs w:val="21"/>
                      <w:highlight w:val="none"/>
                      <w:vertAlign w:val="subscript"/>
                    </w:rPr>
                    <w:t>2</w:t>
                  </w:r>
                </w:p>
              </w:tc>
              <w:tc>
                <w:tcPr>
                  <w:tcW w:w="1317" w:type="pct"/>
                  <w:tcBorders>
                    <w:tl2br w:val="nil"/>
                    <w:tr2bl w:val="nil"/>
                  </w:tcBorders>
                  <w:noWrap w:val="0"/>
                  <w:vAlign w:val="center"/>
                </w:tcPr>
                <w:p w14:paraId="430C30C0">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年平均质量浓度</w:t>
                  </w:r>
                </w:p>
              </w:tc>
              <w:tc>
                <w:tcPr>
                  <w:tcW w:w="825" w:type="pct"/>
                  <w:tcBorders>
                    <w:tl2br w:val="nil"/>
                    <w:tr2bl w:val="nil"/>
                  </w:tcBorders>
                  <w:noWrap w:val="0"/>
                  <w:vAlign w:val="center"/>
                </w:tcPr>
                <w:p w14:paraId="08F7A79E">
                  <w:pPr>
                    <w:adjustRightInd w:val="0"/>
                    <w:snapToGrid w:val="0"/>
                    <w:spacing w:line="240" w:lineRule="auto"/>
                    <w:jc w:val="center"/>
                    <w:rPr>
                      <w:rFonts w:hint="default" w:ascii="Times New Roman" w:hAnsi="Times New Roman" w:eastAsia="宋体" w:cs="Times New Roman"/>
                      <w:color w:val="auto"/>
                      <w:kern w:val="0"/>
                      <w:sz w:val="21"/>
                      <w:szCs w:val="21"/>
                      <w:highlight w:val="none"/>
                      <w:lang w:eastAsia="zh-CN"/>
                    </w:rPr>
                  </w:pPr>
                  <w:r>
                    <w:rPr>
                      <w:rFonts w:hint="eastAsia" w:ascii="Times New Roman" w:hAnsi="Times New Roman" w:eastAsia="宋体" w:cs="Times New Roman"/>
                      <w:color w:val="auto"/>
                      <w:kern w:val="0"/>
                      <w:sz w:val="21"/>
                      <w:szCs w:val="21"/>
                      <w:highlight w:val="none"/>
                      <w:lang w:val="en-US" w:eastAsia="zh-CN"/>
                    </w:rPr>
                    <w:t>8</w:t>
                  </w:r>
                </w:p>
              </w:tc>
              <w:tc>
                <w:tcPr>
                  <w:tcW w:w="983" w:type="pct"/>
                  <w:tcBorders>
                    <w:tl2br w:val="nil"/>
                    <w:tr2bl w:val="nil"/>
                  </w:tcBorders>
                  <w:noWrap w:val="0"/>
                  <w:vAlign w:val="center"/>
                </w:tcPr>
                <w:p w14:paraId="6577BDCC">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60</w:t>
                  </w:r>
                </w:p>
              </w:tc>
              <w:tc>
                <w:tcPr>
                  <w:tcW w:w="604" w:type="pct"/>
                  <w:tcBorders>
                    <w:tl2br w:val="nil"/>
                    <w:tr2bl w:val="nil"/>
                  </w:tcBorders>
                  <w:noWrap w:val="0"/>
                  <w:vAlign w:val="center"/>
                </w:tcPr>
                <w:p w14:paraId="2993E385">
                  <w:pPr>
                    <w:widowControl/>
                    <w:spacing w:line="240" w:lineRule="auto"/>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bidi="ar"/>
                    </w:rPr>
                    <w:t>100</w:t>
                  </w:r>
                </w:p>
              </w:tc>
              <w:tc>
                <w:tcPr>
                  <w:tcW w:w="708" w:type="pct"/>
                  <w:vMerge w:val="restart"/>
                  <w:tcBorders>
                    <w:tl2br w:val="nil"/>
                    <w:tr2bl w:val="nil"/>
                  </w:tcBorders>
                  <w:noWrap w:val="0"/>
                  <w:vAlign w:val="center"/>
                </w:tcPr>
                <w:p w14:paraId="61863448">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达标</w:t>
                  </w:r>
                </w:p>
              </w:tc>
            </w:tr>
            <w:tr w14:paraId="211A6AA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vMerge w:val="continue"/>
                  <w:tcBorders>
                    <w:tl2br w:val="nil"/>
                    <w:tr2bl w:val="nil"/>
                  </w:tcBorders>
                  <w:noWrap w:val="0"/>
                  <w:vAlign w:val="center"/>
                </w:tcPr>
                <w:p w14:paraId="152CDF72">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p>
              </w:tc>
              <w:tc>
                <w:tcPr>
                  <w:tcW w:w="1317" w:type="pct"/>
                  <w:tcBorders>
                    <w:tl2br w:val="nil"/>
                    <w:tr2bl w:val="nil"/>
                  </w:tcBorders>
                  <w:noWrap w:val="0"/>
                  <w:vAlign w:val="center"/>
                </w:tcPr>
                <w:p w14:paraId="5C811F96">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日平均浓度</w:t>
                  </w:r>
                </w:p>
              </w:tc>
              <w:tc>
                <w:tcPr>
                  <w:tcW w:w="825" w:type="pct"/>
                  <w:tcBorders>
                    <w:tl2br w:val="nil"/>
                    <w:tr2bl w:val="nil"/>
                  </w:tcBorders>
                  <w:noWrap w:val="0"/>
                  <w:vAlign w:val="center"/>
                </w:tcPr>
                <w:p w14:paraId="4A0EEC21">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 w:val="21"/>
                      <w:szCs w:val="21"/>
                      <w:lang w:val="en-US" w:eastAsia="zh-CN"/>
                    </w:rPr>
                    <w:t>5-15</w:t>
                  </w:r>
                </w:p>
              </w:tc>
              <w:tc>
                <w:tcPr>
                  <w:tcW w:w="983" w:type="pct"/>
                  <w:tcBorders>
                    <w:tl2br w:val="nil"/>
                    <w:tr2bl w:val="nil"/>
                  </w:tcBorders>
                  <w:noWrap w:val="0"/>
                  <w:vAlign w:val="center"/>
                </w:tcPr>
                <w:p w14:paraId="0F27B34A">
                  <w:pPr>
                    <w:keepNext w:val="0"/>
                    <w:keepLines w:val="0"/>
                    <w:suppressLineNumbers w:val="0"/>
                    <w:snapToGrid w:val="0"/>
                    <w:spacing w:before="0" w:beforeAutospacing="0" w:after="0" w:afterAutospacing="0" w:line="240" w:lineRule="auto"/>
                    <w:ind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150</w:t>
                  </w:r>
                </w:p>
              </w:tc>
              <w:tc>
                <w:tcPr>
                  <w:tcW w:w="604" w:type="pct"/>
                  <w:tcBorders>
                    <w:tl2br w:val="nil"/>
                    <w:tr2bl w:val="nil"/>
                  </w:tcBorders>
                  <w:noWrap w:val="0"/>
                  <w:vAlign w:val="center"/>
                </w:tcPr>
                <w:p w14:paraId="7C06E082">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100</w:t>
                  </w:r>
                </w:p>
              </w:tc>
              <w:tc>
                <w:tcPr>
                  <w:tcW w:w="708" w:type="pct"/>
                  <w:vMerge w:val="continue"/>
                  <w:tcBorders>
                    <w:tl2br w:val="nil"/>
                    <w:tr2bl w:val="nil"/>
                  </w:tcBorders>
                  <w:noWrap w:val="0"/>
                  <w:vAlign w:val="center"/>
                </w:tcPr>
                <w:p w14:paraId="7409B7DF">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p>
              </w:tc>
            </w:tr>
            <w:tr w14:paraId="032A6D6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vMerge w:val="restart"/>
                  <w:tcBorders>
                    <w:tl2br w:val="nil"/>
                    <w:tr2bl w:val="nil"/>
                  </w:tcBorders>
                  <w:noWrap w:val="0"/>
                  <w:vAlign w:val="center"/>
                </w:tcPr>
                <w:p w14:paraId="77194EEC">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NO</w:t>
                  </w:r>
                  <w:r>
                    <w:rPr>
                      <w:rFonts w:hint="default" w:ascii="Times New Roman" w:hAnsi="Times New Roman" w:eastAsia="宋体" w:cs="Times New Roman"/>
                      <w:color w:val="auto"/>
                      <w:kern w:val="0"/>
                      <w:sz w:val="21"/>
                      <w:szCs w:val="21"/>
                      <w:highlight w:val="none"/>
                      <w:vertAlign w:val="subscript"/>
                    </w:rPr>
                    <w:t>2</w:t>
                  </w:r>
                </w:p>
              </w:tc>
              <w:tc>
                <w:tcPr>
                  <w:tcW w:w="1317" w:type="pct"/>
                  <w:tcBorders>
                    <w:tl2br w:val="nil"/>
                    <w:tr2bl w:val="nil"/>
                  </w:tcBorders>
                  <w:noWrap w:val="0"/>
                  <w:vAlign w:val="center"/>
                </w:tcPr>
                <w:p w14:paraId="1295971A">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年平均质量浓度</w:t>
                  </w:r>
                </w:p>
              </w:tc>
              <w:tc>
                <w:tcPr>
                  <w:tcW w:w="825" w:type="pct"/>
                  <w:tcBorders>
                    <w:tl2br w:val="nil"/>
                    <w:tr2bl w:val="nil"/>
                  </w:tcBorders>
                  <w:noWrap w:val="0"/>
                  <w:vAlign w:val="center"/>
                </w:tcPr>
                <w:p w14:paraId="6D1AB9E7">
                  <w:pPr>
                    <w:adjustRightInd w:val="0"/>
                    <w:snapToGrid w:val="0"/>
                    <w:spacing w:line="240" w:lineRule="auto"/>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26</w:t>
                  </w:r>
                </w:p>
              </w:tc>
              <w:tc>
                <w:tcPr>
                  <w:tcW w:w="983" w:type="pct"/>
                  <w:tcBorders>
                    <w:tl2br w:val="nil"/>
                    <w:tr2bl w:val="nil"/>
                  </w:tcBorders>
                  <w:noWrap w:val="0"/>
                  <w:vAlign w:val="center"/>
                </w:tcPr>
                <w:p w14:paraId="506DDD52">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40</w:t>
                  </w:r>
                </w:p>
              </w:tc>
              <w:tc>
                <w:tcPr>
                  <w:tcW w:w="604" w:type="pct"/>
                  <w:tcBorders>
                    <w:tl2br w:val="nil"/>
                    <w:tr2bl w:val="nil"/>
                  </w:tcBorders>
                  <w:noWrap w:val="0"/>
                  <w:vAlign w:val="center"/>
                </w:tcPr>
                <w:p w14:paraId="5A6AC9AB">
                  <w:pPr>
                    <w:widowControl/>
                    <w:spacing w:line="240" w:lineRule="auto"/>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bidi="ar"/>
                    </w:rPr>
                    <w:t>100</w:t>
                  </w:r>
                </w:p>
              </w:tc>
              <w:tc>
                <w:tcPr>
                  <w:tcW w:w="708" w:type="pct"/>
                  <w:vMerge w:val="restart"/>
                  <w:tcBorders>
                    <w:tl2br w:val="nil"/>
                    <w:tr2bl w:val="nil"/>
                  </w:tcBorders>
                  <w:noWrap w:val="0"/>
                  <w:vAlign w:val="center"/>
                </w:tcPr>
                <w:p w14:paraId="5B47A703">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达标</w:t>
                  </w:r>
                </w:p>
              </w:tc>
            </w:tr>
            <w:tr w14:paraId="53BF9EF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vMerge w:val="continue"/>
                  <w:tcBorders>
                    <w:tl2br w:val="nil"/>
                    <w:tr2bl w:val="nil"/>
                  </w:tcBorders>
                  <w:noWrap w:val="0"/>
                  <w:vAlign w:val="center"/>
                </w:tcPr>
                <w:p w14:paraId="51C946BB">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p>
              </w:tc>
              <w:tc>
                <w:tcPr>
                  <w:tcW w:w="1317" w:type="pct"/>
                  <w:tcBorders>
                    <w:tl2br w:val="nil"/>
                    <w:tr2bl w:val="nil"/>
                  </w:tcBorders>
                  <w:noWrap w:val="0"/>
                  <w:vAlign w:val="center"/>
                </w:tcPr>
                <w:p w14:paraId="492A12EF">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日平均浓度</w:t>
                  </w:r>
                </w:p>
              </w:tc>
              <w:tc>
                <w:tcPr>
                  <w:tcW w:w="825" w:type="pct"/>
                  <w:tcBorders>
                    <w:tl2br w:val="nil"/>
                    <w:tr2bl w:val="nil"/>
                  </w:tcBorders>
                  <w:noWrap w:val="0"/>
                  <w:vAlign w:val="center"/>
                </w:tcPr>
                <w:p w14:paraId="230CCC64">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 w:val="21"/>
                      <w:szCs w:val="21"/>
                      <w:lang w:val="en-US" w:eastAsia="zh-CN"/>
                    </w:rPr>
                    <w:t>5-92</w:t>
                  </w:r>
                </w:p>
              </w:tc>
              <w:tc>
                <w:tcPr>
                  <w:tcW w:w="983" w:type="pct"/>
                  <w:tcBorders>
                    <w:tl2br w:val="nil"/>
                    <w:tr2bl w:val="nil"/>
                  </w:tcBorders>
                  <w:noWrap w:val="0"/>
                  <w:vAlign w:val="center"/>
                </w:tcPr>
                <w:p w14:paraId="2D0219DA">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80</w:t>
                  </w:r>
                </w:p>
              </w:tc>
              <w:tc>
                <w:tcPr>
                  <w:tcW w:w="604" w:type="pct"/>
                  <w:tcBorders>
                    <w:tl2br w:val="nil"/>
                    <w:tr2bl w:val="nil"/>
                  </w:tcBorders>
                  <w:noWrap w:val="0"/>
                  <w:vAlign w:val="center"/>
                </w:tcPr>
                <w:p w14:paraId="54F97225">
                  <w:pPr>
                    <w:keepNext w:val="0"/>
                    <w:keepLines w:val="0"/>
                    <w:suppressLineNumbers w:val="0"/>
                    <w:snapToGrid w:val="0"/>
                    <w:spacing w:before="0" w:beforeAutospacing="0" w:after="0" w:afterAutospacing="0" w:line="240" w:lineRule="auto"/>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 w:val="21"/>
                      <w:szCs w:val="21"/>
                      <w:lang w:val="en-US" w:eastAsia="zh-CN"/>
                    </w:rPr>
                    <w:t>99.2</w:t>
                  </w:r>
                </w:p>
              </w:tc>
              <w:tc>
                <w:tcPr>
                  <w:tcW w:w="708" w:type="pct"/>
                  <w:vMerge w:val="continue"/>
                  <w:tcBorders>
                    <w:tl2br w:val="nil"/>
                    <w:tr2bl w:val="nil"/>
                  </w:tcBorders>
                  <w:noWrap w:val="0"/>
                  <w:vAlign w:val="center"/>
                </w:tcPr>
                <w:p w14:paraId="364E3A7D">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p>
              </w:tc>
            </w:tr>
            <w:tr w14:paraId="277ADAB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vMerge w:val="restart"/>
                  <w:tcBorders>
                    <w:tl2br w:val="nil"/>
                    <w:tr2bl w:val="nil"/>
                  </w:tcBorders>
                  <w:noWrap w:val="0"/>
                  <w:vAlign w:val="center"/>
                </w:tcPr>
                <w:p w14:paraId="7E6C5B43">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CO</w:t>
                  </w:r>
                </w:p>
              </w:tc>
              <w:tc>
                <w:tcPr>
                  <w:tcW w:w="1317" w:type="pct"/>
                  <w:tcBorders>
                    <w:tl2br w:val="nil"/>
                    <w:tr2bl w:val="nil"/>
                  </w:tcBorders>
                  <w:noWrap w:val="0"/>
                  <w:vAlign w:val="center"/>
                </w:tcPr>
                <w:p w14:paraId="4C465560">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日均值的第95百分位数</w:t>
                  </w:r>
                </w:p>
              </w:tc>
              <w:tc>
                <w:tcPr>
                  <w:tcW w:w="825" w:type="pct"/>
                  <w:tcBorders>
                    <w:tl2br w:val="nil"/>
                    <w:tr2bl w:val="nil"/>
                  </w:tcBorders>
                  <w:noWrap w:val="0"/>
                  <w:vAlign w:val="center"/>
                </w:tcPr>
                <w:p w14:paraId="767E77D4">
                  <w:pPr>
                    <w:adjustRightInd w:val="0"/>
                    <w:snapToGrid w:val="0"/>
                    <w:spacing w:line="240" w:lineRule="auto"/>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1100</w:t>
                  </w:r>
                </w:p>
              </w:tc>
              <w:tc>
                <w:tcPr>
                  <w:tcW w:w="983" w:type="pct"/>
                  <w:tcBorders>
                    <w:tl2br w:val="nil"/>
                    <w:tr2bl w:val="nil"/>
                  </w:tcBorders>
                  <w:noWrap w:val="0"/>
                  <w:vAlign w:val="center"/>
                </w:tcPr>
                <w:p w14:paraId="58EC1974">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4000</w:t>
                  </w:r>
                </w:p>
              </w:tc>
              <w:tc>
                <w:tcPr>
                  <w:tcW w:w="604" w:type="pct"/>
                  <w:tcBorders>
                    <w:tl2br w:val="nil"/>
                    <w:tr2bl w:val="nil"/>
                  </w:tcBorders>
                  <w:noWrap w:val="0"/>
                  <w:vAlign w:val="center"/>
                </w:tcPr>
                <w:p w14:paraId="38A9C1C9">
                  <w:pPr>
                    <w:widowControl/>
                    <w:spacing w:line="240" w:lineRule="auto"/>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bidi="ar"/>
                    </w:rPr>
                    <w:t>100</w:t>
                  </w:r>
                </w:p>
              </w:tc>
              <w:tc>
                <w:tcPr>
                  <w:tcW w:w="708" w:type="pct"/>
                  <w:vMerge w:val="restart"/>
                  <w:tcBorders>
                    <w:tl2br w:val="nil"/>
                    <w:tr2bl w:val="nil"/>
                  </w:tcBorders>
                  <w:noWrap w:val="0"/>
                  <w:vAlign w:val="center"/>
                </w:tcPr>
                <w:p w14:paraId="61286B43">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达标</w:t>
                  </w:r>
                </w:p>
              </w:tc>
            </w:tr>
            <w:tr w14:paraId="2656C03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vMerge w:val="continue"/>
                  <w:tcBorders>
                    <w:tl2br w:val="nil"/>
                    <w:tr2bl w:val="nil"/>
                  </w:tcBorders>
                  <w:noWrap w:val="0"/>
                  <w:vAlign w:val="center"/>
                </w:tcPr>
                <w:p w14:paraId="65D64E7C">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p>
              </w:tc>
              <w:tc>
                <w:tcPr>
                  <w:tcW w:w="1317" w:type="pct"/>
                  <w:tcBorders>
                    <w:tl2br w:val="nil"/>
                    <w:tr2bl w:val="nil"/>
                  </w:tcBorders>
                  <w:noWrap w:val="0"/>
                  <w:vAlign w:val="center"/>
                </w:tcPr>
                <w:p w14:paraId="69099BA2">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eastAsia"/>
                      <w:color w:val="auto"/>
                      <w:kern w:val="0"/>
                      <w:szCs w:val="21"/>
                    </w:rPr>
                    <w:t>日平均质量浓度范围</w:t>
                  </w:r>
                </w:p>
              </w:tc>
              <w:tc>
                <w:tcPr>
                  <w:tcW w:w="825" w:type="pct"/>
                  <w:tcBorders>
                    <w:tl2br w:val="nil"/>
                    <w:tr2bl w:val="nil"/>
                  </w:tcBorders>
                  <w:noWrap w:val="0"/>
                  <w:vAlign w:val="center"/>
                </w:tcPr>
                <w:p w14:paraId="76EE5640">
                  <w:pPr>
                    <w:adjustRightInd w:val="0"/>
                    <w:snapToGrid w:val="0"/>
                    <w:spacing w:line="240" w:lineRule="auto"/>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400-1500</w:t>
                  </w:r>
                </w:p>
              </w:tc>
              <w:tc>
                <w:tcPr>
                  <w:tcW w:w="983" w:type="pct"/>
                  <w:tcBorders>
                    <w:tl2br w:val="nil"/>
                    <w:tr2bl w:val="nil"/>
                  </w:tcBorders>
                  <w:noWrap w:val="0"/>
                  <w:vAlign w:val="center"/>
                </w:tcPr>
                <w:p w14:paraId="3A72F16C">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4000</w:t>
                  </w:r>
                </w:p>
              </w:tc>
              <w:tc>
                <w:tcPr>
                  <w:tcW w:w="604" w:type="pct"/>
                  <w:tcBorders>
                    <w:tl2br w:val="nil"/>
                    <w:tr2bl w:val="nil"/>
                  </w:tcBorders>
                  <w:noWrap w:val="0"/>
                  <w:vAlign w:val="center"/>
                </w:tcPr>
                <w:p w14:paraId="5616B61A">
                  <w:pPr>
                    <w:widowControl/>
                    <w:spacing w:line="240" w:lineRule="auto"/>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100</w:t>
                  </w:r>
                </w:p>
              </w:tc>
              <w:tc>
                <w:tcPr>
                  <w:tcW w:w="708" w:type="pct"/>
                  <w:vMerge w:val="continue"/>
                  <w:tcBorders>
                    <w:tl2br w:val="nil"/>
                    <w:tr2bl w:val="nil"/>
                  </w:tcBorders>
                  <w:noWrap w:val="0"/>
                  <w:vAlign w:val="center"/>
                </w:tcPr>
                <w:p w14:paraId="742A79F5">
                  <w:pPr>
                    <w:adjustRightInd w:val="0"/>
                    <w:snapToGrid w:val="0"/>
                    <w:spacing w:line="240" w:lineRule="auto"/>
                    <w:jc w:val="center"/>
                    <w:rPr>
                      <w:rFonts w:hint="default" w:ascii="Times New Roman" w:hAnsi="Times New Roman" w:eastAsia="宋体" w:cs="Times New Roman"/>
                      <w:color w:val="auto"/>
                      <w:kern w:val="0"/>
                      <w:sz w:val="21"/>
                      <w:szCs w:val="21"/>
                      <w:highlight w:val="none"/>
                      <w:lang w:val="en-US" w:eastAsia="zh-CN" w:bidi="ar-SA"/>
                    </w:rPr>
                  </w:pPr>
                </w:p>
              </w:tc>
            </w:tr>
            <w:tr w14:paraId="6C6C6A9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vMerge w:val="restart"/>
                  <w:tcBorders>
                    <w:tl2br w:val="nil"/>
                    <w:tr2bl w:val="nil"/>
                  </w:tcBorders>
                  <w:noWrap w:val="0"/>
                  <w:vAlign w:val="center"/>
                </w:tcPr>
                <w:p w14:paraId="54C75E09">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O</w:t>
                  </w:r>
                  <w:r>
                    <w:rPr>
                      <w:rFonts w:hint="default" w:ascii="Times New Roman" w:hAnsi="Times New Roman" w:eastAsia="宋体" w:cs="Times New Roman"/>
                      <w:color w:val="auto"/>
                      <w:kern w:val="0"/>
                      <w:sz w:val="21"/>
                      <w:szCs w:val="21"/>
                      <w:highlight w:val="none"/>
                      <w:vertAlign w:val="subscript"/>
                    </w:rPr>
                    <w:t>3</w:t>
                  </w:r>
                </w:p>
              </w:tc>
              <w:tc>
                <w:tcPr>
                  <w:tcW w:w="1317" w:type="pct"/>
                  <w:tcBorders>
                    <w:tl2br w:val="nil"/>
                    <w:tr2bl w:val="nil"/>
                  </w:tcBorders>
                  <w:noWrap w:val="0"/>
                  <w:vAlign w:val="center"/>
                </w:tcPr>
                <w:p w14:paraId="3C0C2EFB">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日最大8小时滑动平均值的第90百分位数</w:t>
                  </w:r>
                </w:p>
              </w:tc>
              <w:tc>
                <w:tcPr>
                  <w:tcW w:w="825" w:type="pct"/>
                  <w:tcBorders>
                    <w:tl2br w:val="nil"/>
                    <w:tr2bl w:val="nil"/>
                  </w:tcBorders>
                  <w:noWrap w:val="0"/>
                  <w:vAlign w:val="center"/>
                </w:tcPr>
                <w:p w14:paraId="0016997D">
                  <w:pPr>
                    <w:adjustRightInd w:val="0"/>
                    <w:snapToGrid w:val="0"/>
                    <w:spacing w:line="240" w:lineRule="auto"/>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168</w:t>
                  </w:r>
                </w:p>
              </w:tc>
              <w:tc>
                <w:tcPr>
                  <w:tcW w:w="983" w:type="pct"/>
                  <w:tcBorders>
                    <w:tl2br w:val="nil"/>
                    <w:tr2bl w:val="nil"/>
                  </w:tcBorders>
                  <w:noWrap w:val="0"/>
                  <w:vAlign w:val="center"/>
                </w:tcPr>
                <w:p w14:paraId="4B4DA572">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160</w:t>
                  </w:r>
                </w:p>
              </w:tc>
              <w:tc>
                <w:tcPr>
                  <w:tcW w:w="604" w:type="pct"/>
                  <w:tcBorders>
                    <w:tl2br w:val="nil"/>
                    <w:tr2bl w:val="nil"/>
                  </w:tcBorders>
                  <w:noWrap w:val="0"/>
                  <w:vAlign w:val="center"/>
                </w:tcPr>
                <w:p w14:paraId="4EF92655">
                  <w:pPr>
                    <w:widowControl/>
                    <w:spacing w:line="240" w:lineRule="auto"/>
                    <w:jc w:val="center"/>
                    <w:textAlignment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bidi="ar"/>
                    </w:rPr>
                    <w:t>95.2</w:t>
                  </w:r>
                </w:p>
              </w:tc>
              <w:tc>
                <w:tcPr>
                  <w:tcW w:w="708" w:type="pct"/>
                  <w:vMerge w:val="restart"/>
                  <w:tcBorders>
                    <w:tl2br w:val="nil"/>
                    <w:tr2bl w:val="nil"/>
                  </w:tcBorders>
                  <w:noWrap w:val="0"/>
                  <w:vAlign w:val="center"/>
                </w:tcPr>
                <w:p w14:paraId="672C2350">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不达标</w:t>
                  </w:r>
                </w:p>
              </w:tc>
            </w:tr>
            <w:tr w14:paraId="7FD9E67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60" w:type="pct"/>
                  <w:vMerge w:val="continue"/>
                  <w:tcBorders>
                    <w:tl2br w:val="nil"/>
                    <w:tr2bl w:val="nil"/>
                  </w:tcBorders>
                  <w:noWrap w:val="0"/>
                  <w:vAlign w:val="center"/>
                </w:tcPr>
                <w:p w14:paraId="242596DB">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p>
              </w:tc>
              <w:tc>
                <w:tcPr>
                  <w:tcW w:w="1317" w:type="pct"/>
                  <w:tcBorders>
                    <w:tl2br w:val="nil"/>
                    <w:tr2bl w:val="nil"/>
                  </w:tcBorders>
                  <w:noWrap w:val="0"/>
                  <w:vAlign w:val="center"/>
                </w:tcPr>
                <w:p w14:paraId="670CC3B6">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r>
                    <w:rPr>
                      <w:rFonts w:hint="eastAsia"/>
                      <w:color w:val="auto"/>
                      <w:kern w:val="0"/>
                      <w:szCs w:val="21"/>
                    </w:rPr>
                    <w:t>日平均质量浓度范围</w:t>
                  </w:r>
                </w:p>
              </w:tc>
              <w:tc>
                <w:tcPr>
                  <w:tcW w:w="825" w:type="pct"/>
                  <w:tcBorders>
                    <w:tl2br w:val="nil"/>
                    <w:tr2bl w:val="nil"/>
                  </w:tcBorders>
                  <w:noWrap w:val="0"/>
                  <w:vAlign w:val="center"/>
                </w:tcPr>
                <w:p w14:paraId="385E39A8">
                  <w:pPr>
                    <w:adjustRightInd w:val="0"/>
                    <w:snapToGrid w:val="0"/>
                    <w:spacing w:line="240" w:lineRule="auto"/>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17-253</w:t>
                  </w:r>
                </w:p>
              </w:tc>
              <w:tc>
                <w:tcPr>
                  <w:tcW w:w="983" w:type="pct"/>
                  <w:tcBorders>
                    <w:tl2br w:val="nil"/>
                    <w:tr2bl w:val="nil"/>
                  </w:tcBorders>
                  <w:noWrap w:val="0"/>
                  <w:vAlign w:val="center"/>
                </w:tcPr>
                <w:p w14:paraId="1B622456">
                  <w:pPr>
                    <w:adjustRightInd w:val="0"/>
                    <w:snapToGrid w:val="0"/>
                    <w:spacing w:line="240" w:lineRule="auto"/>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160</w:t>
                  </w:r>
                </w:p>
              </w:tc>
              <w:tc>
                <w:tcPr>
                  <w:tcW w:w="604" w:type="pct"/>
                  <w:tcBorders>
                    <w:tl2br w:val="nil"/>
                    <w:tr2bl w:val="nil"/>
                  </w:tcBorders>
                  <w:noWrap w:val="0"/>
                  <w:vAlign w:val="center"/>
                </w:tcPr>
                <w:p w14:paraId="17CAC165">
                  <w:pPr>
                    <w:widowControl/>
                    <w:spacing w:line="240" w:lineRule="auto"/>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86.3</w:t>
                  </w:r>
                </w:p>
              </w:tc>
              <w:tc>
                <w:tcPr>
                  <w:tcW w:w="708" w:type="pct"/>
                  <w:vMerge w:val="continue"/>
                  <w:tcBorders>
                    <w:tl2br w:val="nil"/>
                    <w:tr2bl w:val="nil"/>
                  </w:tcBorders>
                  <w:noWrap w:val="0"/>
                  <w:vAlign w:val="center"/>
                </w:tcPr>
                <w:p w14:paraId="4107F965">
                  <w:pPr>
                    <w:adjustRightInd w:val="0"/>
                    <w:snapToGrid w:val="0"/>
                    <w:spacing w:line="240" w:lineRule="auto"/>
                    <w:jc w:val="center"/>
                    <w:rPr>
                      <w:rFonts w:hint="default" w:ascii="Times New Roman" w:hAnsi="Times New Roman" w:eastAsia="宋体" w:cs="Times New Roman"/>
                      <w:color w:val="auto"/>
                      <w:kern w:val="0"/>
                      <w:sz w:val="21"/>
                      <w:szCs w:val="21"/>
                      <w:highlight w:val="none"/>
                    </w:rPr>
                  </w:pPr>
                </w:p>
              </w:tc>
            </w:tr>
          </w:tbl>
          <w:p w14:paraId="5923E7EA">
            <w:pPr>
              <w:keepNext w:val="0"/>
              <w:keepLines w:val="0"/>
              <w:pageBreakBefore w:val="0"/>
              <w:widowControl/>
              <w:kinsoku/>
              <w:wordWrap/>
              <w:overflowPunct/>
              <w:topLinePunct w:val="0"/>
              <w:autoSpaceDE/>
              <w:autoSpaceDN/>
              <w:bidi w:val="0"/>
              <w:adjustRightInd w:val="0"/>
              <w:snapToGrid w:val="0"/>
              <w:spacing w:line="360" w:lineRule="auto"/>
              <w:ind w:firstLine="420" w:firstLineChars="200"/>
              <w:textAlignment w:val="auto"/>
              <w:rPr>
                <w:color w:val="auto"/>
                <w:szCs w:val="21"/>
              </w:rPr>
            </w:pPr>
            <w:r>
              <w:rPr>
                <w:bCs/>
                <w:color w:val="auto"/>
                <w:szCs w:val="21"/>
              </w:rPr>
              <w:t>由上表可知，</w:t>
            </w:r>
            <w:r>
              <w:rPr>
                <w:rFonts w:hint="eastAsia"/>
                <w:color w:val="auto"/>
                <w:szCs w:val="21"/>
                <w:lang w:val="en-US" w:eastAsia="zh-CN"/>
              </w:rPr>
              <w:t>2024</w:t>
            </w:r>
            <w:r>
              <w:rPr>
                <w:color w:val="auto"/>
                <w:szCs w:val="21"/>
              </w:rPr>
              <w:t>年常州市环境空气中SO</w:t>
            </w:r>
            <w:r>
              <w:rPr>
                <w:color w:val="auto"/>
                <w:szCs w:val="21"/>
                <w:vertAlign w:val="subscript"/>
              </w:rPr>
              <w:t>2</w:t>
            </w:r>
            <w:r>
              <w:rPr>
                <w:color w:val="auto"/>
                <w:szCs w:val="21"/>
              </w:rPr>
              <w:t>、NO</w:t>
            </w:r>
            <w:r>
              <w:rPr>
                <w:color w:val="auto"/>
                <w:szCs w:val="21"/>
                <w:vertAlign w:val="subscript"/>
              </w:rPr>
              <w:t>2</w:t>
            </w:r>
            <w:r>
              <w:rPr>
                <w:color w:val="auto"/>
                <w:szCs w:val="21"/>
              </w:rPr>
              <w:t>、PM</w:t>
            </w:r>
            <w:r>
              <w:rPr>
                <w:color w:val="auto"/>
                <w:szCs w:val="21"/>
                <w:vertAlign w:val="subscript"/>
              </w:rPr>
              <w:t>10</w:t>
            </w:r>
            <w:r>
              <w:rPr>
                <w:rFonts w:hint="eastAsia"/>
                <w:color w:val="auto"/>
                <w:szCs w:val="21"/>
              </w:rPr>
              <w:t>、PM</w:t>
            </w:r>
            <w:r>
              <w:rPr>
                <w:rFonts w:hint="eastAsia"/>
                <w:color w:val="auto"/>
                <w:szCs w:val="21"/>
                <w:vertAlign w:val="subscript"/>
              </w:rPr>
              <w:t>2.5</w:t>
            </w:r>
            <w:r>
              <w:rPr>
                <w:rFonts w:hint="eastAsia"/>
                <w:color w:val="auto"/>
                <w:szCs w:val="21"/>
              </w:rPr>
              <w:t>年平均值及</w:t>
            </w:r>
            <w:r>
              <w:rPr>
                <w:color w:val="auto"/>
                <w:szCs w:val="21"/>
              </w:rPr>
              <w:t>SO</w:t>
            </w:r>
            <w:r>
              <w:rPr>
                <w:color w:val="auto"/>
                <w:szCs w:val="21"/>
                <w:vertAlign w:val="subscript"/>
              </w:rPr>
              <w:t>2</w:t>
            </w:r>
            <w:r>
              <w:rPr>
                <w:rFonts w:hint="eastAsia"/>
                <w:color w:val="auto"/>
                <w:szCs w:val="21"/>
              </w:rPr>
              <w:t>日平均值均</w:t>
            </w:r>
            <w:r>
              <w:rPr>
                <w:color w:val="auto"/>
                <w:szCs w:val="21"/>
              </w:rPr>
              <w:t>满足《环境空气质量标准》（GB3095-2012）中二级标准，SO</w:t>
            </w:r>
            <w:r>
              <w:rPr>
                <w:color w:val="auto"/>
                <w:szCs w:val="21"/>
                <w:vertAlign w:val="subscript"/>
              </w:rPr>
              <w:t>2</w:t>
            </w:r>
            <w:r>
              <w:rPr>
                <w:color w:val="auto"/>
                <w:szCs w:val="21"/>
              </w:rPr>
              <w:t>、NO</w:t>
            </w:r>
            <w:r>
              <w:rPr>
                <w:color w:val="auto"/>
                <w:szCs w:val="21"/>
                <w:vertAlign w:val="subscript"/>
              </w:rPr>
              <w:t>2</w:t>
            </w:r>
            <w:r>
              <w:rPr>
                <w:color w:val="auto"/>
                <w:szCs w:val="21"/>
              </w:rPr>
              <w:t>、PM</w:t>
            </w:r>
            <w:r>
              <w:rPr>
                <w:color w:val="auto"/>
                <w:szCs w:val="21"/>
                <w:vertAlign w:val="subscript"/>
              </w:rPr>
              <w:t>10</w:t>
            </w:r>
            <w:r>
              <w:rPr>
                <w:rFonts w:hint="eastAsia"/>
                <w:color w:val="auto"/>
                <w:szCs w:val="21"/>
                <w:lang w:val="en-US" w:eastAsia="zh-CN"/>
              </w:rPr>
              <w:t>日平均值浓度达标率满足评价要求；</w:t>
            </w:r>
            <w:r>
              <w:rPr>
                <w:color w:val="auto"/>
                <w:szCs w:val="21"/>
              </w:rPr>
              <w:t>CO的日均值的第95百分位数</w:t>
            </w:r>
            <w:r>
              <w:rPr>
                <w:rFonts w:hint="eastAsia"/>
                <w:color w:val="auto"/>
                <w:szCs w:val="21"/>
              </w:rPr>
              <w:t>及日平均值浓度范围满足</w:t>
            </w:r>
            <w:r>
              <w:rPr>
                <w:color w:val="auto"/>
                <w:szCs w:val="21"/>
              </w:rPr>
              <w:t>《环境空气质量标准》（GB3095-2012）中二级标准</w:t>
            </w:r>
            <w:r>
              <w:rPr>
                <w:rFonts w:hint="eastAsia"/>
                <w:color w:val="auto"/>
                <w:szCs w:val="21"/>
              </w:rPr>
              <w:t>，PM</w:t>
            </w:r>
            <w:r>
              <w:rPr>
                <w:rFonts w:hint="eastAsia"/>
                <w:color w:val="auto"/>
                <w:szCs w:val="21"/>
                <w:vertAlign w:val="subscript"/>
              </w:rPr>
              <w:t>2.5</w:t>
            </w:r>
            <w:r>
              <w:rPr>
                <w:rFonts w:hint="eastAsia"/>
                <w:color w:val="auto"/>
                <w:szCs w:val="21"/>
              </w:rPr>
              <w:t>日均值</w:t>
            </w:r>
            <w:r>
              <w:rPr>
                <w:rFonts w:hint="eastAsia"/>
                <w:color w:val="auto"/>
                <w:szCs w:val="21"/>
                <w:lang w:eastAsia="zh-CN"/>
              </w:rPr>
              <w:t>、</w:t>
            </w:r>
            <w:r>
              <w:rPr>
                <w:color w:val="auto"/>
                <w:szCs w:val="21"/>
              </w:rPr>
              <w:t>O</w:t>
            </w:r>
            <w:r>
              <w:rPr>
                <w:color w:val="auto"/>
                <w:szCs w:val="21"/>
                <w:vertAlign w:val="subscript"/>
              </w:rPr>
              <w:t>3</w:t>
            </w:r>
            <w:r>
              <w:rPr>
                <w:color w:val="auto"/>
                <w:szCs w:val="21"/>
              </w:rPr>
              <w:t>日最大8小时滑动平均值的第90百分位数</w:t>
            </w:r>
            <w:r>
              <w:rPr>
                <w:rFonts w:hint="eastAsia"/>
                <w:color w:val="auto"/>
                <w:szCs w:val="21"/>
                <w:lang w:val="en-US" w:eastAsia="zh-CN"/>
              </w:rPr>
              <w:t>及日平均值浓度范围</w:t>
            </w:r>
            <w:r>
              <w:rPr>
                <w:color w:val="auto"/>
                <w:szCs w:val="21"/>
              </w:rPr>
              <w:t>超过《环境空气质量标准》（GB3095-2012）中二级标准，因此判定为非达标区域。</w:t>
            </w:r>
          </w:p>
          <w:p w14:paraId="618F1CF6">
            <w:pPr>
              <w:widowControl/>
              <w:spacing w:line="360" w:lineRule="auto"/>
              <w:ind w:firstLine="480"/>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补充监测（</w:t>
            </w:r>
            <w:r>
              <w:rPr>
                <w:rFonts w:hint="default" w:ascii="Times New Roman" w:hAnsi="Times New Roman" w:eastAsia="宋体" w:cs="Times New Roman"/>
                <w:color w:val="auto"/>
                <w:sz w:val="21"/>
                <w:szCs w:val="21"/>
                <w:lang w:val="en-US" w:eastAsia="zh-CN"/>
              </w:rPr>
              <w:t>非甲烷总烃</w:t>
            </w:r>
            <w:r>
              <w:rPr>
                <w:rFonts w:hint="eastAsia" w:cs="Times New Roman"/>
                <w:color w:val="auto"/>
                <w:sz w:val="21"/>
                <w:szCs w:val="21"/>
                <w:lang w:val="en-US" w:eastAsia="zh-CN"/>
              </w:rPr>
              <w:t>、TSP</w:t>
            </w:r>
            <w:r>
              <w:rPr>
                <w:rFonts w:hint="default" w:ascii="Times New Roman" w:hAnsi="Times New Roman" w:eastAsia="宋体" w:cs="Times New Roman"/>
                <w:color w:val="auto"/>
                <w:sz w:val="21"/>
                <w:szCs w:val="21"/>
              </w:rPr>
              <w:t>）</w:t>
            </w:r>
          </w:p>
          <w:p w14:paraId="4535F724">
            <w:pPr>
              <w:widowControl/>
              <w:spacing w:line="360" w:lineRule="auto"/>
              <w:ind w:firstLine="48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根据</w:t>
            </w:r>
            <w:r>
              <w:rPr>
                <w:rFonts w:hint="eastAsia" w:cs="Times New Roman"/>
                <w:color w:val="auto"/>
                <w:sz w:val="21"/>
                <w:szCs w:val="21"/>
                <w:lang w:eastAsia="zh-CN"/>
              </w:rPr>
              <w:t>特斯特（江苏）检测科技有限公司</w:t>
            </w:r>
            <w:r>
              <w:rPr>
                <w:rFonts w:hint="default" w:ascii="Times New Roman" w:hAnsi="Times New Roman" w:eastAsia="宋体" w:cs="Times New Roman"/>
                <w:color w:val="auto"/>
                <w:sz w:val="21"/>
                <w:szCs w:val="21"/>
              </w:rPr>
              <w:t>提供的检测报告（</w:t>
            </w:r>
            <w:r>
              <w:rPr>
                <w:rFonts w:hint="eastAsia" w:cs="Times New Roman"/>
                <w:color w:val="auto"/>
                <w:sz w:val="21"/>
                <w:szCs w:val="21"/>
                <w:lang w:val="en-US" w:eastAsia="zh-CN"/>
              </w:rPr>
              <w:t>TST202512043</w:t>
            </w:r>
            <w:r>
              <w:rPr>
                <w:rFonts w:hint="default" w:ascii="Times New Roman" w:hAnsi="Times New Roman" w:eastAsia="宋体" w:cs="Times New Roman"/>
                <w:color w:val="auto"/>
                <w:sz w:val="21"/>
                <w:szCs w:val="21"/>
              </w:rPr>
              <w:t>)，</w:t>
            </w:r>
            <w:bookmarkStart w:id="7" w:name="_Hlk46740040"/>
            <w:r>
              <w:rPr>
                <w:rFonts w:hint="default" w:ascii="Times New Roman" w:hAnsi="Times New Roman" w:eastAsia="宋体" w:cs="Times New Roman"/>
                <w:color w:val="auto"/>
                <w:sz w:val="21"/>
                <w:szCs w:val="21"/>
                <w:lang w:val="en-US" w:eastAsia="zh-CN"/>
              </w:rPr>
              <w:t>非甲烷总烃</w:t>
            </w:r>
            <w:r>
              <w:rPr>
                <w:rFonts w:hint="default" w:ascii="Times New Roman" w:hAnsi="Times New Roman" w:eastAsia="宋体" w:cs="Times New Roman"/>
                <w:color w:val="auto"/>
                <w:sz w:val="21"/>
                <w:szCs w:val="21"/>
              </w:rPr>
              <w:t>数据引自《</w:t>
            </w:r>
            <w:r>
              <w:rPr>
                <w:rFonts w:hint="eastAsia" w:cs="Times New Roman"/>
                <w:color w:val="auto"/>
                <w:sz w:val="21"/>
                <w:szCs w:val="21"/>
                <w:lang w:eastAsia="zh-CN"/>
              </w:rPr>
              <w:t>常州市金坛区金东环保工程有限公司</w:t>
            </w:r>
            <w:r>
              <w:rPr>
                <w:rFonts w:hint="default" w:ascii="Times New Roman" w:hAnsi="Times New Roman" w:eastAsia="宋体" w:cs="Times New Roman"/>
                <w:color w:val="auto"/>
                <w:sz w:val="21"/>
                <w:szCs w:val="21"/>
              </w:rPr>
              <w:t>》</w:t>
            </w:r>
            <w:r>
              <w:rPr>
                <w:rFonts w:hint="eastAsia" w:cs="Times New Roman"/>
                <w:color w:val="auto"/>
                <w:sz w:val="21"/>
                <w:szCs w:val="21"/>
                <w:lang w:eastAsia="zh-CN"/>
              </w:rPr>
              <w:t>（</w:t>
            </w:r>
            <w:r>
              <w:rPr>
                <w:rFonts w:hint="eastAsia" w:cs="Times New Roman"/>
                <w:color w:val="auto"/>
                <w:sz w:val="21"/>
                <w:szCs w:val="21"/>
                <w:lang w:val="en-US" w:eastAsia="zh-CN"/>
              </w:rPr>
              <w:t>TST202411058</w:t>
            </w:r>
            <w:r>
              <w:rPr>
                <w:rFonts w:hint="eastAsia" w:cs="Times New Roman"/>
                <w:color w:val="auto"/>
                <w:sz w:val="21"/>
                <w:szCs w:val="21"/>
                <w:lang w:eastAsia="zh-CN"/>
              </w:rPr>
              <w:t>）</w:t>
            </w:r>
            <w:r>
              <w:rPr>
                <w:rFonts w:hint="default" w:ascii="Times New Roman" w:hAnsi="Times New Roman" w:eastAsia="宋体" w:cs="Times New Roman"/>
                <w:color w:val="auto"/>
                <w:sz w:val="21"/>
                <w:szCs w:val="21"/>
              </w:rPr>
              <w:t>中环境空气项目所在地点</w:t>
            </w:r>
            <w:r>
              <w:rPr>
                <w:rFonts w:hint="eastAsia" w:cs="Times New Roman"/>
                <w:color w:val="auto"/>
                <w:sz w:val="21"/>
                <w:szCs w:val="21"/>
                <w:lang w:val="en-US" w:eastAsia="zh-CN"/>
              </w:rPr>
              <w:t xml:space="preserve">东侧O2 </w:t>
            </w:r>
            <w:r>
              <w:rPr>
                <w:rFonts w:hint="default" w:ascii="Times New Roman" w:hAnsi="Times New Roman" w:eastAsia="宋体" w:cs="Times New Roman"/>
                <w:color w:val="auto"/>
                <w:sz w:val="21"/>
                <w:szCs w:val="21"/>
              </w:rPr>
              <w:t>202</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年</w:t>
            </w:r>
            <w:r>
              <w:rPr>
                <w:rFonts w:hint="eastAsia" w:cs="Times New Roman"/>
                <w:color w:val="auto"/>
                <w:sz w:val="21"/>
                <w:szCs w:val="21"/>
                <w:lang w:val="en-US" w:eastAsia="zh-CN"/>
              </w:rPr>
              <w:t>11</w:t>
            </w:r>
            <w:r>
              <w:rPr>
                <w:rFonts w:hint="default" w:ascii="Times New Roman" w:hAnsi="Times New Roman" w:eastAsia="宋体" w:cs="Times New Roman"/>
                <w:color w:val="auto"/>
                <w:sz w:val="21"/>
                <w:szCs w:val="21"/>
              </w:rPr>
              <w:t>月</w:t>
            </w:r>
            <w:r>
              <w:rPr>
                <w:rFonts w:hint="eastAsia" w:cs="Times New Roman"/>
                <w:color w:val="auto"/>
                <w:sz w:val="21"/>
                <w:szCs w:val="21"/>
                <w:lang w:val="en-US" w:eastAsia="zh-CN"/>
              </w:rPr>
              <w:t>11</w:t>
            </w:r>
            <w:r>
              <w:rPr>
                <w:rFonts w:hint="default" w:ascii="Times New Roman" w:hAnsi="Times New Roman" w:eastAsia="宋体" w:cs="Times New Roman"/>
                <w:color w:val="auto"/>
                <w:sz w:val="21"/>
                <w:szCs w:val="21"/>
              </w:rPr>
              <w:t>日～</w:t>
            </w:r>
            <w:r>
              <w:rPr>
                <w:rFonts w:hint="eastAsia" w:cs="Times New Roman"/>
                <w:color w:val="auto"/>
                <w:sz w:val="21"/>
                <w:szCs w:val="21"/>
                <w:lang w:val="en-US" w:eastAsia="zh-CN"/>
              </w:rPr>
              <w:t>17</w:t>
            </w:r>
            <w:r>
              <w:rPr>
                <w:rFonts w:hint="default" w:ascii="Times New Roman" w:hAnsi="Times New Roman" w:eastAsia="宋体" w:cs="Times New Roman"/>
                <w:color w:val="auto"/>
                <w:sz w:val="21"/>
                <w:szCs w:val="21"/>
              </w:rPr>
              <w:t>日连续</w:t>
            </w:r>
            <w:r>
              <w:rPr>
                <w:rFonts w:hint="eastAsia" w:cs="Times New Roman"/>
                <w:color w:val="auto"/>
                <w:sz w:val="21"/>
                <w:szCs w:val="21"/>
                <w:lang w:val="en-US" w:eastAsia="zh-CN"/>
              </w:rPr>
              <w:t>7</w:t>
            </w:r>
            <w:r>
              <w:rPr>
                <w:rFonts w:hint="default" w:ascii="Times New Roman" w:hAnsi="Times New Roman" w:eastAsia="宋体" w:cs="Times New Roman"/>
                <w:color w:val="auto"/>
                <w:sz w:val="21"/>
                <w:szCs w:val="21"/>
              </w:rPr>
              <w:t>天检测数据</w:t>
            </w:r>
            <w:bookmarkEnd w:id="7"/>
            <w:r>
              <w:rPr>
                <w:rFonts w:hint="eastAsia" w:cs="Times New Roman"/>
                <w:color w:val="auto"/>
                <w:sz w:val="21"/>
                <w:szCs w:val="21"/>
                <w:lang w:eastAsia="zh-CN"/>
              </w:rPr>
              <w:t>；</w:t>
            </w:r>
            <w:r>
              <w:rPr>
                <w:rFonts w:hint="eastAsia" w:cs="Times New Roman"/>
                <w:color w:val="auto"/>
                <w:sz w:val="21"/>
                <w:szCs w:val="21"/>
                <w:lang w:val="en-US" w:eastAsia="zh-CN"/>
              </w:rPr>
              <w:t>TSP数据引自《</w:t>
            </w:r>
            <w:r>
              <w:rPr>
                <w:rFonts w:hint="eastAsia" w:cs="Times New Roman"/>
                <w:color w:val="auto"/>
                <w:sz w:val="21"/>
                <w:szCs w:val="21"/>
                <w:lang w:eastAsia="zh-CN"/>
              </w:rPr>
              <w:t>常州市金坛区金东环保工程有限公司</w:t>
            </w:r>
            <w:r>
              <w:rPr>
                <w:rFonts w:hint="eastAsia" w:cs="Times New Roman"/>
                <w:color w:val="auto"/>
                <w:sz w:val="21"/>
                <w:szCs w:val="21"/>
                <w:lang w:val="en-US" w:eastAsia="zh-CN"/>
              </w:rPr>
              <w:t>》</w:t>
            </w:r>
            <w:r>
              <w:rPr>
                <w:rFonts w:hint="eastAsia" w:cs="Times New Roman"/>
                <w:color w:val="auto"/>
                <w:sz w:val="21"/>
                <w:szCs w:val="21"/>
                <w:lang w:eastAsia="zh-CN"/>
              </w:rPr>
              <w:t>（</w:t>
            </w:r>
            <w:r>
              <w:rPr>
                <w:rFonts w:hint="eastAsia" w:cs="Times New Roman"/>
                <w:color w:val="auto"/>
                <w:sz w:val="21"/>
                <w:szCs w:val="21"/>
                <w:lang w:val="en-US" w:eastAsia="zh-CN"/>
              </w:rPr>
              <w:t>TST202510128</w:t>
            </w:r>
            <w:r>
              <w:rPr>
                <w:rFonts w:hint="eastAsia" w:cs="Times New Roman"/>
                <w:color w:val="auto"/>
                <w:sz w:val="21"/>
                <w:szCs w:val="21"/>
                <w:lang w:eastAsia="zh-CN"/>
              </w:rPr>
              <w:t>）</w:t>
            </w:r>
            <w:r>
              <w:rPr>
                <w:rFonts w:hint="default" w:ascii="Times New Roman" w:hAnsi="Times New Roman" w:eastAsia="宋体" w:cs="Times New Roman"/>
                <w:color w:val="auto"/>
                <w:sz w:val="21"/>
                <w:szCs w:val="21"/>
              </w:rPr>
              <w:t>中环境空气项目所在地点</w:t>
            </w:r>
            <w:r>
              <w:rPr>
                <w:rFonts w:hint="eastAsia" w:cs="Times New Roman"/>
                <w:color w:val="auto"/>
                <w:sz w:val="21"/>
                <w:szCs w:val="21"/>
                <w:lang w:val="en-US" w:eastAsia="zh-CN"/>
              </w:rPr>
              <w:t xml:space="preserve">中兴路与华兴路交叉口西北方向约62mG1 </w:t>
            </w:r>
            <w:r>
              <w:rPr>
                <w:rFonts w:hint="default" w:ascii="Times New Roman" w:hAnsi="Times New Roman" w:eastAsia="宋体" w:cs="Times New Roman"/>
                <w:color w:val="auto"/>
                <w:sz w:val="21"/>
                <w:szCs w:val="21"/>
              </w:rPr>
              <w:t>202</w:t>
            </w:r>
            <w:r>
              <w:rPr>
                <w:rFonts w:hint="eastAsia" w:cs="Times New Roman"/>
                <w:color w:val="auto"/>
                <w:sz w:val="21"/>
                <w:szCs w:val="21"/>
                <w:lang w:val="en-US" w:eastAsia="zh-CN"/>
              </w:rPr>
              <w:t>5</w:t>
            </w:r>
            <w:r>
              <w:rPr>
                <w:rFonts w:hint="default" w:ascii="Times New Roman" w:hAnsi="Times New Roman" w:eastAsia="宋体" w:cs="Times New Roman"/>
                <w:color w:val="auto"/>
                <w:sz w:val="21"/>
                <w:szCs w:val="21"/>
              </w:rPr>
              <w:t>年</w:t>
            </w:r>
            <w:r>
              <w:rPr>
                <w:rFonts w:hint="eastAsia" w:cs="Times New Roman"/>
                <w:color w:val="auto"/>
                <w:sz w:val="21"/>
                <w:szCs w:val="21"/>
                <w:lang w:val="en-US" w:eastAsia="zh-CN"/>
              </w:rPr>
              <w:t>10</w:t>
            </w:r>
            <w:r>
              <w:rPr>
                <w:rFonts w:hint="default" w:ascii="Times New Roman" w:hAnsi="Times New Roman" w:eastAsia="宋体" w:cs="Times New Roman"/>
                <w:color w:val="auto"/>
                <w:sz w:val="21"/>
                <w:szCs w:val="21"/>
              </w:rPr>
              <w:t>月</w:t>
            </w:r>
            <w:r>
              <w:rPr>
                <w:rFonts w:hint="eastAsia" w:cs="Times New Roman"/>
                <w:color w:val="auto"/>
                <w:sz w:val="21"/>
                <w:szCs w:val="21"/>
                <w:lang w:val="en-US" w:eastAsia="zh-CN"/>
              </w:rPr>
              <w:t>23</w:t>
            </w:r>
            <w:r>
              <w:rPr>
                <w:rFonts w:hint="default" w:ascii="Times New Roman" w:hAnsi="Times New Roman" w:eastAsia="宋体" w:cs="Times New Roman"/>
                <w:color w:val="auto"/>
                <w:sz w:val="21"/>
                <w:szCs w:val="21"/>
              </w:rPr>
              <w:t>日～</w:t>
            </w:r>
            <w:r>
              <w:rPr>
                <w:rFonts w:hint="eastAsia" w:cs="Times New Roman"/>
                <w:color w:val="auto"/>
                <w:sz w:val="21"/>
                <w:szCs w:val="21"/>
                <w:lang w:val="en-US" w:eastAsia="zh-CN"/>
              </w:rPr>
              <w:t>26</w:t>
            </w:r>
            <w:r>
              <w:rPr>
                <w:rFonts w:hint="default" w:ascii="Times New Roman" w:hAnsi="Times New Roman" w:eastAsia="宋体" w:cs="Times New Roman"/>
                <w:color w:val="auto"/>
                <w:sz w:val="21"/>
                <w:szCs w:val="21"/>
              </w:rPr>
              <w:t>日连续</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天检测数据。具体统计结果见下表。</w:t>
            </w:r>
          </w:p>
          <w:p w14:paraId="4FB1717F">
            <w:pPr>
              <w:widowControl/>
              <w:ind w:left="431"/>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表3-2 其他污染物补充监测点位基本信息</w:t>
            </w:r>
          </w:p>
          <w:tbl>
            <w:tblPr>
              <w:tblStyle w:val="28"/>
              <w:tblpPr w:leftFromText="180" w:rightFromText="180" w:vertAnchor="text" w:tblpXSpec="center" w:tblpY="1"/>
              <w:tblOverlap w:val="never"/>
              <w:tblW w:w="8397"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577"/>
              <w:gridCol w:w="786"/>
              <w:gridCol w:w="693"/>
              <w:gridCol w:w="689"/>
              <w:gridCol w:w="675"/>
              <w:gridCol w:w="611"/>
              <w:gridCol w:w="750"/>
              <w:gridCol w:w="1007"/>
              <w:gridCol w:w="1026"/>
              <w:gridCol w:w="637"/>
              <w:gridCol w:w="502"/>
              <w:gridCol w:w="444"/>
            </w:tblGrid>
            <w:tr w14:paraId="57A0A6A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jc w:val="center"/>
              </w:trPr>
              <w:tc>
                <w:tcPr>
                  <w:tcW w:w="577" w:type="dxa"/>
                  <w:vMerge w:val="restart"/>
                  <w:noWrap w:val="0"/>
                  <w:tcMar>
                    <w:top w:w="0" w:type="dxa"/>
                    <w:left w:w="0" w:type="dxa"/>
                    <w:bottom w:w="0" w:type="dxa"/>
                    <w:right w:w="0" w:type="dxa"/>
                  </w:tcMar>
                  <w:vAlign w:val="center"/>
                </w:tcPr>
                <w:p w14:paraId="5CC6EEE4">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监测点位</w:t>
                  </w:r>
                </w:p>
              </w:tc>
              <w:tc>
                <w:tcPr>
                  <w:tcW w:w="1479" w:type="dxa"/>
                  <w:gridSpan w:val="2"/>
                  <w:noWrap w:val="0"/>
                  <w:tcMar>
                    <w:top w:w="0" w:type="dxa"/>
                    <w:left w:w="0" w:type="dxa"/>
                    <w:bottom w:w="0" w:type="dxa"/>
                    <w:right w:w="0" w:type="dxa"/>
                  </w:tcMar>
                  <w:vAlign w:val="center"/>
                </w:tcPr>
                <w:p w14:paraId="71D24EB3">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监测点坐标</w:t>
                  </w:r>
                </w:p>
              </w:tc>
              <w:tc>
                <w:tcPr>
                  <w:tcW w:w="689" w:type="dxa"/>
                  <w:vMerge w:val="restart"/>
                  <w:noWrap w:val="0"/>
                  <w:tcMar>
                    <w:top w:w="0" w:type="dxa"/>
                    <w:left w:w="0" w:type="dxa"/>
                    <w:bottom w:w="0" w:type="dxa"/>
                    <w:right w:w="0" w:type="dxa"/>
                  </w:tcMar>
                  <w:vAlign w:val="center"/>
                </w:tcPr>
                <w:p w14:paraId="11087138">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污染物</w:t>
                  </w:r>
                </w:p>
              </w:tc>
              <w:tc>
                <w:tcPr>
                  <w:tcW w:w="675" w:type="dxa"/>
                  <w:vMerge w:val="restart"/>
                  <w:noWrap w:val="0"/>
                  <w:tcMar>
                    <w:top w:w="0" w:type="dxa"/>
                    <w:left w:w="0" w:type="dxa"/>
                    <w:bottom w:w="0" w:type="dxa"/>
                    <w:right w:w="0" w:type="dxa"/>
                  </w:tcMar>
                  <w:vAlign w:val="center"/>
                </w:tcPr>
                <w:p w14:paraId="710180A5">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监测时段</w:t>
                  </w:r>
                </w:p>
              </w:tc>
              <w:tc>
                <w:tcPr>
                  <w:tcW w:w="611" w:type="dxa"/>
                  <w:vMerge w:val="restart"/>
                  <w:noWrap w:val="0"/>
                  <w:tcMar>
                    <w:top w:w="0" w:type="dxa"/>
                    <w:left w:w="0" w:type="dxa"/>
                    <w:bottom w:w="0" w:type="dxa"/>
                    <w:right w:w="0" w:type="dxa"/>
                  </w:tcMar>
                  <w:vAlign w:val="center"/>
                </w:tcPr>
                <w:p w14:paraId="2804B01D">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平均时间</w:t>
                  </w:r>
                </w:p>
              </w:tc>
              <w:tc>
                <w:tcPr>
                  <w:tcW w:w="750" w:type="dxa"/>
                  <w:vMerge w:val="restart"/>
                  <w:noWrap w:val="0"/>
                  <w:tcMar>
                    <w:top w:w="0" w:type="dxa"/>
                    <w:left w:w="0" w:type="dxa"/>
                    <w:bottom w:w="0" w:type="dxa"/>
                    <w:right w:w="0" w:type="dxa"/>
                  </w:tcMar>
                  <w:vAlign w:val="center"/>
                </w:tcPr>
                <w:p w14:paraId="190C40F8">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评价标准</w:t>
                  </w:r>
                  <w:r>
                    <w:rPr>
                      <w:rFonts w:hint="eastAsia" w:cs="Times New Roman"/>
                      <w:b/>
                      <w:bCs/>
                      <w:color w:val="auto"/>
                      <w:sz w:val="21"/>
                      <w:szCs w:val="21"/>
                      <w:lang w:val="en-US" w:eastAsia="zh-CN"/>
                    </w:rPr>
                    <w:t>m</w:t>
                  </w:r>
                  <w:r>
                    <w:rPr>
                      <w:rFonts w:hint="default" w:ascii="Times New Roman" w:hAnsi="Times New Roman" w:eastAsia="宋体" w:cs="Times New Roman"/>
                      <w:b/>
                      <w:bCs/>
                      <w:color w:val="auto"/>
                      <w:sz w:val="21"/>
                      <w:szCs w:val="21"/>
                    </w:rPr>
                    <w:t>g/m</w:t>
                  </w:r>
                  <w:r>
                    <w:rPr>
                      <w:rFonts w:hint="default" w:ascii="Times New Roman" w:hAnsi="Times New Roman" w:eastAsia="宋体" w:cs="Times New Roman"/>
                      <w:b/>
                      <w:bCs/>
                      <w:color w:val="auto"/>
                      <w:sz w:val="21"/>
                      <w:szCs w:val="21"/>
                      <w:vertAlign w:val="superscript"/>
                    </w:rPr>
                    <w:t>3</w:t>
                  </w:r>
                </w:p>
              </w:tc>
              <w:tc>
                <w:tcPr>
                  <w:tcW w:w="1007" w:type="dxa"/>
                  <w:vMerge w:val="restart"/>
                  <w:noWrap w:val="0"/>
                  <w:tcMar>
                    <w:top w:w="0" w:type="dxa"/>
                    <w:left w:w="0" w:type="dxa"/>
                    <w:bottom w:w="0" w:type="dxa"/>
                    <w:right w:w="0" w:type="dxa"/>
                  </w:tcMar>
                  <w:vAlign w:val="center"/>
                </w:tcPr>
                <w:p w14:paraId="38C5ADE1">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监测浓度范围</w:t>
                  </w:r>
                  <w:r>
                    <w:rPr>
                      <w:rFonts w:hint="eastAsia" w:cs="Times New Roman"/>
                      <w:b/>
                      <w:bCs/>
                      <w:color w:val="auto"/>
                      <w:sz w:val="21"/>
                      <w:szCs w:val="21"/>
                      <w:lang w:val="en-US" w:eastAsia="zh-CN"/>
                    </w:rPr>
                    <w:t>m</w:t>
                  </w:r>
                  <w:r>
                    <w:rPr>
                      <w:rFonts w:hint="default" w:ascii="Times New Roman" w:hAnsi="Times New Roman" w:eastAsia="宋体" w:cs="Times New Roman"/>
                      <w:b/>
                      <w:bCs/>
                      <w:color w:val="auto"/>
                      <w:sz w:val="21"/>
                      <w:szCs w:val="21"/>
                    </w:rPr>
                    <w:t>g/m</w:t>
                  </w:r>
                  <w:r>
                    <w:rPr>
                      <w:rFonts w:hint="default" w:ascii="Times New Roman" w:hAnsi="Times New Roman" w:eastAsia="宋体" w:cs="Times New Roman"/>
                      <w:b/>
                      <w:bCs/>
                      <w:color w:val="auto"/>
                      <w:sz w:val="21"/>
                      <w:szCs w:val="21"/>
                      <w:vertAlign w:val="superscript"/>
                    </w:rPr>
                    <w:t>3</w:t>
                  </w:r>
                </w:p>
              </w:tc>
              <w:tc>
                <w:tcPr>
                  <w:tcW w:w="1026" w:type="dxa"/>
                  <w:vMerge w:val="restart"/>
                  <w:noWrap w:val="0"/>
                  <w:tcMar>
                    <w:top w:w="0" w:type="dxa"/>
                    <w:left w:w="0" w:type="dxa"/>
                    <w:bottom w:w="0" w:type="dxa"/>
                    <w:right w:w="0" w:type="dxa"/>
                  </w:tcMar>
                  <w:vAlign w:val="center"/>
                </w:tcPr>
                <w:p w14:paraId="33FA58D1">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最大浓度占标率%</w:t>
                  </w:r>
                </w:p>
              </w:tc>
              <w:tc>
                <w:tcPr>
                  <w:tcW w:w="637" w:type="dxa"/>
                  <w:vMerge w:val="restart"/>
                  <w:noWrap w:val="0"/>
                  <w:tcMar>
                    <w:top w:w="0" w:type="dxa"/>
                    <w:left w:w="0" w:type="dxa"/>
                    <w:bottom w:w="0" w:type="dxa"/>
                    <w:right w:w="0" w:type="dxa"/>
                  </w:tcMar>
                  <w:vAlign w:val="center"/>
                </w:tcPr>
                <w:p w14:paraId="5C02C986">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超标率%</w:t>
                  </w:r>
                </w:p>
              </w:tc>
              <w:tc>
                <w:tcPr>
                  <w:tcW w:w="502" w:type="dxa"/>
                  <w:vMerge w:val="restart"/>
                  <w:tcBorders>
                    <w:right w:val="single" w:color="auto" w:sz="4" w:space="0"/>
                  </w:tcBorders>
                  <w:noWrap w:val="0"/>
                  <w:tcMar>
                    <w:top w:w="0" w:type="dxa"/>
                    <w:left w:w="0" w:type="dxa"/>
                    <w:bottom w:w="0" w:type="dxa"/>
                    <w:right w:w="0" w:type="dxa"/>
                  </w:tcMar>
                  <w:vAlign w:val="center"/>
                </w:tcPr>
                <w:p w14:paraId="153FC7CE">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达标情况</w:t>
                  </w:r>
                </w:p>
              </w:tc>
              <w:tc>
                <w:tcPr>
                  <w:tcW w:w="444" w:type="dxa"/>
                  <w:vMerge w:val="restart"/>
                  <w:tcBorders>
                    <w:left w:val="single" w:color="auto" w:sz="4" w:space="0"/>
                  </w:tcBorders>
                  <w:noWrap w:val="0"/>
                  <w:tcMar>
                    <w:top w:w="0" w:type="dxa"/>
                    <w:left w:w="0" w:type="dxa"/>
                    <w:bottom w:w="0" w:type="dxa"/>
                    <w:right w:w="0" w:type="dxa"/>
                  </w:tcMar>
                  <w:vAlign w:val="center"/>
                </w:tcPr>
                <w:p w14:paraId="659A8C18">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数据来源</w:t>
                  </w:r>
                </w:p>
              </w:tc>
            </w:tr>
            <w:tr w14:paraId="5A655CA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jc w:val="center"/>
              </w:trPr>
              <w:tc>
                <w:tcPr>
                  <w:tcW w:w="577" w:type="dxa"/>
                  <w:vMerge w:val="continue"/>
                  <w:noWrap w:val="0"/>
                  <w:tcMar>
                    <w:top w:w="0" w:type="dxa"/>
                    <w:left w:w="0" w:type="dxa"/>
                    <w:bottom w:w="0" w:type="dxa"/>
                    <w:right w:w="0" w:type="dxa"/>
                  </w:tcMar>
                  <w:vAlign w:val="center"/>
                </w:tcPr>
                <w:p w14:paraId="4A5DE529">
                  <w:pPr>
                    <w:widowControl/>
                    <w:spacing w:line="240" w:lineRule="exact"/>
                    <w:jc w:val="center"/>
                    <w:rPr>
                      <w:rFonts w:hint="default" w:ascii="Times New Roman" w:hAnsi="Times New Roman" w:eastAsia="宋体" w:cs="Times New Roman"/>
                      <w:b/>
                      <w:bCs/>
                      <w:color w:val="auto"/>
                      <w:sz w:val="21"/>
                      <w:szCs w:val="21"/>
                    </w:rPr>
                  </w:pPr>
                </w:p>
              </w:tc>
              <w:tc>
                <w:tcPr>
                  <w:tcW w:w="786" w:type="dxa"/>
                  <w:noWrap w:val="0"/>
                  <w:tcMar>
                    <w:top w:w="0" w:type="dxa"/>
                    <w:left w:w="0" w:type="dxa"/>
                    <w:bottom w:w="0" w:type="dxa"/>
                    <w:right w:w="0" w:type="dxa"/>
                  </w:tcMar>
                  <w:vAlign w:val="center"/>
                </w:tcPr>
                <w:p w14:paraId="704270AD">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N°</w:t>
                  </w:r>
                </w:p>
              </w:tc>
              <w:tc>
                <w:tcPr>
                  <w:tcW w:w="693" w:type="dxa"/>
                  <w:noWrap w:val="0"/>
                  <w:tcMar>
                    <w:top w:w="0" w:type="dxa"/>
                    <w:left w:w="0" w:type="dxa"/>
                    <w:bottom w:w="0" w:type="dxa"/>
                    <w:right w:w="0" w:type="dxa"/>
                  </w:tcMar>
                  <w:vAlign w:val="center"/>
                </w:tcPr>
                <w:p w14:paraId="7EE8CDE1">
                  <w:pPr>
                    <w:widowControl/>
                    <w:spacing w:line="24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E°</w:t>
                  </w:r>
                </w:p>
              </w:tc>
              <w:tc>
                <w:tcPr>
                  <w:tcW w:w="689" w:type="dxa"/>
                  <w:vMerge w:val="continue"/>
                  <w:noWrap w:val="0"/>
                  <w:tcMar>
                    <w:top w:w="0" w:type="dxa"/>
                    <w:left w:w="0" w:type="dxa"/>
                    <w:bottom w:w="0" w:type="dxa"/>
                    <w:right w:w="0" w:type="dxa"/>
                  </w:tcMar>
                  <w:vAlign w:val="center"/>
                </w:tcPr>
                <w:p w14:paraId="7C637997">
                  <w:pPr>
                    <w:widowControl/>
                    <w:spacing w:line="240" w:lineRule="exact"/>
                    <w:jc w:val="center"/>
                    <w:rPr>
                      <w:rFonts w:hint="default" w:ascii="Times New Roman" w:hAnsi="Times New Roman" w:eastAsia="宋体" w:cs="Times New Roman"/>
                      <w:b/>
                      <w:bCs/>
                      <w:color w:val="auto"/>
                      <w:sz w:val="21"/>
                      <w:szCs w:val="21"/>
                    </w:rPr>
                  </w:pPr>
                </w:p>
              </w:tc>
              <w:tc>
                <w:tcPr>
                  <w:tcW w:w="675" w:type="dxa"/>
                  <w:vMerge w:val="continue"/>
                  <w:noWrap w:val="0"/>
                  <w:tcMar>
                    <w:top w:w="0" w:type="dxa"/>
                    <w:left w:w="0" w:type="dxa"/>
                    <w:bottom w:w="0" w:type="dxa"/>
                    <w:right w:w="0" w:type="dxa"/>
                  </w:tcMar>
                  <w:vAlign w:val="center"/>
                </w:tcPr>
                <w:p w14:paraId="1AD0E554">
                  <w:pPr>
                    <w:widowControl/>
                    <w:spacing w:line="240" w:lineRule="exact"/>
                    <w:jc w:val="center"/>
                    <w:rPr>
                      <w:rFonts w:hint="default" w:ascii="Times New Roman" w:hAnsi="Times New Roman" w:eastAsia="宋体" w:cs="Times New Roman"/>
                      <w:b/>
                      <w:bCs/>
                      <w:color w:val="auto"/>
                      <w:sz w:val="21"/>
                      <w:szCs w:val="21"/>
                    </w:rPr>
                  </w:pPr>
                </w:p>
              </w:tc>
              <w:tc>
                <w:tcPr>
                  <w:tcW w:w="611" w:type="dxa"/>
                  <w:vMerge w:val="continue"/>
                  <w:noWrap w:val="0"/>
                  <w:tcMar>
                    <w:top w:w="0" w:type="dxa"/>
                    <w:left w:w="0" w:type="dxa"/>
                    <w:bottom w:w="0" w:type="dxa"/>
                    <w:right w:w="0" w:type="dxa"/>
                  </w:tcMar>
                  <w:vAlign w:val="center"/>
                </w:tcPr>
                <w:p w14:paraId="005EC373">
                  <w:pPr>
                    <w:widowControl/>
                    <w:spacing w:line="240" w:lineRule="exact"/>
                    <w:jc w:val="center"/>
                    <w:rPr>
                      <w:rFonts w:hint="default" w:ascii="Times New Roman" w:hAnsi="Times New Roman" w:eastAsia="宋体" w:cs="Times New Roman"/>
                      <w:b/>
                      <w:bCs/>
                      <w:color w:val="auto"/>
                      <w:sz w:val="21"/>
                      <w:szCs w:val="21"/>
                    </w:rPr>
                  </w:pPr>
                </w:p>
              </w:tc>
              <w:tc>
                <w:tcPr>
                  <w:tcW w:w="750" w:type="dxa"/>
                  <w:vMerge w:val="continue"/>
                  <w:noWrap w:val="0"/>
                  <w:tcMar>
                    <w:top w:w="0" w:type="dxa"/>
                    <w:left w:w="0" w:type="dxa"/>
                    <w:bottom w:w="0" w:type="dxa"/>
                    <w:right w:w="0" w:type="dxa"/>
                  </w:tcMar>
                  <w:vAlign w:val="center"/>
                </w:tcPr>
                <w:p w14:paraId="55C8CC1A">
                  <w:pPr>
                    <w:widowControl/>
                    <w:spacing w:line="240" w:lineRule="exact"/>
                    <w:jc w:val="center"/>
                    <w:rPr>
                      <w:rFonts w:hint="default" w:ascii="Times New Roman" w:hAnsi="Times New Roman" w:eastAsia="宋体" w:cs="Times New Roman"/>
                      <w:b/>
                      <w:bCs/>
                      <w:color w:val="auto"/>
                      <w:sz w:val="21"/>
                      <w:szCs w:val="21"/>
                    </w:rPr>
                  </w:pPr>
                </w:p>
              </w:tc>
              <w:tc>
                <w:tcPr>
                  <w:tcW w:w="1007" w:type="dxa"/>
                  <w:vMerge w:val="continue"/>
                  <w:noWrap w:val="0"/>
                  <w:tcMar>
                    <w:top w:w="0" w:type="dxa"/>
                    <w:left w:w="0" w:type="dxa"/>
                    <w:bottom w:w="0" w:type="dxa"/>
                    <w:right w:w="0" w:type="dxa"/>
                  </w:tcMar>
                  <w:vAlign w:val="center"/>
                </w:tcPr>
                <w:p w14:paraId="2E196C37">
                  <w:pPr>
                    <w:widowControl/>
                    <w:spacing w:line="240" w:lineRule="exact"/>
                    <w:jc w:val="center"/>
                    <w:rPr>
                      <w:rFonts w:hint="default" w:ascii="Times New Roman" w:hAnsi="Times New Roman" w:eastAsia="宋体" w:cs="Times New Roman"/>
                      <w:b/>
                      <w:bCs/>
                      <w:color w:val="auto"/>
                      <w:sz w:val="21"/>
                      <w:szCs w:val="21"/>
                    </w:rPr>
                  </w:pPr>
                </w:p>
              </w:tc>
              <w:tc>
                <w:tcPr>
                  <w:tcW w:w="1026" w:type="dxa"/>
                  <w:vMerge w:val="continue"/>
                  <w:noWrap w:val="0"/>
                  <w:tcMar>
                    <w:top w:w="0" w:type="dxa"/>
                    <w:left w:w="0" w:type="dxa"/>
                    <w:bottom w:w="0" w:type="dxa"/>
                    <w:right w:w="0" w:type="dxa"/>
                  </w:tcMar>
                  <w:vAlign w:val="center"/>
                </w:tcPr>
                <w:p w14:paraId="2A0AD3E7">
                  <w:pPr>
                    <w:widowControl/>
                    <w:spacing w:line="240" w:lineRule="exact"/>
                    <w:jc w:val="center"/>
                    <w:rPr>
                      <w:rFonts w:hint="default" w:ascii="Times New Roman" w:hAnsi="Times New Roman" w:eastAsia="宋体" w:cs="Times New Roman"/>
                      <w:b/>
                      <w:bCs/>
                      <w:color w:val="auto"/>
                      <w:sz w:val="21"/>
                      <w:szCs w:val="21"/>
                    </w:rPr>
                  </w:pPr>
                </w:p>
              </w:tc>
              <w:tc>
                <w:tcPr>
                  <w:tcW w:w="637" w:type="dxa"/>
                  <w:vMerge w:val="continue"/>
                  <w:noWrap w:val="0"/>
                  <w:tcMar>
                    <w:top w:w="0" w:type="dxa"/>
                    <w:left w:w="0" w:type="dxa"/>
                    <w:bottom w:w="0" w:type="dxa"/>
                    <w:right w:w="0" w:type="dxa"/>
                  </w:tcMar>
                  <w:vAlign w:val="center"/>
                </w:tcPr>
                <w:p w14:paraId="39993D0D">
                  <w:pPr>
                    <w:widowControl/>
                    <w:spacing w:line="240" w:lineRule="exact"/>
                    <w:jc w:val="center"/>
                    <w:rPr>
                      <w:rFonts w:hint="default" w:ascii="Times New Roman" w:hAnsi="Times New Roman" w:eastAsia="宋体" w:cs="Times New Roman"/>
                      <w:b/>
                      <w:bCs/>
                      <w:color w:val="auto"/>
                      <w:sz w:val="21"/>
                      <w:szCs w:val="21"/>
                    </w:rPr>
                  </w:pPr>
                </w:p>
              </w:tc>
              <w:tc>
                <w:tcPr>
                  <w:tcW w:w="502" w:type="dxa"/>
                  <w:vMerge w:val="continue"/>
                  <w:tcBorders>
                    <w:right w:val="single" w:color="auto" w:sz="4" w:space="0"/>
                  </w:tcBorders>
                  <w:noWrap w:val="0"/>
                  <w:tcMar>
                    <w:top w:w="0" w:type="dxa"/>
                    <w:left w:w="0" w:type="dxa"/>
                    <w:bottom w:w="0" w:type="dxa"/>
                    <w:right w:w="0" w:type="dxa"/>
                  </w:tcMar>
                  <w:vAlign w:val="center"/>
                </w:tcPr>
                <w:p w14:paraId="3FC8CE15">
                  <w:pPr>
                    <w:widowControl/>
                    <w:spacing w:line="240" w:lineRule="exact"/>
                    <w:jc w:val="center"/>
                    <w:rPr>
                      <w:rFonts w:hint="default" w:ascii="Times New Roman" w:hAnsi="Times New Roman" w:eastAsia="宋体" w:cs="Times New Roman"/>
                      <w:b/>
                      <w:bCs/>
                      <w:color w:val="auto"/>
                      <w:sz w:val="21"/>
                      <w:szCs w:val="21"/>
                    </w:rPr>
                  </w:pPr>
                </w:p>
              </w:tc>
              <w:tc>
                <w:tcPr>
                  <w:tcW w:w="444" w:type="dxa"/>
                  <w:vMerge w:val="continue"/>
                  <w:tcBorders>
                    <w:left w:val="single" w:color="auto" w:sz="4" w:space="0"/>
                  </w:tcBorders>
                  <w:noWrap w:val="0"/>
                  <w:tcMar>
                    <w:top w:w="0" w:type="dxa"/>
                    <w:left w:w="0" w:type="dxa"/>
                    <w:bottom w:w="0" w:type="dxa"/>
                    <w:right w:w="0" w:type="dxa"/>
                  </w:tcMar>
                  <w:vAlign w:val="center"/>
                </w:tcPr>
                <w:p w14:paraId="6764ACEC">
                  <w:pPr>
                    <w:widowControl/>
                    <w:spacing w:line="240" w:lineRule="exact"/>
                    <w:jc w:val="center"/>
                    <w:rPr>
                      <w:rFonts w:hint="default" w:ascii="Times New Roman" w:hAnsi="Times New Roman" w:eastAsia="宋体" w:cs="Times New Roman"/>
                      <w:b/>
                      <w:bCs/>
                      <w:color w:val="auto"/>
                      <w:sz w:val="21"/>
                      <w:szCs w:val="21"/>
                    </w:rPr>
                  </w:pPr>
                </w:p>
              </w:tc>
            </w:tr>
            <w:tr w14:paraId="2F3C3C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23" w:hRule="atLeast"/>
                <w:jc w:val="center"/>
              </w:trPr>
              <w:tc>
                <w:tcPr>
                  <w:tcW w:w="577" w:type="dxa"/>
                  <w:noWrap w:val="0"/>
                  <w:tcMar>
                    <w:top w:w="0" w:type="dxa"/>
                    <w:left w:w="0" w:type="dxa"/>
                    <w:bottom w:w="0" w:type="dxa"/>
                    <w:right w:w="0" w:type="dxa"/>
                  </w:tcMar>
                  <w:vAlign w:val="center"/>
                </w:tcPr>
                <w:p w14:paraId="04E95AB5">
                  <w:pPr>
                    <w:widowControl/>
                    <w:spacing w:line="240" w:lineRule="exact"/>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O2</w:t>
                  </w:r>
                </w:p>
              </w:tc>
              <w:tc>
                <w:tcPr>
                  <w:tcW w:w="786" w:type="dxa"/>
                  <w:noWrap w:val="0"/>
                  <w:tcMar>
                    <w:top w:w="0" w:type="dxa"/>
                    <w:left w:w="0" w:type="dxa"/>
                    <w:bottom w:w="0" w:type="dxa"/>
                    <w:right w:w="0" w:type="dxa"/>
                  </w:tcMar>
                  <w:vAlign w:val="center"/>
                </w:tcPr>
                <w:p w14:paraId="3A6B5D9A">
                  <w:pPr>
                    <w:widowControl/>
                    <w:spacing w:line="240" w:lineRule="exact"/>
                    <w:jc w:val="center"/>
                    <w:rPr>
                      <w:rFonts w:hint="default" w:ascii="Times New Roman" w:hAnsi="Times New Roman" w:eastAsia="宋体" w:cs="Times New Roman"/>
                      <w:color w:val="auto"/>
                      <w:sz w:val="21"/>
                      <w:szCs w:val="21"/>
                    </w:rPr>
                  </w:pPr>
                  <w:r>
                    <w:rPr>
                      <w:rFonts w:hint="eastAsia"/>
                      <w:color w:val="auto"/>
                    </w:rPr>
                    <w:t>119.622943</w:t>
                  </w:r>
                </w:p>
              </w:tc>
              <w:tc>
                <w:tcPr>
                  <w:tcW w:w="693" w:type="dxa"/>
                  <w:noWrap w:val="0"/>
                  <w:tcMar>
                    <w:top w:w="0" w:type="dxa"/>
                    <w:left w:w="0" w:type="dxa"/>
                    <w:bottom w:w="0" w:type="dxa"/>
                    <w:right w:w="0" w:type="dxa"/>
                  </w:tcMar>
                  <w:vAlign w:val="center"/>
                </w:tcPr>
                <w:p w14:paraId="7780DED7">
                  <w:pPr>
                    <w:widowControl/>
                    <w:spacing w:line="240" w:lineRule="exact"/>
                    <w:jc w:val="center"/>
                    <w:rPr>
                      <w:rFonts w:hint="default" w:ascii="Times New Roman" w:hAnsi="Times New Roman" w:eastAsia="宋体" w:cs="Times New Roman"/>
                      <w:color w:val="auto"/>
                      <w:sz w:val="21"/>
                      <w:szCs w:val="21"/>
                    </w:rPr>
                  </w:pPr>
                  <w:r>
                    <w:rPr>
                      <w:rFonts w:hint="eastAsia"/>
                      <w:color w:val="auto"/>
                    </w:rPr>
                    <w:t>31.753332</w:t>
                  </w:r>
                </w:p>
              </w:tc>
              <w:tc>
                <w:tcPr>
                  <w:tcW w:w="689" w:type="dxa"/>
                  <w:noWrap w:val="0"/>
                  <w:tcMar>
                    <w:top w:w="0" w:type="dxa"/>
                    <w:left w:w="0" w:type="dxa"/>
                    <w:bottom w:w="0" w:type="dxa"/>
                    <w:right w:w="0" w:type="dxa"/>
                  </w:tcMar>
                  <w:vAlign w:val="center"/>
                </w:tcPr>
                <w:p w14:paraId="667F1445">
                  <w:pPr>
                    <w:widowControl/>
                    <w:spacing w:line="240" w:lineRule="exact"/>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非甲烷总烃</w:t>
                  </w:r>
                </w:p>
              </w:tc>
              <w:tc>
                <w:tcPr>
                  <w:tcW w:w="675" w:type="dxa"/>
                  <w:noWrap w:val="0"/>
                  <w:tcMar>
                    <w:top w:w="0" w:type="dxa"/>
                    <w:left w:w="0" w:type="dxa"/>
                    <w:bottom w:w="0" w:type="dxa"/>
                    <w:right w:w="0" w:type="dxa"/>
                  </w:tcMar>
                  <w:vAlign w:val="center"/>
                </w:tcPr>
                <w:p w14:paraId="63762375">
                  <w:pPr>
                    <w:widowControl/>
                    <w:spacing w:line="240" w:lineRule="exact"/>
                    <w:jc w:val="center"/>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sz w:val="21"/>
                      <w:szCs w:val="21"/>
                    </w:rPr>
                    <w:t>20</w:t>
                  </w:r>
                  <w:r>
                    <w:rPr>
                      <w:rFonts w:hint="eastAsia" w:cs="Times New Roman"/>
                      <w:color w:val="auto"/>
                      <w:sz w:val="21"/>
                      <w:szCs w:val="21"/>
                      <w:lang w:val="en-US" w:eastAsia="zh-CN"/>
                    </w:rPr>
                    <w:t>24.11.11</w:t>
                  </w:r>
                  <w:r>
                    <w:rPr>
                      <w:rFonts w:hint="default" w:ascii="Times New Roman" w:hAnsi="Times New Roman" w:eastAsia="宋体" w:cs="Times New Roman"/>
                      <w:color w:val="auto"/>
                      <w:sz w:val="21"/>
                      <w:szCs w:val="21"/>
                    </w:rPr>
                    <w:t>～</w:t>
                  </w:r>
                  <w:r>
                    <w:rPr>
                      <w:rFonts w:hint="eastAsia" w:cs="Times New Roman"/>
                      <w:color w:val="auto"/>
                      <w:sz w:val="21"/>
                      <w:szCs w:val="21"/>
                      <w:lang w:val="en-US" w:eastAsia="zh-CN"/>
                    </w:rPr>
                    <w:t>17</w:t>
                  </w:r>
                </w:p>
              </w:tc>
              <w:tc>
                <w:tcPr>
                  <w:tcW w:w="611" w:type="dxa"/>
                  <w:noWrap w:val="0"/>
                  <w:tcMar>
                    <w:top w:w="0" w:type="dxa"/>
                    <w:left w:w="0" w:type="dxa"/>
                    <w:bottom w:w="0" w:type="dxa"/>
                    <w:right w:w="0" w:type="dxa"/>
                  </w:tcMar>
                  <w:vAlign w:val="center"/>
                </w:tcPr>
                <w:p w14:paraId="2F4FBCF5">
                  <w:pPr>
                    <w:widowControl/>
                    <w:spacing w:line="240" w:lineRule="exac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小时值</w:t>
                  </w:r>
                </w:p>
              </w:tc>
              <w:tc>
                <w:tcPr>
                  <w:tcW w:w="750" w:type="dxa"/>
                  <w:noWrap w:val="0"/>
                  <w:tcMar>
                    <w:top w:w="0" w:type="dxa"/>
                    <w:left w:w="0" w:type="dxa"/>
                    <w:bottom w:w="0" w:type="dxa"/>
                    <w:right w:w="0" w:type="dxa"/>
                  </w:tcMar>
                  <w:vAlign w:val="center"/>
                </w:tcPr>
                <w:p w14:paraId="4357F3F6">
                  <w:pPr>
                    <w:widowControl/>
                    <w:spacing w:line="240" w:lineRule="exact"/>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w:t>
                  </w:r>
                </w:p>
              </w:tc>
              <w:tc>
                <w:tcPr>
                  <w:tcW w:w="1007" w:type="dxa"/>
                  <w:noWrap w:val="0"/>
                  <w:tcMar>
                    <w:top w:w="0" w:type="dxa"/>
                    <w:left w:w="0" w:type="dxa"/>
                    <w:bottom w:w="0" w:type="dxa"/>
                    <w:right w:w="0" w:type="dxa"/>
                  </w:tcMar>
                  <w:vAlign w:val="center"/>
                </w:tcPr>
                <w:p w14:paraId="23432D5A">
                  <w:pPr>
                    <w:widowControl/>
                    <w:spacing w:line="240" w:lineRule="exact"/>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0.11-0.63</w:t>
                  </w:r>
                </w:p>
              </w:tc>
              <w:tc>
                <w:tcPr>
                  <w:tcW w:w="1026" w:type="dxa"/>
                  <w:noWrap w:val="0"/>
                  <w:tcMar>
                    <w:top w:w="0" w:type="dxa"/>
                    <w:left w:w="0" w:type="dxa"/>
                    <w:bottom w:w="0" w:type="dxa"/>
                    <w:right w:w="0" w:type="dxa"/>
                  </w:tcMar>
                  <w:vAlign w:val="center"/>
                </w:tcPr>
                <w:p w14:paraId="273F7FBB">
                  <w:pPr>
                    <w:widowControl/>
                    <w:spacing w:line="240" w:lineRule="exact"/>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31.5</w:t>
                  </w:r>
                </w:p>
              </w:tc>
              <w:tc>
                <w:tcPr>
                  <w:tcW w:w="637" w:type="dxa"/>
                  <w:noWrap w:val="0"/>
                  <w:tcMar>
                    <w:top w:w="0" w:type="dxa"/>
                    <w:left w:w="0" w:type="dxa"/>
                    <w:bottom w:w="0" w:type="dxa"/>
                    <w:right w:w="0" w:type="dxa"/>
                  </w:tcMar>
                  <w:vAlign w:val="center"/>
                </w:tcPr>
                <w:p w14:paraId="610198D2">
                  <w:pPr>
                    <w:widowControl/>
                    <w:spacing w:line="240" w:lineRule="exac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w:t>
                  </w:r>
                </w:p>
              </w:tc>
              <w:tc>
                <w:tcPr>
                  <w:tcW w:w="502" w:type="dxa"/>
                  <w:tcBorders>
                    <w:right w:val="single" w:color="auto" w:sz="4" w:space="0"/>
                  </w:tcBorders>
                  <w:noWrap w:val="0"/>
                  <w:tcMar>
                    <w:top w:w="0" w:type="dxa"/>
                    <w:left w:w="0" w:type="dxa"/>
                    <w:bottom w:w="0" w:type="dxa"/>
                    <w:right w:w="0" w:type="dxa"/>
                  </w:tcMar>
                  <w:vAlign w:val="center"/>
                </w:tcPr>
                <w:p w14:paraId="067FFABA">
                  <w:pPr>
                    <w:widowControl/>
                    <w:spacing w:line="240" w:lineRule="exac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达标</w:t>
                  </w:r>
                </w:p>
              </w:tc>
              <w:tc>
                <w:tcPr>
                  <w:tcW w:w="444" w:type="dxa"/>
                  <w:tcBorders>
                    <w:left w:val="single" w:color="auto" w:sz="4" w:space="0"/>
                  </w:tcBorders>
                  <w:noWrap w:val="0"/>
                  <w:tcMar>
                    <w:top w:w="0" w:type="dxa"/>
                    <w:left w:w="0" w:type="dxa"/>
                    <w:bottom w:w="0" w:type="dxa"/>
                    <w:right w:w="0" w:type="dxa"/>
                  </w:tcMar>
                  <w:vAlign w:val="center"/>
                </w:tcPr>
                <w:p w14:paraId="44A4FE1E">
                  <w:pPr>
                    <w:widowControl/>
                    <w:spacing w:line="240" w:lineRule="exac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引用</w:t>
                  </w:r>
                </w:p>
              </w:tc>
            </w:tr>
            <w:tr w14:paraId="0F9A8B6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23" w:hRule="atLeast"/>
                <w:jc w:val="center"/>
              </w:trPr>
              <w:tc>
                <w:tcPr>
                  <w:tcW w:w="577" w:type="dxa"/>
                  <w:noWrap w:val="0"/>
                  <w:tcMar>
                    <w:top w:w="0" w:type="dxa"/>
                    <w:left w:w="0" w:type="dxa"/>
                    <w:bottom w:w="0" w:type="dxa"/>
                    <w:right w:w="0" w:type="dxa"/>
                  </w:tcMar>
                  <w:vAlign w:val="center"/>
                </w:tcPr>
                <w:p w14:paraId="1EAF9682">
                  <w:pPr>
                    <w:widowControl/>
                    <w:spacing w:line="240" w:lineRule="exact"/>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G1</w:t>
                  </w:r>
                </w:p>
              </w:tc>
              <w:tc>
                <w:tcPr>
                  <w:tcW w:w="786" w:type="dxa"/>
                  <w:noWrap w:val="0"/>
                  <w:tcMar>
                    <w:top w:w="0" w:type="dxa"/>
                    <w:left w:w="0" w:type="dxa"/>
                    <w:bottom w:w="0" w:type="dxa"/>
                    <w:right w:w="0" w:type="dxa"/>
                  </w:tcMar>
                  <w:vAlign w:val="center"/>
                </w:tcPr>
                <w:p w14:paraId="7889079D">
                  <w:pPr>
                    <w:widowControl/>
                    <w:spacing w:line="240" w:lineRule="exact"/>
                    <w:jc w:val="center"/>
                    <w:rPr>
                      <w:rFonts w:hint="eastAsia"/>
                      <w:color w:val="auto"/>
                    </w:rPr>
                  </w:pPr>
                  <w:r>
                    <w:rPr>
                      <w:rFonts w:hint="eastAsia"/>
                      <w:color w:val="auto"/>
                    </w:rPr>
                    <w:t>119.622943</w:t>
                  </w:r>
                </w:p>
              </w:tc>
              <w:tc>
                <w:tcPr>
                  <w:tcW w:w="693" w:type="dxa"/>
                  <w:noWrap w:val="0"/>
                  <w:tcMar>
                    <w:top w:w="0" w:type="dxa"/>
                    <w:left w:w="0" w:type="dxa"/>
                    <w:bottom w:w="0" w:type="dxa"/>
                    <w:right w:w="0" w:type="dxa"/>
                  </w:tcMar>
                  <w:vAlign w:val="center"/>
                </w:tcPr>
                <w:p w14:paraId="33187CD5">
                  <w:pPr>
                    <w:widowControl/>
                    <w:spacing w:line="240" w:lineRule="exact"/>
                    <w:jc w:val="center"/>
                    <w:rPr>
                      <w:rFonts w:hint="eastAsia"/>
                      <w:color w:val="auto"/>
                    </w:rPr>
                  </w:pPr>
                  <w:r>
                    <w:rPr>
                      <w:rFonts w:hint="eastAsia"/>
                      <w:color w:val="auto"/>
                    </w:rPr>
                    <w:t>31.753332</w:t>
                  </w:r>
                </w:p>
              </w:tc>
              <w:tc>
                <w:tcPr>
                  <w:tcW w:w="689" w:type="dxa"/>
                  <w:noWrap w:val="0"/>
                  <w:tcMar>
                    <w:top w:w="0" w:type="dxa"/>
                    <w:left w:w="0" w:type="dxa"/>
                    <w:bottom w:w="0" w:type="dxa"/>
                    <w:right w:w="0" w:type="dxa"/>
                  </w:tcMar>
                  <w:vAlign w:val="center"/>
                </w:tcPr>
                <w:p w14:paraId="0A1438B7">
                  <w:pPr>
                    <w:widowControl/>
                    <w:spacing w:line="240" w:lineRule="exact"/>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TSP</w:t>
                  </w:r>
                </w:p>
              </w:tc>
              <w:tc>
                <w:tcPr>
                  <w:tcW w:w="675" w:type="dxa"/>
                  <w:noWrap w:val="0"/>
                  <w:tcMar>
                    <w:top w:w="0" w:type="dxa"/>
                    <w:left w:w="0" w:type="dxa"/>
                    <w:bottom w:w="0" w:type="dxa"/>
                    <w:right w:w="0" w:type="dxa"/>
                  </w:tcMar>
                  <w:vAlign w:val="center"/>
                </w:tcPr>
                <w:p w14:paraId="04302915">
                  <w:pPr>
                    <w:widowControl/>
                    <w:spacing w:line="240" w:lineRule="exact"/>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2025.10.23~26</w:t>
                  </w:r>
                </w:p>
              </w:tc>
              <w:tc>
                <w:tcPr>
                  <w:tcW w:w="611" w:type="dxa"/>
                  <w:noWrap w:val="0"/>
                  <w:tcMar>
                    <w:top w:w="0" w:type="dxa"/>
                    <w:left w:w="0" w:type="dxa"/>
                    <w:bottom w:w="0" w:type="dxa"/>
                    <w:right w:w="0" w:type="dxa"/>
                  </w:tcMar>
                  <w:vAlign w:val="center"/>
                </w:tcPr>
                <w:p w14:paraId="1C7D3AC7">
                  <w:pPr>
                    <w:widowControl/>
                    <w:spacing w:line="240" w:lineRule="exact"/>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日均值</w:t>
                  </w:r>
                </w:p>
              </w:tc>
              <w:tc>
                <w:tcPr>
                  <w:tcW w:w="750" w:type="dxa"/>
                  <w:noWrap w:val="0"/>
                  <w:tcMar>
                    <w:top w:w="0" w:type="dxa"/>
                    <w:left w:w="0" w:type="dxa"/>
                    <w:bottom w:w="0" w:type="dxa"/>
                    <w:right w:w="0" w:type="dxa"/>
                  </w:tcMar>
                  <w:vAlign w:val="center"/>
                </w:tcPr>
                <w:p w14:paraId="70BFC28B">
                  <w:pPr>
                    <w:widowControl/>
                    <w:spacing w:line="240" w:lineRule="exact"/>
                    <w:jc w:val="center"/>
                    <w:rPr>
                      <w:rFonts w:hint="default" w:cs="Times New Roman"/>
                      <w:color w:val="auto"/>
                      <w:sz w:val="21"/>
                      <w:szCs w:val="21"/>
                      <w:lang w:val="en-US" w:eastAsia="zh-CN"/>
                    </w:rPr>
                  </w:pPr>
                  <w:r>
                    <w:rPr>
                      <w:rFonts w:hint="eastAsia" w:cs="Times New Roman"/>
                      <w:color w:val="auto"/>
                      <w:sz w:val="21"/>
                      <w:szCs w:val="21"/>
                      <w:lang w:val="en-US" w:eastAsia="zh-CN"/>
                    </w:rPr>
                    <w:t>0.3</w:t>
                  </w:r>
                </w:p>
              </w:tc>
              <w:tc>
                <w:tcPr>
                  <w:tcW w:w="1007" w:type="dxa"/>
                  <w:noWrap w:val="0"/>
                  <w:tcMar>
                    <w:top w:w="0" w:type="dxa"/>
                    <w:left w:w="0" w:type="dxa"/>
                    <w:bottom w:w="0" w:type="dxa"/>
                    <w:right w:w="0" w:type="dxa"/>
                  </w:tcMar>
                  <w:vAlign w:val="center"/>
                </w:tcPr>
                <w:p w14:paraId="6B9DAEBC">
                  <w:pPr>
                    <w:widowControl/>
                    <w:spacing w:line="240" w:lineRule="exact"/>
                    <w:jc w:val="center"/>
                    <w:rPr>
                      <w:rFonts w:hint="default" w:cs="Times New Roman"/>
                      <w:color w:val="auto"/>
                      <w:sz w:val="21"/>
                      <w:szCs w:val="21"/>
                      <w:lang w:val="en-US" w:eastAsia="zh-CN"/>
                    </w:rPr>
                  </w:pPr>
                  <w:r>
                    <w:rPr>
                      <w:rFonts w:hint="eastAsia" w:cs="Times New Roman"/>
                      <w:color w:val="auto"/>
                      <w:sz w:val="21"/>
                      <w:szCs w:val="21"/>
                      <w:lang w:val="en-US" w:eastAsia="zh-CN"/>
                    </w:rPr>
                    <w:t>0.105-0.107</w:t>
                  </w:r>
                </w:p>
              </w:tc>
              <w:tc>
                <w:tcPr>
                  <w:tcW w:w="1026" w:type="dxa"/>
                  <w:noWrap w:val="0"/>
                  <w:tcMar>
                    <w:top w:w="0" w:type="dxa"/>
                    <w:left w:w="0" w:type="dxa"/>
                    <w:bottom w:w="0" w:type="dxa"/>
                    <w:right w:w="0" w:type="dxa"/>
                  </w:tcMar>
                  <w:vAlign w:val="center"/>
                </w:tcPr>
                <w:p w14:paraId="754397FA">
                  <w:pPr>
                    <w:widowControl/>
                    <w:spacing w:line="240" w:lineRule="exact"/>
                    <w:jc w:val="center"/>
                    <w:rPr>
                      <w:rFonts w:hint="default" w:cs="Times New Roman"/>
                      <w:color w:val="auto"/>
                      <w:sz w:val="21"/>
                      <w:szCs w:val="21"/>
                      <w:lang w:val="en-US" w:eastAsia="zh-CN"/>
                    </w:rPr>
                  </w:pPr>
                  <w:r>
                    <w:rPr>
                      <w:rFonts w:hint="eastAsia" w:cs="Times New Roman"/>
                      <w:color w:val="auto"/>
                      <w:sz w:val="21"/>
                      <w:szCs w:val="21"/>
                      <w:lang w:val="en-US" w:eastAsia="zh-CN"/>
                    </w:rPr>
                    <w:t>35.7</w:t>
                  </w:r>
                </w:p>
              </w:tc>
              <w:tc>
                <w:tcPr>
                  <w:tcW w:w="637" w:type="dxa"/>
                  <w:shd w:val="clear" w:color="auto" w:fill="auto"/>
                  <w:noWrap w:val="0"/>
                  <w:tcMar>
                    <w:top w:w="0" w:type="dxa"/>
                    <w:left w:w="0" w:type="dxa"/>
                    <w:bottom w:w="0" w:type="dxa"/>
                    <w:right w:w="0" w:type="dxa"/>
                  </w:tcMar>
                  <w:vAlign w:val="center"/>
                </w:tcPr>
                <w:p w14:paraId="34D60010">
                  <w:pPr>
                    <w:widowControl/>
                    <w:spacing w:line="240" w:lineRule="exact"/>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0</w:t>
                  </w:r>
                </w:p>
              </w:tc>
              <w:tc>
                <w:tcPr>
                  <w:tcW w:w="502" w:type="dxa"/>
                  <w:tcBorders>
                    <w:right w:val="single" w:color="auto" w:sz="4" w:space="0"/>
                  </w:tcBorders>
                  <w:shd w:val="clear" w:color="auto" w:fill="auto"/>
                  <w:noWrap w:val="0"/>
                  <w:tcMar>
                    <w:top w:w="0" w:type="dxa"/>
                    <w:left w:w="0" w:type="dxa"/>
                    <w:bottom w:w="0" w:type="dxa"/>
                    <w:right w:w="0" w:type="dxa"/>
                  </w:tcMar>
                  <w:vAlign w:val="center"/>
                </w:tcPr>
                <w:p w14:paraId="46AD4C5E">
                  <w:pPr>
                    <w:widowControl/>
                    <w:spacing w:line="240" w:lineRule="exact"/>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达标</w:t>
                  </w:r>
                </w:p>
              </w:tc>
              <w:tc>
                <w:tcPr>
                  <w:tcW w:w="444" w:type="dxa"/>
                  <w:tcBorders>
                    <w:left w:val="single" w:color="auto" w:sz="4" w:space="0"/>
                  </w:tcBorders>
                  <w:shd w:val="clear" w:color="auto" w:fill="auto"/>
                  <w:noWrap w:val="0"/>
                  <w:tcMar>
                    <w:top w:w="0" w:type="dxa"/>
                    <w:left w:w="0" w:type="dxa"/>
                    <w:bottom w:w="0" w:type="dxa"/>
                    <w:right w:w="0" w:type="dxa"/>
                  </w:tcMar>
                  <w:vAlign w:val="center"/>
                </w:tcPr>
                <w:p w14:paraId="457C0F7E">
                  <w:pPr>
                    <w:widowControl/>
                    <w:spacing w:line="240" w:lineRule="exact"/>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引用</w:t>
                  </w:r>
                </w:p>
              </w:tc>
            </w:tr>
          </w:tbl>
          <w:p w14:paraId="421CABCE">
            <w:pPr>
              <w:keepNext w:val="0"/>
              <w:keepLines w:val="0"/>
              <w:pageBreakBefore w:val="0"/>
              <w:widowControl/>
              <w:kinsoku/>
              <w:wordWrap/>
              <w:overflowPunct/>
              <w:topLinePunct w:val="0"/>
              <w:autoSpaceDE/>
              <w:autoSpaceDN/>
              <w:bidi w:val="0"/>
              <w:adjustRightInd w:val="0"/>
              <w:snapToGrid w:val="0"/>
              <w:spacing w:before="157" w:beforeLines="50" w:line="360" w:lineRule="auto"/>
              <w:ind w:firstLine="422"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引用点位数据可行性分析：</w:t>
            </w:r>
            <w:r>
              <w:rPr>
                <w:rFonts w:hint="default" w:ascii="Times New Roman" w:hAnsi="Times New Roman" w:eastAsia="宋体" w:cs="Times New Roman"/>
                <w:color w:val="auto"/>
                <w:sz w:val="21"/>
                <w:szCs w:val="21"/>
              </w:rPr>
              <w:t>大气补充监测点位</w:t>
            </w:r>
            <w:r>
              <w:rPr>
                <w:rFonts w:hint="eastAsia" w:cs="Times New Roman"/>
                <w:color w:val="auto"/>
                <w:sz w:val="21"/>
                <w:szCs w:val="21"/>
                <w:lang w:val="en-US" w:eastAsia="zh-CN"/>
              </w:rPr>
              <w:t>O2、G1</w:t>
            </w:r>
            <w:r>
              <w:rPr>
                <w:rFonts w:hint="default" w:ascii="Times New Roman" w:hAnsi="Times New Roman" w:eastAsia="宋体" w:cs="Times New Roman"/>
                <w:color w:val="auto"/>
                <w:sz w:val="21"/>
                <w:szCs w:val="21"/>
              </w:rPr>
              <w:t>与本项目直线距离为</w:t>
            </w:r>
            <w:r>
              <w:rPr>
                <w:rFonts w:hint="eastAsia"/>
                <w:color w:val="auto"/>
                <w:szCs w:val="21"/>
                <w:lang w:val="en-US" w:eastAsia="zh-CN"/>
              </w:rPr>
              <w:t>14</w:t>
            </w:r>
            <w:r>
              <w:rPr>
                <w:rFonts w:hint="eastAsia" w:ascii="Times New Roman" w:hAnsi="Times New Roman" w:eastAsia="宋体"/>
                <w:color w:val="auto"/>
                <w:szCs w:val="21"/>
                <w:lang w:val="en-US" w:eastAsia="zh-CN"/>
              </w:rPr>
              <w:t>00</w:t>
            </w:r>
            <w:r>
              <w:rPr>
                <w:rFonts w:hint="default" w:ascii="Times New Roman" w:hAnsi="Times New Roman" w:eastAsia="宋体" w:cs="Times New Roman"/>
                <w:color w:val="auto"/>
                <w:sz w:val="21"/>
                <w:szCs w:val="21"/>
              </w:rPr>
              <w:t>m（位于本项目</w:t>
            </w:r>
            <w:r>
              <w:rPr>
                <w:rFonts w:hint="eastAsia"/>
                <w:color w:val="auto"/>
                <w:szCs w:val="21"/>
                <w:lang w:val="en-US" w:eastAsia="zh-CN"/>
              </w:rPr>
              <w:t>西北</w:t>
            </w:r>
            <w:r>
              <w:rPr>
                <w:rFonts w:hint="default" w:ascii="Times New Roman" w:hAnsi="Times New Roman" w:eastAsia="宋体" w:cs="Times New Roman"/>
                <w:color w:val="auto"/>
                <w:sz w:val="21"/>
                <w:szCs w:val="21"/>
              </w:rPr>
              <w:t>方向），特征因子</w:t>
            </w:r>
            <w:r>
              <w:rPr>
                <w:rFonts w:hint="default" w:ascii="Times New Roman" w:hAnsi="Times New Roman" w:eastAsia="宋体" w:cs="Times New Roman"/>
                <w:color w:val="auto"/>
                <w:sz w:val="21"/>
                <w:szCs w:val="21"/>
                <w:lang w:val="en-US" w:eastAsia="zh-CN"/>
              </w:rPr>
              <w:t>非甲烷总烃</w:t>
            </w:r>
            <w:r>
              <w:rPr>
                <w:rFonts w:hint="default" w:ascii="Times New Roman" w:hAnsi="Times New Roman" w:eastAsia="宋体" w:cs="Times New Roman"/>
                <w:color w:val="auto"/>
                <w:sz w:val="21"/>
                <w:szCs w:val="21"/>
              </w:rPr>
              <w:t>的引用数据时间为202</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年</w:t>
            </w:r>
            <w:r>
              <w:rPr>
                <w:rFonts w:hint="eastAsia" w:cs="Times New Roman"/>
                <w:color w:val="auto"/>
                <w:sz w:val="21"/>
                <w:szCs w:val="21"/>
                <w:lang w:val="en-US" w:eastAsia="zh-CN"/>
              </w:rPr>
              <w:t>11</w:t>
            </w:r>
            <w:r>
              <w:rPr>
                <w:rFonts w:hint="default" w:ascii="Times New Roman" w:hAnsi="Times New Roman" w:eastAsia="宋体" w:cs="Times New Roman"/>
                <w:color w:val="auto"/>
                <w:sz w:val="21"/>
                <w:szCs w:val="21"/>
              </w:rPr>
              <w:t>月</w:t>
            </w:r>
            <w:r>
              <w:rPr>
                <w:rFonts w:hint="eastAsia" w:cs="Times New Roman"/>
                <w:color w:val="auto"/>
                <w:sz w:val="21"/>
                <w:szCs w:val="21"/>
                <w:lang w:eastAsia="zh-CN"/>
              </w:rPr>
              <w:t>、</w:t>
            </w:r>
            <w:r>
              <w:rPr>
                <w:rFonts w:hint="eastAsia" w:cs="Times New Roman"/>
                <w:color w:val="auto"/>
                <w:sz w:val="21"/>
                <w:szCs w:val="21"/>
                <w:lang w:val="en-US" w:eastAsia="zh-CN"/>
              </w:rPr>
              <w:t>TSP的引用数据时间为2025年10月</w:t>
            </w:r>
            <w:r>
              <w:rPr>
                <w:rFonts w:hint="default" w:ascii="Times New Roman" w:hAnsi="Times New Roman" w:eastAsia="宋体" w:cs="Times New Roman"/>
                <w:color w:val="auto"/>
                <w:sz w:val="21"/>
                <w:szCs w:val="21"/>
              </w:rPr>
              <w:t>，根据《建设项目环境影响报告表编制技术指南（污染影响类）》，“排放国家、地方环境空气质量标准中有标准限值要求的特征污染物时，引用建设项目周边5千米范围内近3年的现有监测数据”，因此，本项目引用的非甲烷总烃</w:t>
            </w:r>
            <w:r>
              <w:rPr>
                <w:rFonts w:hint="eastAsia" w:cs="Times New Roman"/>
                <w:color w:val="auto"/>
                <w:sz w:val="21"/>
                <w:szCs w:val="21"/>
                <w:lang w:eastAsia="zh-CN"/>
              </w:rPr>
              <w:t>、</w:t>
            </w:r>
            <w:r>
              <w:rPr>
                <w:rFonts w:hint="eastAsia" w:cs="Times New Roman"/>
                <w:color w:val="auto"/>
                <w:sz w:val="21"/>
                <w:szCs w:val="21"/>
                <w:lang w:val="en-US" w:eastAsia="zh-CN"/>
              </w:rPr>
              <w:t>TSP</w:t>
            </w:r>
            <w:r>
              <w:rPr>
                <w:rFonts w:hint="default" w:ascii="Times New Roman" w:hAnsi="Times New Roman" w:eastAsia="宋体" w:cs="Times New Roman"/>
                <w:color w:val="auto"/>
                <w:sz w:val="21"/>
                <w:szCs w:val="21"/>
              </w:rPr>
              <w:t>历史监测数据可行。</w:t>
            </w:r>
          </w:p>
          <w:p w14:paraId="6087D978">
            <w:pPr>
              <w:keepNext w:val="0"/>
              <w:keepLines w:val="0"/>
              <w:pageBreakBefore w:val="0"/>
              <w:widowControl/>
              <w:kinsoku/>
              <w:wordWrap/>
              <w:overflowPunct/>
              <w:topLinePunct w:val="0"/>
              <w:bidi w:val="0"/>
              <w:adjustRightInd w:val="0"/>
              <w:snapToGrid w:val="0"/>
              <w:spacing w:line="360" w:lineRule="auto"/>
              <w:ind w:firstLine="420" w:firstLineChars="200"/>
              <w:jc w:val="both"/>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 w:val="21"/>
                <w:szCs w:val="21"/>
              </w:rPr>
              <w:t>从上表数据可以得出，项目所在区域环境空气</w:t>
            </w:r>
            <w:r>
              <w:rPr>
                <w:rFonts w:hint="default" w:ascii="Times New Roman" w:hAnsi="Times New Roman" w:eastAsia="宋体" w:cs="Times New Roman"/>
                <w:color w:val="auto"/>
                <w:sz w:val="21"/>
                <w:szCs w:val="21"/>
                <w:lang w:val="en-US" w:eastAsia="zh-CN"/>
              </w:rPr>
              <w:t>中非甲烷总烃</w:t>
            </w:r>
            <w:r>
              <w:rPr>
                <w:rFonts w:hint="default" w:ascii="Times New Roman" w:hAnsi="Times New Roman" w:eastAsia="宋体" w:cs="Times New Roman"/>
                <w:color w:val="auto"/>
                <w:sz w:val="21"/>
                <w:szCs w:val="21"/>
              </w:rPr>
              <w:t>检测浓度符合《大气污染物综合排放标准详解》标准</w:t>
            </w:r>
            <w:r>
              <w:rPr>
                <w:rFonts w:hint="eastAsia" w:cs="Times New Roman"/>
                <w:color w:val="auto"/>
                <w:sz w:val="21"/>
                <w:szCs w:val="21"/>
                <w:lang w:eastAsia="zh-CN"/>
              </w:rPr>
              <w:t>，</w:t>
            </w:r>
            <w:r>
              <w:rPr>
                <w:rFonts w:hint="eastAsia" w:cs="Times New Roman"/>
                <w:color w:val="auto"/>
                <w:sz w:val="21"/>
                <w:szCs w:val="21"/>
                <w:lang w:val="en-US" w:eastAsia="zh-CN"/>
              </w:rPr>
              <w:t>TSP检测浓度符合《环境空气质量标准》限值</w:t>
            </w:r>
            <w:r>
              <w:rPr>
                <w:rFonts w:hint="eastAsia" w:ascii="Times New Roman" w:hAnsi="Times New Roman" w:eastAsia="宋体" w:cs="Times New Roman"/>
                <w:color w:val="auto"/>
                <w:sz w:val="21"/>
                <w:szCs w:val="21"/>
                <w:lang w:eastAsia="zh-CN"/>
              </w:rPr>
              <w:t>。</w:t>
            </w:r>
          </w:p>
          <w:p w14:paraId="0D82E8CA">
            <w:pPr>
              <w:keepNext w:val="0"/>
              <w:keepLines w:val="0"/>
              <w:pageBreakBefore w:val="0"/>
              <w:widowControl/>
              <w:kinsoku/>
              <w:wordWrap/>
              <w:overflowPunct/>
              <w:topLinePunct w:val="0"/>
              <w:bidi w:val="0"/>
              <w:adjustRightInd w:val="0"/>
              <w:snapToGrid w:val="0"/>
              <w:spacing w:line="360" w:lineRule="auto"/>
              <w:ind w:firstLine="420" w:firstLineChars="200"/>
              <w:jc w:val="both"/>
              <w:textAlignment w:val="auto"/>
              <w:rPr>
                <w:rFonts w:ascii="Times New Roman" w:hAnsi="Times New Roman" w:eastAsia="宋体" w:cs="Times New Roman"/>
                <w:color w:val="auto"/>
                <w:szCs w:val="21"/>
              </w:rPr>
            </w:pPr>
            <w:r>
              <w:rPr>
                <w:rFonts w:hint="eastAsia" w:ascii="Times New Roman" w:hAnsi="Times New Roman" w:eastAsia="宋体" w:cs="Times New Roman"/>
                <w:color w:val="auto"/>
                <w:szCs w:val="21"/>
                <w:lang w:val="en-US" w:eastAsia="zh-CN"/>
              </w:rPr>
              <w:t>3</w:t>
            </w:r>
            <w:r>
              <w:rPr>
                <w:rFonts w:hint="eastAsia" w:ascii="Times New Roman" w:hAnsi="Times New Roman" w:eastAsia="宋体" w:cs="Times New Roman"/>
                <w:color w:val="auto"/>
                <w:szCs w:val="21"/>
              </w:rPr>
              <w:t>、</w:t>
            </w:r>
            <w:r>
              <w:rPr>
                <w:rFonts w:ascii="Times New Roman" w:hAnsi="Times New Roman" w:eastAsia="宋体" w:cs="Times New Roman"/>
                <w:color w:val="auto"/>
                <w:szCs w:val="21"/>
              </w:rPr>
              <w:t>大气环境质量改善方案</w:t>
            </w:r>
          </w:p>
          <w:p w14:paraId="7B3CF2CC">
            <w:pPr>
              <w:adjustRightInd w:val="0"/>
              <w:snapToGrid w:val="0"/>
              <w:spacing w:line="360" w:lineRule="auto"/>
              <w:ind w:firstLine="420" w:firstLineChars="200"/>
              <w:rPr>
                <w:bCs/>
                <w:color w:val="auto"/>
                <w:szCs w:val="21"/>
              </w:rPr>
            </w:pPr>
            <w:r>
              <w:rPr>
                <w:bCs/>
                <w:color w:val="auto"/>
                <w:szCs w:val="21"/>
              </w:rPr>
              <w:t>常州市目前尚未制定大气环境质量限期达标规划，为深入打好蓝天保卫战，持续改善全市环境空气质量，依据《中共江苏省委江苏省人民政府关于深入打好污染防治攻坚战的实施意见》《关于打造长三角生态中轴建设人与自然和谐共生的现代化常州的实施意见》《常州市生态文明建设十大专项行动方案》以及省下达的《</w:t>
            </w:r>
            <w:r>
              <w:rPr>
                <w:rFonts w:hint="eastAsia"/>
                <w:bCs/>
                <w:color w:val="auto"/>
                <w:szCs w:val="21"/>
              </w:rPr>
              <w:t>常州市2024年深入打好污染防治攻坚战目标任务书</w:t>
            </w:r>
            <w:r>
              <w:rPr>
                <w:bCs/>
                <w:color w:val="auto"/>
                <w:szCs w:val="21"/>
              </w:rPr>
              <w:t>》等文件，常州市制定了《</w:t>
            </w:r>
            <w:r>
              <w:rPr>
                <w:rFonts w:hint="eastAsia"/>
                <w:color w:val="auto"/>
              </w:rPr>
              <w:t>常州市空气质量持续改善行动计划实施方案</w:t>
            </w:r>
            <w:r>
              <w:rPr>
                <w:bCs/>
                <w:color w:val="auto"/>
                <w:szCs w:val="21"/>
              </w:rPr>
              <w:t>》</w:t>
            </w:r>
            <w:r>
              <w:rPr>
                <w:rFonts w:hint="eastAsia"/>
                <w:bCs/>
                <w:color w:val="auto"/>
                <w:szCs w:val="21"/>
                <w:lang w:eastAsia="zh-CN"/>
              </w:rPr>
              <w:t>，</w:t>
            </w:r>
            <w:r>
              <w:rPr>
                <w:rFonts w:hint="eastAsia"/>
                <w:bCs/>
                <w:color w:val="auto"/>
                <w:szCs w:val="21"/>
              </w:rPr>
              <w:t>目标指标根据国家、省下达的指标要求，到2025年，全市PM</w:t>
            </w:r>
            <w:r>
              <w:rPr>
                <w:rFonts w:hint="eastAsia"/>
                <w:bCs/>
                <w:color w:val="auto"/>
                <w:szCs w:val="21"/>
                <w:vertAlign w:val="subscript"/>
                <w:lang w:val="en-US" w:eastAsia="zh-CN"/>
              </w:rPr>
              <w:t>2.5</w:t>
            </w:r>
            <w:r>
              <w:rPr>
                <w:rFonts w:hint="eastAsia"/>
                <w:bCs/>
                <w:color w:val="auto"/>
                <w:szCs w:val="21"/>
              </w:rPr>
              <w:t>浓度总体达标，PM</w:t>
            </w:r>
            <w:r>
              <w:rPr>
                <w:rFonts w:hint="eastAsia"/>
                <w:bCs/>
                <w:color w:val="auto"/>
                <w:szCs w:val="21"/>
                <w:vertAlign w:val="subscript"/>
                <w:lang w:val="en-US" w:eastAsia="zh-CN"/>
              </w:rPr>
              <w:t>2.5</w:t>
            </w:r>
            <w:r>
              <w:rPr>
                <w:rFonts w:hint="eastAsia"/>
                <w:bCs/>
                <w:color w:val="auto"/>
                <w:szCs w:val="21"/>
              </w:rPr>
              <w:t>浓度比2020年下降10%，基本消除重度及以上污染天气，空气质量持续改善</w:t>
            </w:r>
            <w:r>
              <w:rPr>
                <w:rFonts w:hint="eastAsia"/>
                <w:bCs/>
                <w:color w:val="auto"/>
                <w:szCs w:val="21"/>
                <w:lang w:eastAsia="zh-CN"/>
              </w:rPr>
              <w:t>；</w:t>
            </w:r>
            <w:r>
              <w:rPr>
                <w:rFonts w:hint="eastAsia"/>
                <w:bCs/>
                <w:color w:val="auto"/>
                <w:szCs w:val="21"/>
              </w:rPr>
              <w:t>氮氧化物和VOCs排放总量比2020年分别下降10%以上，完成省下达的减排目标</w:t>
            </w:r>
            <w:r>
              <w:rPr>
                <w:bCs/>
                <w:color w:val="auto"/>
                <w:szCs w:val="21"/>
              </w:rPr>
              <w:t>。</w:t>
            </w:r>
          </w:p>
          <w:p w14:paraId="4A7D7F68">
            <w:pPr>
              <w:adjustRightInd w:val="0"/>
              <w:snapToGrid w:val="0"/>
              <w:spacing w:line="360" w:lineRule="auto"/>
              <w:ind w:firstLine="420" w:firstLineChars="200"/>
              <w:rPr>
                <w:bCs/>
                <w:color w:val="auto"/>
                <w:szCs w:val="21"/>
              </w:rPr>
            </w:pPr>
            <w:r>
              <w:rPr>
                <w:bCs/>
                <w:color w:val="auto"/>
                <w:szCs w:val="21"/>
              </w:rPr>
              <w:t>重点任务如下：</w:t>
            </w:r>
          </w:p>
          <w:p w14:paraId="4BC37B6A">
            <w:pPr>
              <w:adjustRightInd w:val="0"/>
              <w:snapToGrid w:val="0"/>
              <w:spacing w:line="360" w:lineRule="auto"/>
              <w:ind w:firstLine="420" w:firstLineChars="200"/>
              <w:rPr>
                <w:bCs/>
                <w:color w:val="auto"/>
                <w:szCs w:val="21"/>
              </w:rPr>
            </w:pPr>
            <w:r>
              <w:rPr>
                <w:bCs/>
                <w:color w:val="auto"/>
                <w:szCs w:val="21"/>
              </w:rPr>
              <w:t>①</w:t>
            </w:r>
            <w:r>
              <w:rPr>
                <w:rFonts w:hint="eastAsia"/>
                <w:bCs/>
                <w:color w:val="auto"/>
                <w:szCs w:val="21"/>
              </w:rPr>
              <w:t>调整优化产业结构推进产业绿色低碳发展</w:t>
            </w:r>
          </w:p>
          <w:p w14:paraId="3D8D2D61">
            <w:pPr>
              <w:adjustRightInd w:val="0"/>
              <w:snapToGrid w:val="0"/>
              <w:spacing w:line="360" w:lineRule="auto"/>
              <w:ind w:firstLine="420" w:firstLineChars="200"/>
              <w:rPr>
                <w:bCs/>
                <w:color w:val="auto"/>
                <w:szCs w:val="21"/>
              </w:rPr>
            </w:pPr>
            <w:r>
              <w:rPr>
                <w:rFonts w:hint="eastAsia"/>
                <w:bCs/>
                <w:color w:val="auto"/>
                <w:szCs w:val="21"/>
              </w:rPr>
              <w:t>坚决遏制“两高”项目盲目发展，加快退出重点行业落后产能，推进产业集群、园区绿色转型升级，优化含VOCs原辅材料和产品结构</w:t>
            </w:r>
            <w:r>
              <w:rPr>
                <w:bCs/>
                <w:color w:val="auto"/>
                <w:szCs w:val="21"/>
              </w:rPr>
              <w:t>。</w:t>
            </w:r>
          </w:p>
          <w:p w14:paraId="6436F036">
            <w:pPr>
              <w:adjustRightInd w:val="0"/>
              <w:snapToGrid w:val="0"/>
              <w:spacing w:line="360" w:lineRule="auto"/>
              <w:ind w:firstLine="420" w:firstLineChars="200"/>
              <w:rPr>
                <w:bCs/>
                <w:color w:val="auto"/>
                <w:szCs w:val="21"/>
              </w:rPr>
            </w:pPr>
            <w:r>
              <w:rPr>
                <w:bCs/>
                <w:color w:val="auto"/>
                <w:szCs w:val="21"/>
              </w:rPr>
              <w:t>②</w:t>
            </w:r>
            <w:r>
              <w:rPr>
                <w:rFonts w:hint="eastAsia"/>
                <w:bCs/>
                <w:color w:val="auto"/>
                <w:szCs w:val="21"/>
              </w:rPr>
              <w:t>推进能源高效利用加快能源清洁低碳转型</w:t>
            </w:r>
          </w:p>
          <w:p w14:paraId="406C6367">
            <w:pPr>
              <w:adjustRightInd w:val="0"/>
              <w:snapToGrid w:val="0"/>
              <w:spacing w:line="360" w:lineRule="auto"/>
              <w:ind w:firstLine="420" w:firstLineChars="200"/>
              <w:rPr>
                <w:bCs/>
                <w:color w:val="auto"/>
                <w:szCs w:val="21"/>
              </w:rPr>
            </w:pPr>
            <w:r>
              <w:rPr>
                <w:rFonts w:hint="eastAsia"/>
                <w:bCs/>
                <w:color w:val="auto"/>
                <w:szCs w:val="21"/>
              </w:rPr>
              <w:t>大力发展新能源和清洁能源，严格合理控制煤炭消费总量，推进燃煤锅炉关停整合和工业炉窑清洁能源替代，推进近零碳园区和近零碳工厂试点建设</w:t>
            </w:r>
            <w:r>
              <w:rPr>
                <w:bCs/>
                <w:color w:val="auto"/>
                <w:szCs w:val="21"/>
              </w:rPr>
              <w:t>。</w:t>
            </w:r>
          </w:p>
          <w:p w14:paraId="52482C5A">
            <w:pPr>
              <w:adjustRightInd w:val="0"/>
              <w:snapToGrid w:val="0"/>
              <w:spacing w:line="360" w:lineRule="auto"/>
              <w:ind w:firstLine="420" w:firstLineChars="200"/>
              <w:rPr>
                <w:bCs/>
                <w:color w:val="auto"/>
                <w:szCs w:val="21"/>
              </w:rPr>
            </w:pPr>
            <w:r>
              <w:rPr>
                <w:bCs/>
                <w:color w:val="auto"/>
                <w:szCs w:val="21"/>
              </w:rPr>
              <w:t>③</w:t>
            </w:r>
            <w:r>
              <w:rPr>
                <w:rFonts w:hint="eastAsia"/>
                <w:bCs/>
                <w:color w:val="auto"/>
                <w:szCs w:val="21"/>
              </w:rPr>
              <w:t>优化调整交通结构大力发展绿色运输体系</w:t>
            </w:r>
          </w:p>
          <w:p w14:paraId="69BBB23D">
            <w:pPr>
              <w:adjustRightInd w:val="0"/>
              <w:snapToGrid w:val="0"/>
              <w:spacing w:line="360" w:lineRule="auto"/>
              <w:ind w:firstLine="420" w:firstLineChars="200"/>
              <w:rPr>
                <w:bCs/>
                <w:color w:val="auto"/>
                <w:szCs w:val="21"/>
              </w:rPr>
            </w:pPr>
            <w:r>
              <w:rPr>
                <w:rFonts w:hint="eastAsia"/>
                <w:bCs/>
                <w:color w:val="auto"/>
                <w:szCs w:val="21"/>
              </w:rPr>
              <w:t>持续优化货物运输结构，实施绿色车轮计划，强化非道路移动源综合治理</w:t>
            </w:r>
            <w:r>
              <w:rPr>
                <w:bCs/>
                <w:color w:val="auto"/>
                <w:szCs w:val="21"/>
              </w:rPr>
              <w:t>。</w:t>
            </w:r>
          </w:p>
          <w:p w14:paraId="12238FB2">
            <w:pPr>
              <w:adjustRightInd w:val="0"/>
              <w:snapToGrid w:val="0"/>
              <w:spacing w:line="360" w:lineRule="auto"/>
              <w:ind w:firstLine="420" w:firstLineChars="200"/>
              <w:rPr>
                <w:bCs/>
                <w:color w:val="auto"/>
                <w:szCs w:val="21"/>
              </w:rPr>
            </w:pPr>
            <w:r>
              <w:rPr>
                <w:bCs/>
                <w:color w:val="auto"/>
                <w:szCs w:val="21"/>
              </w:rPr>
              <w:t>④</w:t>
            </w:r>
            <w:r>
              <w:rPr>
                <w:rFonts w:hint="eastAsia"/>
                <w:bCs/>
                <w:color w:val="auto"/>
                <w:szCs w:val="21"/>
              </w:rPr>
              <w:t>加强面源污染治理提高精细化管理水平</w:t>
            </w:r>
          </w:p>
          <w:p w14:paraId="3FB8EC3D">
            <w:pPr>
              <w:adjustRightInd w:val="0"/>
              <w:snapToGrid w:val="0"/>
              <w:spacing w:line="360" w:lineRule="auto"/>
              <w:ind w:firstLine="420" w:firstLineChars="200"/>
              <w:rPr>
                <w:bCs/>
                <w:color w:val="auto"/>
                <w:szCs w:val="21"/>
              </w:rPr>
            </w:pPr>
            <w:r>
              <w:rPr>
                <w:rFonts w:hint="eastAsia"/>
                <w:bCs/>
                <w:color w:val="auto"/>
                <w:szCs w:val="21"/>
              </w:rPr>
              <w:t>实施扬尘精细化治理，推进矿山生态环境综合整治，加强秸秆禁烧和综合利用</w:t>
            </w:r>
            <w:r>
              <w:rPr>
                <w:bCs/>
                <w:color w:val="auto"/>
                <w:szCs w:val="21"/>
              </w:rPr>
              <w:t>。</w:t>
            </w:r>
          </w:p>
          <w:p w14:paraId="454AB443">
            <w:pPr>
              <w:adjustRightInd w:val="0"/>
              <w:snapToGrid w:val="0"/>
              <w:spacing w:line="360" w:lineRule="auto"/>
              <w:ind w:firstLine="420" w:firstLineChars="200"/>
              <w:rPr>
                <w:bCs/>
                <w:color w:val="auto"/>
                <w:szCs w:val="21"/>
              </w:rPr>
            </w:pPr>
            <w:r>
              <w:rPr>
                <w:bCs/>
                <w:color w:val="auto"/>
                <w:szCs w:val="21"/>
              </w:rPr>
              <w:t>⑤</w:t>
            </w:r>
            <w:r>
              <w:rPr>
                <w:rFonts w:hint="eastAsia"/>
                <w:bCs/>
                <w:color w:val="auto"/>
                <w:szCs w:val="21"/>
              </w:rPr>
              <w:t>强化协同减排切实降低污染物排放强度</w:t>
            </w:r>
          </w:p>
          <w:p w14:paraId="6B25AA4C">
            <w:pPr>
              <w:adjustRightInd w:val="0"/>
              <w:snapToGrid w:val="0"/>
              <w:spacing w:line="360" w:lineRule="auto"/>
              <w:ind w:firstLine="420" w:firstLineChars="200"/>
              <w:rPr>
                <w:bCs/>
                <w:color w:val="auto"/>
                <w:szCs w:val="21"/>
              </w:rPr>
            </w:pPr>
            <w:r>
              <w:rPr>
                <w:rFonts w:hint="eastAsia"/>
                <w:bCs/>
                <w:color w:val="auto"/>
                <w:szCs w:val="21"/>
              </w:rPr>
              <w:t>强化VOCs全流程、全环节综合治理推进重点行业超低排放与深度治理，推进餐饮油烟、恶臭异味专项整治，推动大气氨污染防控。</w:t>
            </w:r>
          </w:p>
          <w:p w14:paraId="6ECCD451">
            <w:pPr>
              <w:adjustRightInd w:val="0"/>
              <w:snapToGrid w:val="0"/>
              <w:spacing w:line="360" w:lineRule="auto"/>
              <w:ind w:firstLine="420" w:firstLineChars="200"/>
              <w:rPr>
                <w:rFonts w:hint="eastAsia" w:eastAsia="宋体"/>
                <w:bCs/>
                <w:color w:val="auto"/>
                <w:szCs w:val="21"/>
                <w:lang w:val="en-US" w:eastAsia="zh-CN"/>
              </w:rPr>
            </w:pPr>
            <w:r>
              <w:rPr>
                <w:rFonts w:hint="eastAsia"/>
                <w:bCs/>
                <w:color w:val="auto"/>
                <w:szCs w:val="21"/>
                <w:lang w:val="en-US" w:eastAsia="zh-CN"/>
              </w:rPr>
              <w:t>⑥完善工作机制健全大气环境管理体系</w:t>
            </w:r>
          </w:p>
          <w:p w14:paraId="512338A2">
            <w:pPr>
              <w:adjustRightInd w:val="0"/>
              <w:snapToGrid w:val="0"/>
              <w:spacing w:line="360" w:lineRule="auto"/>
              <w:ind w:firstLine="420" w:firstLineChars="200"/>
              <w:rPr>
                <w:bCs/>
                <w:color w:val="auto"/>
                <w:szCs w:val="21"/>
              </w:rPr>
            </w:pPr>
            <w:r>
              <w:rPr>
                <w:rFonts w:hint="eastAsia"/>
                <w:bCs/>
                <w:color w:val="auto"/>
                <w:szCs w:val="21"/>
              </w:rPr>
              <w:t>开展区域联防联控和城市空气质量达标管理，提升重污染天气应对能力。</w:t>
            </w:r>
          </w:p>
          <w:p w14:paraId="1A380138">
            <w:pPr>
              <w:adjustRightInd w:val="0"/>
              <w:snapToGrid w:val="0"/>
              <w:spacing w:line="360" w:lineRule="auto"/>
              <w:ind w:firstLine="420" w:firstLineChars="200"/>
              <w:rPr>
                <w:rFonts w:hint="eastAsia" w:ascii="Times New Roman" w:hAnsi="Times New Roman" w:eastAsia="宋体" w:cs="Times New Roman"/>
                <w:bCs/>
                <w:color w:val="auto"/>
                <w:szCs w:val="21"/>
                <w:lang w:val="en-US" w:eastAsia="zh-CN"/>
              </w:rPr>
            </w:pPr>
            <w:r>
              <w:rPr>
                <w:rFonts w:hint="eastAsia"/>
                <w:bCs/>
                <w:color w:val="auto"/>
                <w:szCs w:val="21"/>
                <w:lang w:val="en-US" w:eastAsia="zh-CN"/>
              </w:rPr>
              <w:t>⑦加</w:t>
            </w:r>
            <w:r>
              <w:rPr>
                <w:rFonts w:hint="eastAsia" w:ascii="Times New Roman" w:hAnsi="Times New Roman" w:eastAsia="宋体" w:cs="Times New Roman"/>
                <w:bCs/>
                <w:color w:val="auto"/>
                <w:szCs w:val="21"/>
                <w:lang w:val="en-US" w:eastAsia="zh-CN"/>
              </w:rPr>
              <w:t>强能力建设提升生态环境治理体系和治理能力现代化水平</w:t>
            </w:r>
          </w:p>
          <w:p w14:paraId="3B345A87">
            <w:pPr>
              <w:adjustRightInd w:val="0"/>
              <w:snapToGrid w:val="0"/>
              <w:spacing w:line="360" w:lineRule="auto"/>
              <w:ind w:firstLine="420" w:firstLineChars="200"/>
              <w:rPr>
                <w:rFonts w:hint="eastAsia" w:ascii="Times New Roman" w:hAnsi="Times New Roman" w:eastAsia="宋体" w:cs="Times New Roman"/>
                <w:bCs/>
                <w:color w:val="auto"/>
                <w:szCs w:val="21"/>
              </w:rPr>
            </w:pPr>
            <w:r>
              <w:rPr>
                <w:rFonts w:hint="eastAsia" w:ascii="Times New Roman" w:hAnsi="Times New Roman" w:eastAsia="宋体" w:cs="Times New Roman"/>
                <w:bCs/>
                <w:color w:val="auto"/>
                <w:szCs w:val="21"/>
              </w:rPr>
              <w:t>强化大气监测和执法监管，实施多部门联合执法，加强决策科技支撑，加大技术攻关支持力度。</w:t>
            </w:r>
          </w:p>
          <w:p w14:paraId="0927B5F2">
            <w:pPr>
              <w:adjustRightInd w:val="0"/>
              <w:snapToGrid w:val="0"/>
              <w:spacing w:line="360" w:lineRule="auto"/>
              <w:ind w:firstLine="420" w:firstLineChars="200"/>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⑧健全标准规范体系完善生态环境经济政策</w:t>
            </w:r>
          </w:p>
          <w:p w14:paraId="26FB5483">
            <w:pPr>
              <w:adjustRightInd w:val="0"/>
              <w:snapToGrid w:val="0"/>
              <w:spacing w:line="360" w:lineRule="auto"/>
              <w:ind w:firstLine="420" w:firstLineChars="200"/>
              <w:rPr>
                <w:rFonts w:hint="eastAsia" w:ascii="Times New Roman" w:hAnsi="Times New Roman" w:eastAsia="宋体" w:cs="Times New Roman"/>
                <w:bCs/>
                <w:color w:val="auto"/>
                <w:szCs w:val="21"/>
                <w:lang w:eastAsia="zh-CN"/>
              </w:rPr>
            </w:pPr>
            <w:r>
              <w:rPr>
                <w:rFonts w:hint="eastAsia" w:ascii="Times New Roman" w:hAnsi="Times New Roman" w:eastAsia="宋体" w:cs="Times New Roman"/>
                <w:bCs/>
                <w:color w:val="auto"/>
                <w:szCs w:val="21"/>
              </w:rPr>
              <w:t>强化标准引领，完善生态环境资金投入机制，积极发挥财政金融引导作用</w:t>
            </w:r>
            <w:r>
              <w:rPr>
                <w:rFonts w:hint="eastAsia" w:ascii="Times New Roman" w:hAnsi="Times New Roman" w:eastAsia="宋体" w:cs="Times New Roman"/>
                <w:bCs/>
                <w:color w:val="auto"/>
                <w:szCs w:val="21"/>
                <w:lang w:eastAsia="zh-CN"/>
              </w:rPr>
              <w:t>。</w:t>
            </w:r>
          </w:p>
          <w:p w14:paraId="4E92CFA5">
            <w:pPr>
              <w:adjustRightInd w:val="0"/>
              <w:snapToGrid w:val="0"/>
              <w:spacing w:line="360" w:lineRule="auto"/>
              <w:ind w:firstLine="420" w:firstLineChars="200"/>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⑨落实各方责任构建全民行动格局</w:t>
            </w:r>
          </w:p>
          <w:p w14:paraId="3EBA21F0">
            <w:pPr>
              <w:adjustRightInd w:val="0"/>
              <w:snapToGrid w:val="0"/>
              <w:spacing w:line="360" w:lineRule="auto"/>
              <w:ind w:firstLine="420" w:firstLineChars="200"/>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加强组织领导，严格监督考核，落实各方责任，推进全民行动，构建全社会共同参与的环境治理体系。</w:t>
            </w:r>
          </w:p>
          <w:p w14:paraId="59B9A505">
            <w:pPr>
              <w:keepNext w:val="0"/>
              <w:keepLines w:val="0"/>
              <w:pageBreakBefore w:val="0"/>
              <w:kinsoku/>
              <w:wordWrap/>
              <w:overflowPunct/>
              <w:topLinePunct w:val="0"/>
              <w:bidi w:val="0"/>
              <w:adjustRightInd w:val="0"/>
              <w:snapToGrid w:val="0"/>
              <w:spacing w:line="360" w:lineRule="auto"/>
              <w:ind w:firstLine="420" w:firstLineChars="200"/>
              <w:jc w:val="both"/>
              <w:textAlignment w:val="auto"/>
              <w:rPr>
                <w:bCs/>
                <w:color w:val="auto"/>
                <w:szCs w:val="21"/>
              </w:rPr>
            </w:pPr>
            <w:r>
              <w:rPr>
                <w:bCs/>
                <w:color w:val="auto"/>
                <w:szCs w:val="21"/>
              </w:rPr>
              <w:t>采取以上措施后，常州市环境空气质量将得到持续改善。</w:t>
            </w:r>
          </w:p>
          <w:p w14:paraId="3E6BFE33">
            <w:pPr>
              <w:keepNext w:val="0"/>
              <w:keepLines w:val="0"/>
              <w:pageBreakBefore w:val="0"/>
              <w:kinsoku/>
              <w:wordWrap/>
              <w:overflowPunct/>
              <w:topLinePunct w:val="0"/>
              <w:bidi w:val="0"/>
              <w:adjustRightInd w:val="0"/>
              <w:snapToGrid w:val="0"/>
              <w:spacing w:line="360" w:lineRule="auto"/>
              <w:ind w:firstLine="420" w:firstLineChars="200"/>
              <w:jc w:val="both"/>
              <w:textAlignment w:val="auto"/>
              <w:rPr>
                <w:color w:val="auto"/>
                <w:szCs w:val="21"/>
              </w:rPr>
            </w:pPr>
            <w:r>
              <w:rPr>
                <w:bCs/>
                <w:color w:val="auto"/>
                <w:szCs w:val="21"/>
              </w:rPr>
              <w:t>因此，通过上述工作的不断推进实施，常州市与金坛区环境空气质量将得到持续改善</w:t>
            </w:r>
            <w:r>
              <w:rPr>
                <w:color w:val="auto"/>
                <w:szCs w:val="21"/>
              </w:rPr>
              <w:t>。</w:t>
            </w:r>
          </w:p>
          <w:p w14:paraId="02F6A2E4">
            <w:pPr>
              <w:keepNext w:val="0"/>
              <w:keepLines w:val="0"/>
              <w:pageBreakBefore w:val="0"/>
              <w:kinsoku/>
              <w:wordWrap/>
              <w:overflowPunct/>
              <w:topLinePunct w:val="0"/>
              <w:bidi w:val="0"/>
              <w:adjustRightInd w:val="0"/>
              <w:snapToGrid w:val="0"/>
              <w:spacing w:line="360" w:lineRule="auto"/>
              <w:ind w:firstLine="422" w:firstLineChars="200"/>
              <w:jc w:val="both"/>
              <w:textAlignment w:val="auto"/>
              <w:rPr>
                <w:b/>
                <w:color w:val="auto"/>
                <w:szCs w:val="21"/>
              </w:rPr>
            </w:pPr>
            <w:r>
              <w:rPr>
                <w:rFonts w:hint="eastAsia"/>
                <w:b/>
                <w:color w:val="auto"/>
                <w:szCs w:val="21"/>
              </w:rPr>
              <w:t>二</w:t>
            </w:r>
            <w:r>
              <w:rPr>
                <w:b/>
                <w:color w:val="auto"/>
                <w:szCs w:val="21"/>
              </w:rPr>
              <w:t>、地表水环境质量现状</w:t>
            </w:r>
          </w:p>
          <w:p w14:paraId="135B8D3E">
            <w:pPr>
              <w:keepNext w:val="0"/>
              <w:keepLines w:val="0"/>
              <w:pageBreakBefore w:val="0"/>
              <w:kinsoku/>
              <w:wordWrap/>
              <w:overflowPunct/>
              <w:topLinePunct w:val="0"/>
              <w:bidi w:val="0"/>
              <w:adjustRightInd w:val="0"/>
              <w:snapToGrid w:val="0"/>
              <w:spacing w:line="360" w:lineRule="auto"/>
              <w:ind w:firstLine="420" w:firstLineChars="200"/>
              <w:jc w:val="both"/>
              <w:textAlignment w:val="auto"/>
              <w:rPr>
                <w:bCs/>
                <w:color w:val="auto"/>
                <w:szCs w:val="21"/>
              </w:rPr>
            </w:pPr>
            <w:r>
              <w:rPr>
                <w:rFonts w:hint="eastAsia"/>
                <w:bCs/>
                <w:color w:val="auto"/>
                <w:szCs w:val="21"/>
              </w:rPr>
              <w:t>1、</w:t>
            </w:r>
            <w:r>
              <w:rPr>
                <w:bCs/>
                <w:color w:val="auto"/>
                <w:szCs w:val="21"/>
              </w:rPr>
              <w:t>区域水环境状况</w:t>
            </w:r>
          </w:p>
          <w:p w14:paraId="6E60B5D0">
            <w:pPr>
              <w:keepNext w:val="0"/>
              <w:keepLines w:val="0"/>
              <w:pageBreakBefore w:val="0"/>
              <w:widowControl w:val="0"/>
              <w:kinsoku/>
              <w:wordWrap/>
              <w:overflowPunct/>
              <w:topLinePunct w:val="0"/>
              <w:autoSpaceDE w:val="0"/>
              <w:autoSpaceDN w:val="0"/>
              <w:bidi w:val="0"/>
              <w:adjustRightInd w:val="0"/>
              <w:snapToGrid w:val="0"/>
              <w:spacing w:line="360" w:lineRule="auto"/>
              <w:ind w:firstLine="420" w:firstLineChars="200"/>
              <w:jc w:val="both"/>
              <w:textAlignment w:val="auto"/>
              <w:rPr>
                <w:rFonts w:hint="default" w:ascii="Times New Roman" w:hAnsi="Times New Roman" w:eastAsia="宋体" w:cs="Times New Roman"/>
                <w:color w:val="auto"/>
                <w:sz w:val="21"/>
                <w:szCs w:val="21"/>
                <w:lang w:val="zh-TW"/>
              </w:rPr>
            </w:pPr>
            <w:r>
              <w:rPr>
                <w:rFonts w:hint="default" w:ascii="Times New Roman" w:hAnsi="Times New Roman" w:eastAsia="宋体" w:cs="Times New Roman"/>
                <w:color w:val="auto"/>
                <w:sz w:val="21"/>
                <w:szCs w:val="21"/>
                <w:lang w:val="zh-TW"/>
              </w:rPr>
              <w:t>根据《202</w:t>
            </w:r>
            <w:r>
              <w:rPr>
                <w:rFonts w:hint="eastAsia" w:ascii="Times New Roman" w:hAnsi="Times New Roman" w:eastAsia="宋体" w:cs="Times New Roman"/>
                <w:color w:val="auto"/>
                <w:sz w:val="21"/>
                <w:szCs w:val="21"/>
                <w:lang w:val="en-US" w:eastAsia="zh-CN"/>
              </w:rPr>
              <w:t>4</w:t>
            </w:r>
            <w:r>
              <w:rPr>
                <w:rFonts w:hint="default" w:ascii="Times New Roman" w:hAnsi="Times New Roman" w:eastAsia="宋体" w:cs="Times New Roman"/>
                <w:color w:val="auto"/>
                <w:sz w:val="21"/>
                <w:szCs w:val="21"/>
                <w:lang w:val="zh-TW"/>
              </w:rPr>
              <w:t>年常州市生态环境状况公报》，国考、省考断面水质达到或好于Ⅲ类比例完成省定考核要求，太湖水质自2007年蓝藻事件以来首次达、重回</w:t>
            </w:r>
            <w:r>
              <w:rPr>
                <w:rFonts w:hint="eastAsia" w:ascii="Times New Roman" w:hAnsi="Times New Roman" w:eastAsia="宋体" w:cs="Times New Roman"/>
                <w:color w:val="auto"/>
                <w:sz w:val="21"/>
                <w:szCs w:val="21"/>
                <w:lang w:val="zh-TW" w:eastAsia="zh-CN"/>
              </w:rPr>
              <w:t>“</w:t>
            </w:r>
            <w:r>
              <w:rPr>
                <w:rFonts w:hint="default" w:ascii="Times New Roman" w:hAnsi="Times New Roman" w:eastAsia="宋体" w:cs="Times New Roman"/>
                <w:color w:val="auto"/>
                <w:sz w:val="21"/>
                <w:szCs w:val="21"/>
                <w:lang w:val="zh-TW"/>
              </w:rPr>
              <w:t>良好</w:t>
            </w:r>
            <w:r>
              <w:rPr>
                <w:rFonts w:hint="eastAsia" w:ascii="Times New Roman" w:hAnsi="Times New Roman" w:eastAsia="宋体" w:cs="Times New Roman"/>
                <w:color w:val="auto"/>
                <w:sz w:val="21"/>
                <w:szCs w:val="21"/>
                <w:lang w:val="zh-TW" w:eastAsia="zh-CN"/>
              </w:rPr>
              <w:t>”</w:t>
            </w:r>
            <w:r>
              <w:rPr>
                <w:rFonts w:hint="default" w:ascii="Times New Roman" w:hAnsi="Times New Roman" w:eastAsia="宋体" w:cs="Times New Roman"/>
                <w:color w:val="auto"/>
                <w:sz w:val="21"/>
                <w:szCs w:val="21"/>
                <w:lang w:val="zh-TW"/>
              </w:rPr>
              <w:t>湖泊，连续17年实现安全度夏。长江干流</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zh-TW"/>
              </w:rPr>
              <w:t>常州段</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zh-TW"/>
              </w:rPr>
              <w:t>水质连续8年稳定Ⅱ类水平</w:t>
            </w:r>
            <w:r>
              <w:rPr>
                <w:rFonts w:hint="eastAsia" w:ascii="Times New Roman" w:hAnsi="Times New Roman" w:eastAsia="宋体" w:cs="Times New Roman"/>
                <w:color w:val="auto"/>
                <w:sz w:val="21"/>
                <w:szCs w:val="21"/>
                <w:lang w:val="zh-TW" w:eastAsia="zh-CN"/>
              </w:rPr>
              <w:t>，</w:t>
            </w:r>
            <w:r>
              <w:rPr>
                <w:rFonts w:hint="default" w:ascii="Times New Roman" w:hAnsi="Times New Roman" w:eastAsia="宋体" w:cs="Times New Roman"/>
                <w:color w:val="auto"/>
                <w:sz w:val="21"/>
                <w:szCs w:val="21"/>
                <w:lang w:val="zh-TW"/>
              </w:rPr>
              <w:t>主要入湖河道、集中式饮用水源地水质稳定达到省定考核目标。</w:t>
            </w:r>
          </w:p>
          <w:p w14:paraId="4A8269B4">
            <w:pPr>
              <w:keepNext w:val="0"/>
              <w:keepLines w:val="0"/>
              <w:pageBreakBefore w:val="0"/>
              <w:widowControl w:val="0"/>
              <w:kinsoku/>
              <w:wordWrap/>
              <w:overflowPunct/>
              <w:topLinePunct w:val="0"/>
              <w:autoSpaceDE w:val="0"/>
              <w:autoSpaceDN w:val="0"/>
              <w:bidi w:val="0"/>
              <w:adjustRightInd w:val="0"/>
              <w:snapToGrid w:val="0"/>
              <w:spacing w:line="360" w:lineRule="auto"/>
              <w:ind w:firstLine="420" w:firstLineChars="200"/>
              <w:jc w:val="both"/>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饮用水水源地：常州市城市饮用水以集中供水为主，2024年全市5个县级及以上城市集中式饮用水水源地（含备用），取水总量为5.23亿吨，全年每月监测均达标。</w:t>
            </w:r>
          </w:p>
          <w:p w14:paraId="5C4D0B70">
            <w:pPr>
              <w:keepNext w:val="0"/>
              <w:keepLines w:val="0"/>
              <w:pageBreakBefore w:val="0"/>
              <w:widowControl w:val="0"/>
              <w:kinsoku/>
              <w:wordWrap/>
              <w:overflowPunct/>
              <w:topLinePunct w:val="0"/>
              <w:autoSpaceDE w:val="0"/>
              <w:autoSpaceDN w:val="0"/>
              <w:bidi w:val="0"/>
              <w:adjustRightInd w:val="0"/>
              <w:snapToGrid w:val="0"/>
              <w:spacing w:line="360" w:lineRule="auto"/>
              <w:ind w:firstLine="420" w:firstLineChars="200"/>
              <w:jc w:val="both"/>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国省考断面：2024年，常州市纳入“十四五”国家地表水环境质量考核的20个断面，年均水质达到或好于《地表水环境质量标准》（GB3838-2002）</w:t>
            </w:r>
            <w:r>
              <w:rPr>
                <w:rFonts w:hint="default" w:ascii="Times New Roman" w:hAnsi="Times New Roman" w:eastAsia="宋体" w:cs="Times New Roman"/>
                <w:color w:val="auto"/>
                <w:sz w:val="21"/>
                <w:szCs w:val="21"/>
                <w:lang w:val="zh-TW"/>
              </w:rPr>
              <w:t>Ⅲ</w:t>
            </w:r>
            <w:r>
              <w:rPr>
                <w:rFonts w:hint="eastAsia" w:ascii="Times New Roman" w:hAnsi="Times New Roman" w:eastAsia="宋体" w:cs="Times New Roman"/>
                <w:color w:val="auto"/>
                <w:sz w:val="21"/>
                <w:szCs w:val="21"/>
                <w:lang w:val="en-US" w:eastAsia="zh-CN"/>
              </w:rPr>
              <w:t>类标准的断面比例为85%，无劣V类断面。纳入江苏省“十四五”水环境质量目标考核的51个断面，年均水质达到或好于</w:t>
            </w:r>
            <w:r>
              <w:rPr>
                <w:rFonts w:hint="default" w:ascii="Times New Roman" w:hAnsi="Times New Roman" w:eastAsia="宋体" w:cs="Times New Roman"/>
                <w:color w:val="auto"/>
                <w:sz w:val="21"/>
                <w:szCs w:val="21"/>
                <w:lang w:val="zh-TW"/>
              </w:rPr>
              <w:t>Ⅲ</w:t>
            </w:r>
            <w:r>
              <w:rPr>
                <w:rFonts w:hint="eastAsia" w:ascii="Times New Roman" w:hAnsi="Times New Roman" w:eastAsia="宋体" w:cs="Times New Roman"/>
                <w:color w:val="auto"/>
                <w:sz w:val="21"/>
                <w:szCs w:val="21"/>
                <w:lang w:val="en-US" w:eastAsia="zh-CN"/>
              </w:rPr>
              <w:t>类的比例为94.1%，无劣V类断面。</w:t>
            </w:r>
          </w:p>
          <w:p w14:paraId="0D4E8EC2">
            <w:pPr>
              <w:keepNext w:val="0"/>
              <w:keepLines w:val="0"/>
              <w:pageBreakBefore w:val="0"/>
              <w:widowControl w:val="0"/>
              <w:kinsoku/>
              <w:wordWrap/>
              <w:overflowPunct/>
              <w:topLinePunct w:val="0"/>
              <w:autoSpaceDE w:val="0"/>
              <w:autoSpaceDN w:val="0"/>
              <w:bidi w:val="0"/>
              <w:adjustRightInd w:val="0"/>
              <w:snapToGrid w:val="0"/>
              <w:spacing w:line="360" w:lineRule="auto"/>
              <w:ind w:firstLine="420" w:firstLineChars="200"/>
              <w:jc w:val="both"/>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太湖及入太河流：2024年，太湖水质自2007年蓝藻事件以来首次达川、重回“良好”湖泊，其中我市椒山点位首次达到</w:t>
            </w:r>
            <w:r>
              <w:rPr>
                <w:rFonts w:hint="default" w:ascii="Times New Roman" w:hAnsi="Times New Roman" w:eastAsia="宋体" w:cs="Times New Roman"/>
                <w:color w:val="auto"/>
                <w:sz w:val="21"/>
                <w:szCs w:val="21"/>
                <w:lang w:val="zh-TW"/>
              </w:rPr>
              <w:t>Ⅲ</w:t>
            </w:r>
            <w:r>
              <w:rPr>
                <w:rFonts w:hint="eastAsia" w:ascii="Times New Roman" w:hAnsi="Times New Roman" w:eastAsia="宋体" w:cs="Times New Roman"/>
                <w:color w:val="auto"/>
                <w:sz w:val="21"/>
                <w:szCs w:val="21"/>
                <w:lang w:val="en-US" w:eastAsia="zh-CN"/>
              </w:rPr>
              <w:t>类，太湖常州水域总磷同比改善24%，对全湖总磷改善幅度贡献率达182%，位列环湖城市第一，太湖入湖河道通量最大的百渎港总磷同比下降17.6%。</w:t>
            </w:r>
          </w:p>
          <w:p w14:paraId="22A469FB">
            <w:pPr>
              <w:keepNext w:val="0"/>
              <w:keepLines w:val="0"/>
              <w:pageBreakBefore w:val="0"/>
              <w:tabs>
                <w:tab w:val="left" w:pos="1728"/>
              </w:tabs>
              <w:kinsoku/>
              <w:wordWrap/>
              <w:overflowPunct/>
              <w:topLinePunct w:val="0"/>
              <w:bidi w:val="0"/>
              <w:adjustRightInd w:val="0"/>
              <w:snapToGrid w:val="0"/>
              <w:spacing w:line="360" w:lineRule="auto"/>
              <w:ind w:firstLine="420" w:firstLineChars="200"/>
              <w:jc w:val="both"/>
              <w:textAlignment w:val="auto"/>
              <w:rPr>
                <w:color w:val="auto"/>
                <w:szCs w:val="21"/>
              </w:rPr>
            </w:pPr>
            <w:r>
              <w:rPr>
                <w:rFonts w:hint="default" w:ascii="Times New Roman" w:hAnsi="Times New Roman" w:eastAsia="宋体" w:cs="Times New Roman"/>
                <w:color w:val="auto"/>
                <w:sz w:val="21"/>
                <w:szCs w:val="21"/>
              </w:rPr>
              <w:t>长江干流(常州段)及主要通江支流</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2024年，长江干流魏村</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右岸</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断面水质连续八年达到川类</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新孟河、德胜河、澡港河等3条主要通江支流上5个国省考断面年均水质均达到或优于类</w:t>
            </w:r>
            <w:r>
              <w:rPr>
                <w:color w:val="auto"/>
                <w:szCs w:val="21"/>
              </w:rPr>
              <w:t>。</w:t>
            </w:r>
          </w:p>
          <w:p w14:paraId="238FF7A9">
            <w:pPr>
              <w:keepNext w:val="0"/>
              <w:keepLines w:val="0"/>
              <w:pageBreakBefore w:val="0"/>
              <w:kinsoku/>
              <w:wordWrap/>
              <w:overflowPunct/>
              <w:topLinePunct w:val="0"/>
              <w:bidi w:val="0"/>
              <w:adjustRightInd w:val="0"/>
              <w:snapToGrid w:val="0"/>
              <w:spacing w:line="360" w:lineRule="auto"/>
              <w:ind w:firstLine="420" w:firstLineChars="200"/>
              <w:jc w:val="both"/>
              <w:textAlignment w:val="auto"/>
              <w:rPr>
                <w:bCs/>
                <w:color w:val="auto"/>
                <w:szCs w:val="21"/>
              </w:rPr>
            </w:pPr>
            <w:r>
              <w:rPr>
                <w:rFonts w:hint="eastAsia"/>
                <w:bCs/>
                <w:color w:val="auto"/>
                <w:szCs w:val="21"/>
              </w:rPr>
              <w:t>2、</w:t>
            </w:r>
            <w:r>
              <w:rPr>
                <w:bCs/>
                <w:color w:val="auto"/>
                <w:szCs w:val="21"/>
              </w:rPr>
              <w:t>地表水环境质量现状引用结果及评价</w:t>
            </w:r>
          </w:p>
          <w:p w14:paraId="4CCBA168">
            <w:pPr>
              <w:keepNext w:val="0"/>
              <w:keepLines w:val="0"/>
              <w:pageBreakBefore w:val="0"/>
              <w:kinsoku/>
              <w:wordWrap/>
              <w:overflowPunct/>
              <w:topLinePunct w:val="0"/>
              <w:autoSpaceDE w:val="0"/>
              <w:autoSpaceDN w:val="0"/>
              <w:bidi w:val="0"/>
              <w:adjustRightInd w:val="0"/>
              <w:snapToGrid w:val="0"/>
              <w:spacing w:line="360" w:lineRule="auto"/>
              <w:ind w:firstLine="420" w:firstLineChars="200"/>
              <w:jc w:val="both"/>
              <w:textAlignment w:val="auto"/>
              <w:rPr>
                <w:bCs/>
                <w:color w:val="auto"/>
                <w:szCs w:val="21"/>
              </w:rPr>
            </w:pPr>
            <w:r>
              <w:rPr>
                <w:color w:val="auto"/>
                <w:szCs w:val="21"/>
              </w:rPr>
              <w:t>本项目纳污水体为尧塘河，根据《江苏省地表水（环境）功能区划（2021-2030年）》，尧塘河水质执行《地表水环境质量标准》（GB3838-2002）中的III类水质标准。</w:t>
            </w:r>
          </w:p>
          <w:p w14:paraId="3284129A">
            <w:pPr>
              <w:keepNext w:val="0"/>
              <w:keepLines w:val="0"/>
              <w:pageBreakBefore w:val="0"/>
              <w:kinsoku/>
              <w:wordWrap/>
              <w:overflowPunct/>
              <w:topLinePunct w:val="0"/>
              <w:bidi w:val="0"/>
              <w:adjustRightInd w:val="0"/>
              <w:snapToGrid w:val="0"/>
              <w:spacing w:line="360" w:lineRule="auto"/>
              <w:ind w:firstLine="411" w:firstLineChars="196"/>
              <w:jc w:val="both"/>
              <w:textAlignment w:val="auto"/>
              <w:rPr>
                <w:color w:val="auto"/>
                <w:szCs w:val="21"/>
              </w:rPr>
            </w:pPr>
            <w:r>
              <w:rPr>
                <w:rFonts w:hint="eastAsia"/>
                <w:color w:val="auto"/>
                <w:szCs w:val="21"/>
              </w:rPr>
              <w:t>根据</w:t>
            </w:r>
            <w:r>
              <w:rPr>
                <w:rFonts w:hint="eastAsia"/>
                <w:color w:val="auto"/>
                <w:szCs w:val="21"/>
                <w:lang w:eastAsia="zh-CN"/>
              </w:rPr>
              <w:t>特斯特（江苏）检测科技有限公司</w:t>
            </w:r>
            <w:r>
              <w:rPr>
                <w:rFonts w:hint="eastAsia"/>
                <w:color w:val="auto"/>
                <w:szCs w:val="21"/>
              </w:rPr>
              <w:t>在尧塘河金坛第二污厂排污口上游500米处和下游2000米处pH值、化学需氧量、氨氮、总磷进行检测，采样时间为2025.1.</w:t>
            </w:r>
            <w:r>
              <w:rPr>
                <w:rFonts w:hint="eastAsia"/>
                <w:color w:val="auto"/>
                <w:szCs w:val="21"/>
                <w:lang w:val="en-US" w:eastAsia="zh-CN"/>
              </w:rPr>
              <w:t>6</w:t>
            </w:r>
            <w:r>
              <w:rPr>
                <w:rFonts w:hint="eastAsia"/>
                <w:color w:val="auto"/>
                <w:szCs w:val="21"/>
              </w:rPr>
              <w:t>~2025.1.</w:t>
            </w:r>
            <w:r>
              <w:rPr>
                <w:rFonts w:hint="eastAsia"/>
                <w:color w:val="auto"/>
                <w:szCs w:val="21"/>
                <w:lang w:val="en-US" w:eastAsia="zh-CN"/>
              </w:rPr>
              <w:t>8</w:t>
            </w:r>
            <w:r>
              <w:rPr>
                <w:rFonts w:hint="eastAsia"/>
                <w:color w:val="auto"/>
                <w:szCs w:val="21"/>
              </w:rPr>
              <w:t>，检测报告编号“</w:t>
            </w:r>
            <w:r>
              <w:rPr>
                <w:rFonts w:hint="eastAsia"/>
                <w:color w:val="auto"/>
                <w:szCs w:val="21"/>
                <w:lang w:val="en-US" w:eastAsia="zh-CN"/>
              </w:rPr>
              <w:t>TST202501015</w:t>
            </w:r>
            <w:r>
              <w:rPr>
                <w:rFonts w:hint="eastAsia"/>
                <w:color w:val="auto"/>
                <w:szCs w:val="21"/>
              </w:rPr>
              <w:t>”</w:t>
            </w:r>
            <w:r>
              <w:rPr>
                <w:color w:val="auto"/>
                <w:szCs w:val="21"/>
              </w:rPr>
              <w:t>，监测数据详见</w:t>
            </w:r>
            <w:r>
              <w:rPr>
                <w:rFonts w:hint="eastAsia"/>
                <w:color w:val="auto"/>
                <w:szCs w:val="21"/>
                <w:lang w:val="en-US" w:eastAsia="zh-CN"/>
              </w:rPr>
              <w:t>下表</w:t>
            </w:r>
            <w:r>
              <w:rPr>
                <w:color w:val="auto"/>
                <w:szCs w:val="21"/>
              </w:rPr>
              <w:t>。</w:t>
            </w:r>
          </w:p>
          <w:p w14:paraId="1C5FBA06">
            <w:pPr>
              <w:keepNext w:val="0"/>
              <w:keepLines w:val="0"/>
              <w:pageBreakBefore w:val="0"/>
              <w:widowControl w:val="0"/>
              <w:kinsoku/>
              <w:wordWrap/>
              <w:overflowPunct/>
              <w:topLinePunct w:val="0"/>
              <w:autoSpaceDE/>
              <w:autoSpaceDN/>
              <w:bidi w:val="0"/>
              <w:adjustRightInd/>
              <w:snapToGrid/>
              <w:jc w:val="center"/>
              <w:textAlignment w:val="auto"/>
              <w:rPr>
                <w:b/>
                <w:bCs/>
                <w:color w:val="auto"/>
                <w:szCs w:val="21"/>
              </w:rPr>
            </w:pPr>
            <w:r>
              <w:rPr>
                <w:b/>
                <w:bCs/>
                <w:color w:val="auto"/>
                <w:szCs w:val="21"/>
              </w:rPr>
              <w:t>表3-</w:t>
            </w:r>
            <w:r>
              <w:rPr>
                <w:rFonts w:hint="eastAsia"/>
                <w:b/>
                <w:bCs/>
                <w:color w:val="auto"/>
                <w:szCs w:val="21"/>
                <w:lang w:val="en-US" w:eastAsia="zh-CN"/>
              </w:rPr>
              <w:t>3</w:t>
            </w:r>
            <w:r>
              <w:rPr>
                <w:b/>
                <w:bCs/>
                <w:color w:val="auto"/>
                <w:szCs w:val="21"/>
              </w:rPr>
              <w:t xml:space="preserve"> 水质监测结果  单位：mg/L，pH无量纲</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28" w:type="dxa"/>
                <w:bottom w:w="0" w:type="dxa"/>
                <w:right w:w="28" w:type="dxa"/>
              </w:tblCellMar>
            </w:tblPr>
            <w:tblGrid>
              <w:gridCol w:w="1346"/>
              <w:gridCol w:w="1154"/>
              <w:gridCol w:w="881"/>
              <w:gridCol w:w="744"/>
              <w:gridCol w:w="839"/>
              <w:gridCol w:w="672"/>
              <w:gridCol w:w="766"/>
              <w:gridCol w:w="777"/>
              <w:gridCol w:w="525"/>
              <w:gridCol w:w="518"/>
            </w:tblGrid>
            <w:tr w14:paraId="39CBA100">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1346" w:type="dxa"/>
                  <w:vMerge w:val="restart"/>
                  <w:tcBorders>
                    <w:tl2br w:val="nil"/>
                    <w:tr2bl w:val="nil"/>
                  </w:tcBorders>
                  <w:noWrap w:val="0"/>
                  <w:tcMar>
                    <w:top w:w="0" w:type="dxa"/>
                    <w:left w:w="0" w:type="dxa"/>
                    <w:bottom w:w="0" w:type="dxa"/>
                    <w:right w:w="0" w:type="dxa"/>
                  </w:tcMar>
                  <w:vAlign w:val="center"/>
                </w:tcPr>
                <w:p w14:paraId="6AA6269A">
                  <w:pPr>
                    <w:adjustRightInd w:val="0"/>
                    <w:snapToGrid w:val="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采样地点</w:t>
                  </w:r>
                </w:p>
              </w:tc>
              <w:tc>
                <w:tcPr>
                  <w:tcW w:w="1154" w:type="dxa"/>
                  <w:vMerge w:val="restart"/>
                  <w:tcBorders>
                    <w:tl2br w:val="nil"/>
                    <w:tr2bl w:val="nil"/>
                  </w:tcBorders>
                  <w:noWrap w:val="0"/>
                  <w:tcMar>
                    <w:top w:w="0" w:type="dxa"/>
                    <w:left w:w="0" w:type="dxa"/>
                    <w:bottom w:w="0" w:type="dxa"/>
                    <w:right w:w="0" w:type="dxa"/>
                  </w:tcMar>
                  <w:vAlign w:val="center"/>
                </w:tcPr>
                <w:p w14:paraId="13E74F89">
                  <w:pPr>
                    <w:adjustRightInd w:val="0"/>
                    <w:snapToGrid w:val="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检测项目</w:t>
                  </w:r>
                </w:p>
              </w:tc>
              <w:tc>
                <w:tcPr>
                  <w:tcW w:w="4679" w:type="dxa"/>
                  <w:gridSpan w:val="6"/>
                  <w:tcBorders>
                    <w:tl2br w:val="nil"/>
                    <w:tr2bl w:val="nil"/>
                  </w:tcBorders>
                  <w:noWrap w:val="0"/>
                  <w:tcMar>
                    <w:top w:w="0" w:type="dxa"/>
                    <w:left w:w="0" w:type="dxa"/>
                    <w:bottom w:w="0" w:type="dxa"/>
                    <w:right w:w="0" w:type="dxa"/>
                  </w:tcMar>
                  <w:vAlign w:val="center"/>
                </w:tcPr>
                <w:p w14:paraId="3CEE203C">
                  <w:pPr>
                    <w:adjustRightInd w:val="0"/>
                    <w:snapToGrid w:val="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检测结果（mg/L）</w:t>
                  </w:r>
                </w:p>
              </w:tc>
              <w:tc>
                <w:tcPr>
                  <w:tcW w:w="525" w:type="dxa"/>
                  <w:vMerge w:val="restart"/>
                  <w:tcBorders>
                    <w:tl2br w:val="nil"/>
                    <w:tr2bl w:val="nil"/>
                  </w:tcBorders>
                  <w:noWrap w:val="0"/>
                  <w:tcMar>
                    <w:top w:w="0" w:type="dxa"/>
                    <w:left w:w="0" w:type="dxa"/>
                    <w:bottom w:w="0" w:type="dxa"/>
                    <w:right w:w="0" w:type="dxa"/>
                  </w:tcMar>
                  <w:vAlign w:val="center"/>
                </w:tcPr>
                <w:p w14:paraId="55BDA435">
                  <w:pPr>
                    <w:adjustRightInd w:val="0"/>
                    <w:snapToGrid w:val="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执行标准</w:t>
                  </w:r>
                </w:p>
              </w:tc>
              <w:tc>
                <w:tcPr>
                  <w:tcW w:w="518" w:type="dxa"/>
                  <w:vMerge w:val="restart"/>
                  <w:tcBorders>
                    <w:tl2br w:val="nil"/>
                    <w:tr2bl w:val="nil"/>
                  </w:tcBorders>
                  <w:noWrap w:val="0"/>
                  <w:tcMar>
                    <w:top w:w="0" w:type="dxa"/>
                    <w:left w:w="0" w:type="dxa"/>
                    <w:bottom w:w="0" w:type="dxa"/>
                    <w:right w:w="0" w:type="dxa"/>
                  </w:tcMar>
                  <w:vAlign w:val="center"/>
                </w:tcPr>
                <w:p w14:paraId="766477E8">
                  <w:pPr>
                    <w:adjustRightInd w:val="0"/>
                    <w:snapToGrid w:val="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是否达标</w:t>
                  </w:r>
                </w:p>
              </w:tc>
            </w:tr>
            <w:tr w14:paraId="52F0F517">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1346" w:type="dxa"/>
                  <w:vMerge w:val="continue"/>
                  <w:tcBorders>
                    <w:tl2br w:val="nil"/>
                    <w:tr2bl w:val="nil"/>
                  </w:tcBorders>
                  <w:noWrap w:val="0"/>
                  <w:tcMar>
                    <w:top w:w="0" w:type="dxa"/>
                    <w:left w:w="0" w:type="dxa"/>
                    <w:bottom w:w="0" w:type="dxa"/>
                    <w:right w:w="0" w:type="dxa"/>
                  </w:tcMar>
                  <w:vAlign w:val="center"/>
                </w:tcPr>
                <w:p w14:paraId="26BBC1CF">
                  <w:pPr>
                    <w:adjustRightInd w:val="0"/>
                    <w:snapToGrid w:val="0"/>
                    <w:jc w:val="center"/>
                    <w:rPr>
                      <w:rFonts w:hint="default" w:ascii="Times New Roman" w:hAnsi="Times New Roman" w:eastAsia="宋体" w:cs="Times New Roman"/>
                      <w:b/>
                      <w:color w:val="auto"/>
                      <w:sz w:val="21"/>
                      <w:szCs w:val="21"/>
                    </w:rPr>
                  </w:pPr>
                </w:p>
              </w:tc>
              <w:tc>
                <w:tcPr>
                  <w:tcW w:w="1154" w:type="dxa"/>
                  <w:vMerge w:val="continue"/>
                  <w:tcBorders>
                    <w:tl2br w:val="nil"/>
                    <w:tr2bl w:val="nil"/>
                  </w:tcBorders>
                  <w:noWrap w:val="0"/>
                  <w:tcMar>
                    <w:top w:w="0" w:type="dxa"/>
                    <w:left w:w="0" w:type="dxa"/>
                    <w:bottom w:w="0" w:type="dxa"/>
                    <w:right w:w="0" w:type="dxa"/>
                  </w:tcMar>
                  <w:vAlign w:val="center"/>
                </w:tcPr>
                <w:p w14:paraId="0E112294">
                  <w:pPr>
                    <w:adjustRightInd w:val="0"/>
                    <w:snapToGrid w:val="0"/>
                    <w:jc w:val="center"/>
                    <w:rPr>
                      <w:rFonts w:hint="default" w:ascii="Times New Roman" w:hAnsi="Times New Roman" w:eastAsia="宋体" w:cs="Times New Roman"/>
                      <w:b/>
                      <w:color w:val="auto"/>
                      <w:sz w:val="21"/>
                      <w:szCs w:val="21"/>
                    </w:rPr>
                  </w:pPr>
                </w:p>
              </w:tc>
              <w:tc>
                <w:tcPr>
                  <w:tcW w:w="1625" w:type="dxa"/>
                  <w:gridSpan w:val="2"/>
                  <w:tcBorders>
                    <w:tl2br w:val="nil"/>
                    <w:tr2bl w:val="nil"/>
                  </w:tcBorders>
                  <w:noWrap w:val="0"/>
                  <w:tcMar>
                    <w:top w:w="0" w:type="dxa"/>
                    <w:left w:w="0" w:type="dxa"/>
                    <w:bottom w:w="0" w:type="dxa"/>
                    <w:right w:w="0" w:type="dxa"/>
                  </w:tcMar>
                  <w:vAlign w:val="center"/>
                </w:tcPr>
                <w:p w14:paraId="38D8A650">
                  <w:pPr>
                    <w:adjustRightInd w:val="0"/>
                    <w:snapToGrid w:val="0"/>
                    <w:jc w:val="center"/>
                    <w:rPr>
                      <w:rFonts w:hint="eastAsia"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2025.1.</w:t>
                  </w:r>
                  <w:r>
                    <w:rPr>
                      <w:rFonts w:hint="eastAsia" w:cs="Times New Roman"/>
                      <w:b/>
                      <w:bCs/>
                      <w:color w:val="auto"/>
                      <w:sz w:val="21"/>
                      <w:szCs w:val="21"/>
                      <w:lang w:val="en-US" w:eastAsia="zh-CN"/>
                    </w:rPr>
                    <w:t>6</w:t>
                  </w:r>
                </w:p>
              </w:tc>
              <w:tc>
                <w:tcPr>
                  <w:tcW w:w="1511" w:type="dxa"/>
                  <w:gridSpan w:val="2"/>
                  <w:tcBorders>
                    <w:tl2br w:val="nil"/>
                    <w:tr2bl w:val="nil"/>
                  </w:tcBorders>
                  <w:noWrap w:val="0"/>
                  <w:tcMar>
                    <w:top w:w="0" w:type="dxa"/>
                    <w:left w:w="0" w:type="dxa"/>
                    <w:bottom w:w="0" w:type="dxa"/>
                    <w:right w:w="0" w:type="dxa"/>
                  </w:tcMar>
                  <w:vAlign w:val="center"/>
                </w:tcPr>
                <w:p w14:paraId="55DE4842">
                  <w:pPr>
                    <w:adjustRightInd w:val="0"/>
                    <w:snapToGrid w:val="0"/>
                    <w:jc w:val="center"/>
                    <w:rPr>
                      <w:rFonts w:hint="eastAsia"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rPr>
                    <w:t>2025.1.</w:t>
                  </w:r>
                  <w:r>
                    <w:rPr>
                      <w:rFonts w:hint="eastAsia" w:cs="Times New Roman"/>
                      <w:b/>
                      <w:bCs/>
                      <w:color w:val="auto"/>
                      <w:sz w:val="21"/>
                      <w:szCs w:val="21"/>
                      <w:lang w:val="en-US" w:eastAsia="zh-CN"/>
                    </w:rPr>
                    <w:t>7</w:t>
                  </w:r>
                </w:p>
              </w:tc>
              <w:tc>
                <w:tcPr>
                  <w:tcW w:w="1543" w:type="dxa"/>
                  <w:gridSpan w:val="2"/>
                  <w:tcBorders>
                    <w:tl2br w:val="nil"/>
                    <w:tr2bl w:val="nil"/>
                  </w:tcBorders>
                  <w:noWrap w:val="0"/>
                  <w:tcMar>
                    <w:top w:w="0" w:type="dxa"/>
                    <w:left w:w="0" w:type="dxa"/>
                    <w:bottom w:w="0" w:type="dxa"/>
                    <w:right w:w="0" w:type="dxa"/>
                  </w:tcMar>
                  <w:vAlign w:val="center"/>
                </w:tcPr>
                <w:p w14:paraId="32E2C08B">
                  <w:pPr>
                    <w:adjustRightInd w:val="0"/>
                    <w:snapToGrid w:val="0"/>
                    <w:jc w:val="center"/>
                    <w:rPr>
                      <w:rFonts w:hint="eastAsia"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2025.1.</w:t>
                  </w:r>
                  <w:r>
                    <w:rPr>
                      <w:rFonts w:hint="eastAsia" w:ascii="Times New Roman" w:hAnsi="Times New Roman" w:eastAsia="宋体" w:cs="Times New Roman"/>
                      <w:b/>
                      <w:bCs/>
                      <w:color w:val="auto"/>
                      <w:sz w:val="21"/>
                      <w:szCs w:val="21"/>
                      <w:lang w:val="en-US" w:eastAsia="zh-CN"/>
                    </w:rPr>
                    <w:t>8</w:t>
                  </w:r>
                </w:p>
              </w:tc>
              <w:tc>
                <w:tcPr>
                  <w:tcW w:w="525" w:type="dxa"/>
                  <w:vMerge w:val="continue"/>
                  <w:tcBorders>
                    <w:tl2br w:val="nil"/>
                    <w:tr2bl w:val="nil"/>
                  </w:tcBorders>
                  <w:noWrap w:val="0"/>
                  <w:tcMar>
                    <w:top w:w="0" w:type="dxa"/>
                    <w:left w:w="0" w:type="dxa"/>
                    <w:bottom w:w="0" w:type="dxa"/>
                    <w:right w:w="0" w:type="dxa"/>
                  </w:tcMar>
                  <w:vAlign w:val="center"/>
                </w:tcPr>
                <w:p w14:paraId="13B97220">
                  <w:pPr>
                    <w:adjustRightInd w:val="0"/>
                    <w:snapToGrid w:val="0"/>
                    <w:jc w:val="center"/>
                    <w:rPr>
                      <w:rFonts w:hint="default" w:ascii="Times New Roman" w:hAnsi="Times New Roman" w:eastAsia="宋体" w:cs="Times New Roman"/>
                      <w:b/>
                      <w:color w:val="auto"/>
                      <w:sz w:val="21"/>
                      <w:szCs w:val="21"/>
                    </w:rPr>
                  </w:pPr>
                </w:p>
              </w:tc>
              <w:tc>
                <w:tcPr>
                  <w:tcW w:w="518" w:type="dxa"/>
                  <w:vMerge w:val="continue"/>
                  <w:tcBorders>
                    <w:tl2br w:val="nil"/>
                    <w:tr2bl w:val="nil"/>
                  </w:tcBorders>
                  <w:noWrap w:val="0"/>
                  <w:tcMar>
                    <w:top w:w="0" w:type="dxa"/>
                    <w:left w:w="0" w:type="dxa"/>
                    <w:bottom w:w="0" w:type="dxa"/>
                    <w:right w:w="0" w:type="dxa"/>
                  </w:tcMar>
                  <w:vAlign w:val="center"/>
                </w:tcPr>
                <w:p w14:paraId="3415F97E">
                  <w:pPr>
                    <w:adjustRightInd w:val="0"/>
                    <w:snapToGrid w:val="0"/>
                    <w:jc w:val="center"/>
                    <w:rPr>
                      <w:rFonts w:hint="default" w:ascii="Times New Roman" w:hAnsi="Times New Roman" w:eastAsia="宋体" w:cs="Times New Roman"/>
                      <w:b/>
                      <w:color w:val="auto"/>
                      <w:sz w:val="21"/>
                      <w:szCs w:val="21"/>
                    </w:rPr>
                  </w:pPr>
                </w:p>
              </w:tc>
            </w:tr>
            <w:tr w14:paraId="05819854">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1346" w:type="dxa"/>
                  <w:vMerge w:val="continue"/>
                  <w:tcBorders>
                    <w:tl2br w:val="nil"/>
                    <w:tr2bl w:val="nil"/>
                  </w:tcBorders>
                  <w:noWrap w:val="0"/>
                  <w:tcMar>
                    <w:top w:w="0" w:type="dxa"/>
                    <w:left w:w="0" w:type="dxa"/>
                    <w:bottom w:w="0" w:type="dxa"/>
                    <w:right w:w="0" w:type="dxa"/>
                  </w:tcMar>
                  <w:vAlign w:val="center"/>
                </w:tcPr>
                <w:p w14:paraId="7BBBB1FB">
                  <w:pPr>
                    <w:adjustRightInd w:val="0"/>
                    <w:snapToGrid w:val="0"/>
                    <w:jc w:val="center"/>
                    <w:rPr>
                      <w:rFonts w:hint="default" w:ascii="Times New Roman" w:hAnsi="Times New Roman" w:eastAsia="宋体" w:cs="Times New Roman"/>
                      <w:b/>
                      <w:color w:val="auto"/>
                      <w:sz w:val="21"/>
                      <w:szCs w:val="21"/>
                    </w:rPr>
                  </w:pPr>
                </w:p>
              </w:tc>
              <w:tc>
                <w:tcPr>
                  <w:tcW w:w="1154" w:type="dxa"/>
                  <w:vMerge w:val="continue"/>
                  <w:tcBorders>
                    <w:tl2br w:val="nil"/>
                    <w:tr2bl w:val="nil"/>
                  </w:tcBorders>
                  <w:noWrap w:val="0"/>
                  <w:tcMar>
                    <w:top w:w="0" w:type="dxa"/>
                    <w:left w:w="0" w:type="dxa"/>
                    <w:bottom w:w="0" w:type="dxa"/>
                    <w:right w:w="0" w:type="dxa"/>
                  </w:tcMar>
                  <w:vAlign w:val="center"/>
                </w:tcPr>
                <w:p w14:paraId="03817CCB">
                  <w:pPr>
                    <w:adjustRightInd w:val="0"/>
                    <w:snapToGrid w:val="0"/>
                    <w:jc w:val="center"/>
                    <w:rPr>
                      <w:rFonts w:hint="default" w:ascii="Times New Roman" w:hAnsi="Times New Roman" w:eastAsia="宋体" w:cs="Times New Roman"/>
                      <w:b/>
                      <w:color w:val="auto"/>
                      <w:sz w:val="21"/>
                      <w:szCs w:val="21"/>
                    </w:rPr>
                  </w:pPr>
                </w:p>
              </w:tc>
              <w:tc>
                <w:tcPr>
                  <w:tcW w:w="881" w:type="dxa"/>
                  <w:tcBorders>
                    <w:tl2br w:val="nil"/>
                    <w:tr2bl w:val="nil"/>
                  </w:tcBorders>
                  <w:noWrap w:val="0"/>
                  <w:tcMar>
                    <w:top w:w="0" w:type="dxa"/>
                    <w:left w:w="0" w:type="dxa"/>
                    <w:bottom w:w="0" w:type="dxa"/>
                    <w:right w:w="0" w:type="dxa"/>
                  </w:tcMar>
                  <w:vAlign w:val="center"/>
                </w:tcPr>
                <w:p w14:paraId="7EC05944">
                  <w:pPr>
                    <w:adjustRightInd w:val="0"/>
                    <w:snapToGrid w:val="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第一次</w:t>
                  </w:r>
                </w:p>
              </w:tc>
              <w:tc>
                <w:tcPr>
                  <w:tcW w:w="744" w:type="dxa"/>
                  <w:tcBorders>
                    <w:tl2br w:val="nil"/>
                    <w:tr2bl w:val="nil"/>
                  </w:tcBorders>
                  <w:noWrap w:val="0"/>
                  <w:tcMar>
                    <w:top w:w="0" w:type="dxa"/>
                    <w:left w:w="0" w:type="dxa"/>
                    <w:bottom w:w="0" w:type="dxa"/>
                    <w:right w:w="0" w:type="dxa"/>
                  </w:tcMar>
                  <w:vAlign w:val="center"/>
                </w:tcPr>
                <w:p w14:paraId="6C1F7CF6">
                  <w:pPr>
                    <w:adjustRightInd w:val="0"/>
                    <w:snapToGrid w:val="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第二次</w:t>
                  </w:r>
                </w:p>
              </w:tc>
              <w:tc>
                <w:tcPr>
                  <w:tcW w:w="839" w:type="dxa"/>
                  <w:tcBorders>
                    <w:tl2br w:val="nil"/>
                    <w:tr2bl w:val="nil"/>
                  </w:tcBorders>
                  <w:noWrap w:val="0"/>
                  <w:tcMar>
                    <w:top w:w="0" w:type="dxa"/>
                    <w:left w:w="0" w:type="dxa"/>
                    <w:bottom w:w="0" w:type="dxa"/>
                    <w:right w:w="0" w:type="dxa"/>
                  </w:tcMar>
                  <w:vAlign w:val="center"/>
                </w:tcPr>
                <w:p w14:paraId="461C2F1C">
                  <w:pPr>
                    <w:adjustRightInd w:val="0"/>
                    <w:snapToGrid w:val="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第一次</w:t>
                  </w:r>
                </w:p>
              </w:tc>
              <w:tc>
                <w:tcPr>
                  <w:tcW w:w="672" w:type="dxa"/>
                  <w:tcBorders>
                    <w:tl2br w:val="nil"/>
                    <w:tr2bl w:val="nil"/>
                  </w:tcBorders>
                  <w:noWrap w:val="0"/>
                  <w:tcMar>
                    <w:top w:w="0" w:type="dxa"/>
                    <w:left w:w="0" w:type="dxa"/>
                    <w:bottom w:w="0" w:type="dxa"/>
                    <w:right w:w="0" w:type="dxa"/>
                  </w:tcMar>
                  <w:vAlign w:val="center"/>
                </w:tcPr>
                <w:p w14:paraId="2F038160">
                  <w:pPr>
                    <w:adjustRightInd w:val="0"/>
                    <w:snapToGrid w:val="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第二次</w:t>
                  </w:r>
                </w:p>
              </w:tc>
              <w:tc>
                <w:tcPr>
                  <w:tcW w:w="766" w:type="dxa"/>
                  <w:tcBorders>
                    <w:tl2br w:val="nil"/>
                    <w:tr2bl w:val="nil"/>
                  </w:tcBorders>
                  <w:noWrap w:val="0"/>
                  <w:tcMar>
                    <w:top w:w="0" w:type="dxa"/>
                    <w:left w:w="0" w:type="dxa"/>
                    <w:bottom w:w="0" w:type="dxa"/>
                    <w:right w:w="0" w:type="dxa"/>
                  </w:tcMar>
                  <w:vAlign w:val="center"/>
                </w:tcPr>
                <w:p w14:paraId="7003A168">
                  <w:pPr>
                    <w:adjustRightInd w:val="0"/>
                    <w:snapToGrid w:val="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第一次</w:t>
                  </w:r>
                </w:p>
              </w:tc>
              <w:tc>
                <w:tcPr>
                  <w:tcW w:w="777" w:type="dxa"/>
                  <w:tcBorders>
                    <w:tl2br w:val="nil"/>
                    <w:tr2bl w:val="nil"/>
                  </w:tcBorders>
                  <w:noWrap w:val="0"/>
                  <w:tcMar>
                    <w:top w:w="0" w:type="dxa"/>
                    <w:left w:w="0" w:type="dxa"/>
                    <w:bottom w:w="0" w:type="dxa"/>
                    <w:right w:w="0" w:type="dxa"/>
                  </w:tcMar>
                  <w:vAlign w:val="center"/>
                </w:tcPr>
                <w:p w14:paraId="7BA6D8DA">
                  <w:pPr>
                    <w:adjustRightInd w:val="0"/>
                    <w:snapToGrid w:val="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第二次</w:t>
                  </w:r>
                </w:p>
              </w:tc>
              <w:tc>
                <w:tcPr>
                  <w:tcW w:w="525" w:type="dxa"/>
                  <w:vMerge w:val="continue"/>
                  <w:tcBorders>
                    <w:tl2br w:val="nil"/>
                    <w:tr2bl w:val="nil"/>
                  </w:tcBorders>
                  <w:noWrap w:val="0"/>
                  <w:tcMar>
                    <w:top w:w="0" w:type="dxa"/>
                    <w:left w:w="0" w:type="dxa"/>
                    <w:bottom w:w="0" w:type="dxa"/>
                    <w:right w:w="0" w:type="dxa"/>
                  </w:tcMar>
                  <w:vAlign w:val="center"/>
                </w:tcPr>
                <w:p w14:paraId="47D5A5F8">
                  <w:pPr>
                    <w:adjustRightInd w:val="0"/>
                    <w:snapToGrid w:val="0"/>
                    <w:jc w:val="center"/>
                    <w:rPr>
                      <w:rFonts w:hint="default" w:ascii="Times New Roman" w:hAnsi="Times New Roman" w:eastAsia="宋体" w:cs="Times New Roman"/>
                      <w:b/>
                      <w:color w:val="auto"/>
                      <w:sz w:val="21"/>
                      <w:szCs w:val="21"/>
                    </w:rPr>
                  </w:pPr>
                </w:p>
              </w:tc>
              <w:tc>
                <w:tcPr>
                  <w:tcW w:w="518" w:type="dxa"/>
                  <w:vMerge w:val="continue"/>
                  <w:tcBorders>
                    <w:tl2br w:val="nil"/>
                    <w:tr2bl w:val="nil"/>
                  </w:tcBorders>
                  <w:noWrap w:val="0"/>
                  <w:tcMar>
                    <w:top w:w="0" w:type="dxa"/>
                    <w:left w:w="0" w:type="dxa"/>
                    <w:bottom w:w="0" w:type="dxa"/>
                    <w:right w:w="0" w:type="dxa"/>
                  </w:tcMar>
                  <w:vAlign w:val="center"/>
                </w:tcPr>
                <w:p w14:paraId="36757706">
                  <w:pPr>
                    <w:adjustRightInd w:val="0"/>
                    <w:snapToGrid w:val="0"/>
                    <w:jc w:val="center"/>
                    <w:rPr>
                      <w:rFonts w:hint="default" w:ascii="Times New Roman" w:hAnsi="Times New Roman" w:eastAsia="宋体" w:cs="Times New Roman"/>
                      <w:b/>
                      <w:color w:val="auto"/>
                      <w:sz w:val="21"/>
                      <w:szCs w:val="21"/>
                    </w:rPr>
                  </w:pPr>
                </w:p>
              </w:tc>
            </w:tr>
            <w:tr w14:paraId="27E35B24">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1346" w:type="dxa"/>
                  <w:vMerge w:val="restart"/>
                  <w:tcBorders>
                    <w:tl2br w:val="nil"/>
                    <w:tr2bl w:val="nil"/>
                  </w:tcBorders>
                  <w:noWrap w:val="0"/>
                  <w:tcMar>
                    <w:top w:w="0" w:type="dxa"/>
                    <w:left w:w="0" w:type="dxa"/>
                    <w:bottom w:w="0" w:type="dxa"/>
                    <w:right w:w="0" w:type="dxa"/>
                  </w:tcMar>
                  <w:vAlign w:val="center"/>
                </w:tcPr>
                <w:p w14:paraId="54E68A3D">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尧塘河W1</w:t>
                  </w:r>
                  <w:r>
                    <w:rPr>
                      <w:rFonts w:hint="default" w:ascii="Times New Roman" w:hAnsi="Times New Roman" w:eastAsia="宋体" w:cs="Times New Roman"/>
                      <w:color w:val="auto"/>
                      <w:sz w:val="21"/>
                      <w:szCs w:val="21"/>
                      <w:lang w:eastAsia="zh-CN"/>
                    </w:rPr>
                    <w:t>常州金坛区第二污水处理有限公司</w:t>
                  </w:r>
                  <w:r>
                    <w:rPr>
                      <w:rFonts w:hint="default" w:ascii="Times New Roman" w:hAnsi="Times New Roman" w:eastAsia="宋体" w:cs="Times New Roman"/>
                      <w:color w:val="auto"/>
                      <w:sz w:val="21"/>
                      <w:szCs w:val="21"/>
                    </w:rPr>
                    <w:t>排口上游500m</w:t>
                  </w:r>
                </w:p>
              </w:tc>
              <w:tc>
                <w:tcPr>
                  <w:tcW w:w="1154" w:type="dxa"/>
                  <w:tcBorders>
                    <w:tl2br w:val="nil"/>
                    <w:tr2bl w:val="nil"/>
                  </w:tcBorders>
                  <w:noWrap w:val="0"/>
                  <w:tcMar>
                    <w:top w:w="0" w:type="dxa"/>
                    <w:left w:w="0" w:type="dxa"/>
                    <w:bottom w:w="0" w:type="dxa"/>
                    <w:right w:w="0" w:type="dxa"/>
                  </w:tcMar>
                  <w:vAlign w:val="center"/>
                </w:tcPr>
                <w:p w14:paraId="4EBF515E">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pH值</w:t>
                  </w:r>
                </w:p>
              </w:tc>
              <w:tc>
                <w:tcPr>
                  <w:tcW w:w="881" w:type="dxa"/>
                  <w:tcBorders>
                    <w:tl2br w:val="nil"/>
                    <w:tr2bl w:val="nil"/>
                  </w:tcBorders>
                  <w:noWrap w:val="0"/>
                  <w:tcMar>
                    <w:top w:w="0" w:type="dxa"/>
                    <w:left w:w="0" w:type="dxa"/>
                    <w:bottom w:w="0" w:type="dxa"/>
                    <w:right w:w="0" w:type="dxa"/>
                  </w:tcMar>
                  <w:vAlign w:val="center"/>
                </w:tcPr>
                <w:p w14:paraId="4C166058">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8.0</w:t>
                  </w:r>
                </w:p>
              </w:tc>
              <w:tc>
                <w:tcPr>
                  <w:tcW w:w="744" w:type="dxa"/>
                  <w:tcBorders>
                    <w:tl2br w:val="nil"/>
                    <w:tr2bl w:val="nil"/>
                  </w:tcBorders>
                  <w:noWrap w:val="0"/>
                  <w:tcMar>
                    <w:top w:w="0" w:type="dxa"/>
                    <w:left w:w="0" w:type="dxa"/>
                    <w:bottom w:w="0" w:type="dxa"/>
                    <w:right w:w="0" w:type="dxa"/>
                  </w:tcMar>
                  <w:vAlign w:val="center"/>
                </w:tcPr>
                <w:p w14:paraId="03BDF346">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7.9</w:t>
                  </w:r>
                </w:p>
              </w:tc>
              <w:tc>
                <w:tcPr>
                  <w:tcW w:w="839" w:type="dxa"/>
                  <w:tcBorders>
                    <w:tl2br w:val="nil"/>
                    <w:tr2bl w:val="nil"/>
                  </w:tcBorders>
                  <w:noWrap w:val="0"/>
                  <w:tcMar>
                    <w:top w:w="0" w:type="dxa"/>
                    <w:left w:w="0" w:type="dxa"/>
                    <w:bottom w:w="0" w:type="dxa"/>
                    <w:right w:w="0" w:type="dxa"/>
                  </w:tcMar>
                  <w:vAlign w:val="center"/>
                </w:tcPr>
                <w:p w14:paraId="2837FE0E">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8.1</w:t>
                  </w:r>
                </w:p>
              </w:tc>
              <w:tc>
                <w:tcPr>
                  <w:tcW w:w="672" w:type="dxa"/>
                  <w:tcBorders>
                    <w:tl2br w:val="nil"/>
                    <w:tr2bl w:val="nil"/>
                  </w:tcBorders>
                  <w:noWrap w:val="0"/>
                  <w:tcMar>
                    <w:top w:w="0" w:type="dxa"/>
                    <w:left w:w="0" w:type="dxa"/>
                    <w:bottom w:w="0" w:type="dxa"/>
                    <w:right w:w="0" w:type="dxa"/>
                  </w:tcMar>
                  <w:vAlign w:val="center"/>
                </w:tcPr>
                <w:p w14:paraId="43B3554C">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7.9</w:t>
                  </w:r>
                </w:p>
              </w:tc>
              <w:tc>
                <w:tcPr>
                  <w:tcW w:w="766" w:type="dxa"/>
                  <w:tcBorders>
                    <w:tl2br w:val="nil"/>
                    <w:tr2bl w:val="nil"/>
                  </w:tcBorders>
                  <w:noWrap w:val="0"/>
                  <w:tcMar>
                    <w:top w:w="0" w:type="dxa"/>
                    <w:left w:w="0" w:type="dxa"/>
                    <w:bottom w:w="0" w:type="dxa"/>
                    <w:right w:w="0" w:type="dxa"/>
                  </w:tcMar>
                  <w:vAlign w:val="center"/>
                </w:tcPr>
                <w:p w14:paraId="715366CD">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8.1</w:t>
                  </w:r>
                </w:p>
              </w:tc>
              <w:tc>
                <w:tcPr>
                  <w:tcW w:w="777" w:type="dxa"/>
                  <w:tcBorders>
                    <w:tl2br w:val="nil"/>
                    <w:tr2bl w:val="nil"/>
                  </w:tcBorders>
                  <w:noWrap w:val="0"/>
                  <w:tcMar>
                    <w:top w:w="0" w:type="dxa"/>
                    <w:left w:w="0" w:type="dxa"/>
                    <w:bottom w:w="0" w:type="dxa"/>
                    <w:right w:w="0" w:type="dxa"/>
                  </w:tcMar>
                  <w:vAlign w:val="center"/>
                </w:tcPr>
                <w:p w14:paraId="68EFFFC0">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7.8</w:t>
                  </w:r>
                </w:p>
              </w:tc>
              <w:tc>
                <w:tcPr>
                  <w:tcW w:w="525" w:type="dxa"/>
                  <w:tcBorders>
                    <w:tl2br w:val="nil"/>
                    <w:tr2bl w:val="nil"/>
                  </w:tcBorders>
                  <w:noWrap w:val="0"/>
                  <w:tcMar>
                    <w:top w:w="0" w:type="dxa"/>
                    <w:left w:w="0" w:type="dxa"/>
                    <w:bottom w:w="0" w:type="dxa"/>
                    <w:right w:w="0" w:type="dxa"/>
                  </w:tcMar>
                  <w:vAlign w:val="center"/>
                </w:tcPr>
                <w:p w14:paraId="3811F081">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6~9</w:t>
                  </w:r>
                </w:p>
              </w:tc>
              <w:tc>
                <w:tcPr>
                  <w:tcW w:w="518" w:type="dxa"/>
                  <w:tcBorders>
                    <w:tl2br w:val="nil"/>
                    <w:tr2bl w:val="nil"/>
                  </w:tcBorders>
                  <w:noWrap w:val="0"/>
                  <w:tcMar>
                    <w:top w:w="0" w:type="dxa"/>
                    <w:left w:w="0" w:type="dxa"/>
                    <w:bottom w:w="0" w:type="dxa"/>
                    <w:right w:w="0" w:type="dxa"/>
                  </w:tcMar>
                  <w:vAlign w:val="center"/>
                </w:tcPr>
                <w:p w14:paraId="44F09518">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达标</w:t>
                  </w:r>
                </w:p>
              </w:tc>
            </w:tr>
            <w:tr w14:paraId="774CDBE7">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1346" w:type="dxa"/>
                  <w:vMerge w:val="continue"/>
                  <w:tcBorders>
                    <w:tl2br w:val="nil"/>
                    <w:tr2bl w:val="nil"/>
                  </w:tcBorders>
                  <w:noWrap w:val="0"/>
                  <w:tcMar>
                    <w:top w:w="0" w:type="dxa"/>
                    <w:left w:w="0" w:type="dxa"/>
                    <w:bottom w:w="0" w:type="dxa"/>
                    <w:right w:w="0" w:type="dxa"/>
                  </w:tcMar>
                  <w:vAlign w:val="center"/>
                </w:tcPr>
                <w:p w14:paraId="54AFDE0D">
                  <w:pPr>
                    <w:adjustRightInd w:val="0"/>
                    <w:snapToGrid w:val="0"/>
                    <w:jc w:val="center"/>
                    <w:rPr>
                      <w:rFonts w:hint="default" w:ascii="Times New Roman" w:hAnsi="Times New Roman" w:eastAsia="宋体" w:cs="Times New Roman"/>
                      <w:color w:val="auto"/>
                      <w:sz w:val="21"/>
                      <w:szCs w:val="21"/>
                    </w:rPr>
                  </w:pPr>
                </w:p>
              </w:tc>
              <w:tc>
                <w:tcPr>
                  <w:tcW w:w="1154" w:type="dxa"/>
                  <w:tcBorders>
                    <w:tl2br w:val="nil"/>
                    <w:tr2bl w:val="nil"/>
                  </w:tcBorders>
                  <w:noWrap w:val="0"/>
                  <w:tcMar>
                    <w:top w:w="0" w:type="dxa"/>
                    <w:left w:w="0" w:type="dxa"/>
                    <w:bottom w:w="0" w:type="dxa"/>
                    <w:right w:w="0" w:type="dxa"/>
                  </w:tcMar>
                  <w:vAlign w:val="center"/>
                </w:tcPr>
                <w:p w14:paraId="2283F27E">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化学需氧量</w:t>
                  </w:r>
                </w:p>
              </w:tc>
              <w:tc>
                <w:tcPr>
                  <w:tcW w:w="881" w:type="dxa"/>
                  <w:tcBorders>
                    <w:tl2br w:val="nil"/>
                    <w:tr2bl w:val="nil"/>
                  </w:tcBorders>
                  <w:noWrap w:val="0"/>
                  <w:tcMar>
                    <w:top w:w="0" w:type="dxa"/>
                    <w:left w:w="0" w:type="dxa"/>
                    <w:bottom w:w="0" w:type="dxa"/>
                    <w:right w:w="0" w:type="dxa"/>
                  </w:tcMar>
                  <w:vAlign w:val="center"/>
                </w:tcPr>
                <w:p w14:paraId="259035C6">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18</w:t>
                  </w:r>
                </w:p>
              </w:tc>
              <w:tc>
                <w:tcPr>
                  <w:tcW w:w="744" w:type="dxa"/>
                  <w:tcBorders>
                    <w:tl2br w:val="nil"/>
                    <w:tr2bl w:val="nil"/>
                  </w:tcBorders>
                  <w:noWrap w:val="0"/>
                  <w:tcMar>
                    <w:top w:w="0" w:type="dxa"/>
                    <w:left w:w="0" w:type="dxa"/>
                    <w:bottom w:w="0" w:type="dxa"/>
                    <w:right w:w="0" w:type="dxa"/>
                  </w:tcMar>
                  <w:vAlign w:val="center"/>
                </w:tcPr>
                <w:p w14:paraId="57D30457">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16</w:t>
                  </w:r>
                </w:p>
              </w:tc>
              <w:tc>
                <w:tcPr>
                  <w:tcW w:w="839" w:type="dxa"/>
                  <w:tcBorders>
                    <w:tl2br w:val="nil"/>
                    <w:tr2bl w:val="nil"/>
                  </w:tcBorders>
                  <w:noWrap w:val="0"/>
                  <w:tcMar>
                    <w:top w:w="0" w:type="dxa"/>
                    <w:left w:w="0" w:type="dxa"/>
                    <w:bottom w:w="0" w:type="dxa"/>
                    <w:right w:w="0" w:type="dxa"/>
                  </w:tcMar>
                  <w:vAlign w:val="center"/>
                </w:tcPr>
                <w:p w14:paraId="06DE97A3">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17</w:t>
                  </w:r>
                </w:p>
              </w:tc>
              <w:tc>
                <w:tcPr>
                  <w:tcW w:w="672" w:type="dxa"/>
                  <w:tcBorders>
                    <w:tl2br w:val="nil"/>
                    <w:tr2bl w:val="nil"/>
                  </w:tcBorders>
                  <w:noWrap w:val="0"/>
                  <w:tcMar>
                    <w:top w:w="0" w:type="dxa"/>
                    <w:left w:w="0" w:type="dxa"/>
                    <w:bottom w:w="0" w:type="dxa"/>
                    <w:right w:w="0" w:type="dxa"/>
                  </w:tcMar>
                  <w:vAlign w:val="center"/>
                </w:tcPr>
                <w:p w14:paraId="6E87D667">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19</w:t>
                  </w:r>
                </w:p>
              </w:tc>
              <w:tc>
                <w:tcPr>
                  <w:tcW w:w="766" w:type="dxa"/>
                  <w:tcBorders>
                    <w:tl2br w:val="nil"/>
                    <w:tr2bl w:val="nil"/>
                  </w:tcBorders>
                  <w:noWrap w:val="0"/>
                  <w:tcMar>
                    <w:top w:w="0" w:type="dxa"/>
                    <w:left w:w="0" w:type="dxa"/>
                    <w:bottom w:w="0" w:type="dxa"/>
                    <w:right w:w="0" w:type="dxa"/>
                  </w:tcMar>
                  <w:vAlign w:val="center"/>
                </w:tcPr>
                <w:p w14:paraId="5566B056">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18</w:t>
                  </w:r>
                </w:p>
              </w:tc>
              <w:tc>
                <w:tcPr>
                  <w:tcW w:w="777" w:type="dxa"/>
                  <w:tcBorders>
                    <w:tl2br w:val="nil"/>
                    <w:tr2bl w:val="nil"/>
                  </w:tcBorders>
                  <w:noWrap w:val="0"/>
                  <w:tcMar>
                    <w:top w:w="0" w:type="dxa"/>
                    <w:left w:w="0" w:type="dxa"/>
                    <w:bottom w:w="0" w:type="dxa"/>
                    <w:right w:w="0" w:type="dxa"/>
                  </w:tcMar>
                  <w:vAlign w:val="center"/>
                </w:tcPr>
                <w:p w14:paraId="53ECAD1D">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18</w:t>
                  </w:r>
                </w:p>
              </w:tc>
              <w:tc>
                <w:tcPr>
                  <w:tcW w:w="525" w:type="dxa"/>
                  <w:tcBorders>
                    <w:tl2br w:val="nil"/>
                    <w:tr2bl w:val="nil"/>
                  </w:tcBorders>
                  <w:noWrap w:val="0"/>
                  <w:tcMar>
                    <w:top w:w="0" w:type="dxa"/>
                    <w:left w:w="0" w:type="dxa"/>
                    <w:bottom w:w="0" w:type="dxa"/>
                    <w:right w:w="0" w:type="dxa"/>
                  </w:tcMar>
                  <w:vAlign w:val="center"/>
                </w:tcPr>
                <w:p w14:paraId="706DE641">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20</w:t>
                  </w:r>
                </w:p>
              </w:tc>
              <w:tc>
                <w:tcPr>
                  <w:tcW w:w="518" w:type="dxa"/>
                  <w:tcBorders>
                    <w:tl2br w:val="nil"/>
                    <w:tr2bl w:val="nil"/>
                  </w:tcBorders>
                  <w:noWrap w:val="0"/>
                  <w:tcMar>
                    <w:top w:w="0" w:type="dxa"/>
                    <w:left w:w="0" w:type="dxa"/>
                    <w:bottom w:w="0" w:type="dxa"/>
                    <w:right w:w="0" w:type="dxa"/>
                  </w:tcMar>
                  <w:vAlign w:val="center"/>
                </w:tcPr>
                <w:p w14:paraId="589DB7DB">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达标</w:t>
                  </w:r>
                </w:p>
              </w:tc>
            </w:tr>
            <w:tr w14:paraId="3F71D065">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1346" w:type="dxa"/>
                  <w:vMerge w:val="continue"/>
                  <w:tcBorders>
                    <w:tl2br w:val="nil"/>
                    <w:tr2bl w:val="nil"/>
                  </w:tcBorders>
                  <w:noWrap w:val="0"/>
                  <w:tcMar>
                    <w:top w:w="0" w:type="dxa"/>
                    <w:left w:w="0" w:type="dxa"/>
                    <w:bottom w:w="0" w:type="dxa"/>
                    <w:right w:w="0" w:type="dxa"/>
                  </w:tcMar>
                  <w:vAlign w:val="center"/>
                </w:tcPr>
                <w:p w14:paraId="09BCA90D">
                  <w:pPr>
                    <w:adjustRightInd w:val="0"/>
                    <w:snapToGrid w:val="0"/>
                    <w:jc w:val="center"/>
                    <w:rPr>
                      <w:rFonts w:hint="default" w:ascii="Times New Roman" w:hAnsi="Times New Roman" w:eastAsia="宋体" w:cs="Times New Roman"/>
                      <w:color w:val="auto"/>
                      <w:sz w:val="21"/>
                      <w:szCs w:val="21"/>
                    </w:rPr>
                  </w:pPr>
                </w:p>
              </w:tc>
              <w:tc>
                <w:tcPr>
                  <w:tcW w:w="1154" w:type="dxa"/>
                  <w:tcBorders>
                    <w:tl2br w:val="nil"/>
                    <w:tr2bl w:val="nil"/>
                  </w:tcBorders>
                  <w:noWrap w:val="0"/>
                  <w:tcMar>
                    <w:top w:w="0" w:type="dxa"/>
                    <w:left w:w="0" w:type="dxa"/>
                    <w:bottom w:w="0" w:type="dxa"/>
                    <w:right w:w="0" w:type="dxa"/>
                  </w:tcMar>
                  <w:vAlign w:val="center"/>
                </w:tcPr>
                <w:p w14:paraId="103EFA19">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氨氮</w:t>
                  </w:r>
                </w:p>
              </w:tc>
              <w:tc>
                <w:tcPr>
                  <w:tcW w:w="881" w:type="dxa"/>
                  <w:tcBorders>
                    <w:tl2br w:val="nil"/>
                    <w:tr2bl w:val="nil"/>
                  </w:tcBorders>
                  <w:noWrap w:val="0"/>
                  <w:tcMar>
                    <w:top w:w="0" w:type="dxa"/>
                    <w:left w:w="0" w:type="dxa"/>
                    <w:bottom w:w="0" w:type="dxa"/>
                    <w:right w:w="0" w:type="dxa"/>
                  </w:tcMar>
                  <w:vAlign w:val="center"/>
                </w:tcPr>
                <w:p w14:paraId="05D023C3">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0.35</w:t>
                  </w:r>
                </w:p>
              </w:tc>
              <w:tc>
                <w:tcPr>
                  <w:tcW w:w="744" w:type="dxa"/>
                  <w:tcBorders>
                    <w:tl2br w:val="nil"/>
                    <w:tr2bl w:val="nil"/>
                  </w:tcBorders>
                  <w:noWrap w:val="0"/>
                  <w:tcMar>
                    <w:top w:w="0" w:type="dxa"/>
                    <w:left w:w="0" w:type="dxa"/>
                    <w:bottom w:w="0" w:type="dxa"/>
                    <w:right w:w="0" w:type="dxa"/>
                  </w:tcMar>
                  <w:vAlign w:val="center"/>
                </w:tcPr>
                <w:p w14:paraId="5360AF50">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0.149</w:t>
                  </w:r>
                </w:p>
              </w:tc>
              <w:tc>
                <w:tcPr>
                  <w:tcW w:w="839" w:type="dxa"/>
                  <w:tcBorders>
                    <w:tl2br w:val="nil"/>
                    <w:tr2bl w:val="nil"/>
                  </w:tcBorders>
                  <w:noWrap w:val="0"/>
                  <w:tcMar>
                    <w:top w:w="0" w:type="dxa"/>
                    <w:left w:w="0" w:type="dxa"/>
                    <w:bottom w:w="0" w:type="dxa"/>
                    <w:right w:w="0" w:type="dxa"/>
                  </w:tcMar>
                  <w:vAlign w:val="center"/>
                </w:tcPr>
                <w:p w14:paraId="78277FFA">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0.263</w:t>
                  </w:r>
                </w:p>
              </w:tc>
              <w:tc>
                <w:tcPr>
                  <w:tcW w:w="672" w:type="dxa"/>
                  <w:tcBorders>
                    <w:tl2br w:val="nil"/>
                    <w:tr2bl w:val="nil"/>
                  </w:tcBorders>
                  <w:noWrap w:val="0"/>
                  <w:tcMar>
                    <w:top w:w="0" w:type="dxa"/>
                    <w:left w:w="0" w:type="dxa"/>
                    <w:bottom w:w="0" w:type="dxa"/>
                    <w:right w:w="0" w:type="dxa"/>
                  </w:tcMar>
                  <w:vAlign w:val="center"/>
                </w:tcPr>
                <w:p w14:paraId="23ED53C7">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0.291</w:t>
                  </w:r>
                </w:p>
              </w:tc>
              <w:tc>
                <w:tcPr>
                  <w:tcW w:w="766" w:type="dxa"/>
                  <w:tcBorders>
                    <w:tl2br w:val="nil"/>
                    <w:tr2bl w:val="nil"/>
                  </w:tcBorders>
                  <w:noWrap w:val="0"/>
                  <w:tcMar>
                    <w:top w:w="0" w:type="dxa"/>
                    <w:left w:w="0" w:type="dxa"/>
                    <w:bottom w:w="0" w:type="dxa"/>
                    <w:right w:w="0" w:type="dxa"/>
                  </w:tcMar>
                  <w:vAlign w:val="center"/>
                </w:tcPr>
                <w:p w14:paraId="3E4AA736">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0.163</w:t>
                  </w:r>
                </w:p>
              </w:tc>
              <w:tc>
                <w:tcPr>
                  <w:tcW w:w="777" w:type="dxa"/>
                  <w:tcBorders>
                    <w:tl2br w:val="nil"/>
                    <w:tr2bl w:val="nil"/>
                  </w:tcBorders>
                  <w:noWrap w:val="0"/>
                  <w:tcMar>
                    <w:top w:w="0" w:type="dxa"/>
                    <w:left w:w="0" w:type="dxa"/>
                    <w:bottom w:w="0" w:type="dxa"/>
                    <w:right w:w="0" w:type="dxa"/>
                  </w:tcMar>
                  <w:vAlign w:val="center"/>
                </w:tcPr>
                <w:p w14:paraId="77DD613A">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0.257</w:t>
                  </w:r>
                </w:p>
              </w:tc>
              <w:tc>
                <w:tcPr>
                  <w:tcW w:w="525" w:type="dxa"/>
                  <w:tcBorders>
                    <w:tl2br w:val="nil"/>
                    <w:tr2bl w:val="nil"/>
                  </w:tcBorders>
                  <w:noWrap w:val="0"/>
                  <w:tcMar>
                    <w:top w:w="0" w:type="dxa"/>
                    <w:left w:w="0" w:type="dxa"/>
                    <w:bottom w:w="0" w:type="dxa"/>
                    <w:right w:w="0" w:type="dxa"/>
                  </w:tcMar>
                  <w:vAlign w:val="center"/>
                </w:tcPr>
                <w:p w14:paraId="1EA7D8CC">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1.0</w:t>
                  </w:r>
                </w:p>
              </w:tc>
              <w:tc>
                <w:tcPr>
                  <w:tcW w:w="518" w:type="dxa"/>
                  <w:tcBorders>
                    <w:tl2br w:val="nil"/>
                    <w:tr2bl w:val="nil"/>
                  </w:tcBorders>
                  <w:noWrap w:val="0"/>
                  <w:tcMar>
                    <w:top w:w="0" w:type="dxa"/>
                    <w:left w:w="0" w:type="dxa"/>
                    <w:bottom w:w="0" w:type="dxa"/>
                    <w:right w:w="0" w:type="dxa"/>
                  </w:tcMar>
                  <w:vAlign w:val="center"/>
                </w:tcPr>
                <w:p w14:paraId="01C917E6">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达标</w:t>
                  </w:r>
                </w:p>
              </w:tc>
            </w:tr>
            <w:tr w14:paraId="7F6DAA48">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1346" w:type="dxa"/>
                  <w:vMerge w:val="continue"/>
                  <w:tcBorders>
                    <w:tl2br w:val="nil"/>
                    <w:tr2bl w:val="nil"/>
                  </w:tcBorders>
                  <w:noWrap w:val="0"/>
                  <w:tcMar>
                    <w:top w:w="0" w:type="dxa"/>
                    <w:left w:w="0" w:type="dxa"/>
                    <w:bottom w:w="0" w:type="dxa"/>
                    <w:right w:w="0" w:type="dxa"/>
                  </w:tcMar>
                  <w:vAlign w:val="center"/>
                </w:tcPr>
                <w:p w14:paraId="2AC9625A">
                  <w:pPr>
                    <w:adjustRightInd w:val="0"/>
                    <w:snapToGrid w:val="0"/>
                    <w:jc w:val="center"/>
                    <w:rPr>
                      <w:rFonts w:hint="default" w:ascii="Times New Roman" w:hAnsi="Times New Roman" w:eastAsia="宋体" w:cs="Times New Roman"/>
                      <w:color w:val="auto"/>
                      <w:sz w:val="21"/>
                      <w:szCs w:val="21"/>
                    </w:rPr>
                  </w:pPr>
                </w:p>
              </w:tc>
              <w:tc>
                <w:tcPr>
                  <w:tcW w:w="1154" w:type="dxa"/>
                  <w:tcBorders>
                    <w:tl2br w:val="nil"/>
                    <w:tr2bl w:val="nil"/>
                  </w:tcBorders>
                  <w:noWrap w:val="0"/>
                  <w:tcMar>
                    <w:top w:w="0" w:type="dxa"/>
                    <w:left w:w="0" w:type="dxa"/>
                    <w:bottom w:w="0" w:type="dxa"/>
                    <w:right w:w="0" w:type="dxa"/>
                  </w:tcMar>
                  <w:vAlign w:val="center"/>
                </w:tcPr>
                <w:p w14:paraId="57F8110E">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总磷</w:t>
                  </w:r>
                </w:p>
              </w:tc>
              <w:tc>
                <w:tcPr>
                  <w:tcW w:w="881" w:type="dxa"/>
                  <w:tcBorders>
                    <w:tl2br w:val="nil"/>
                    <w:tr2bl w:val="nil"/>
                  </w:tcBorders>
                  <w:noWrap w:val="0"/>
                  <w:tcMar>
                    <w:top w:w="0" w:type="dxa"/>
                    <w:left w:w="0" w:type="dxa"/>
                    <w:bottom w:w="0" w:type="dxa"/>
                    <w:right w:w="0" w:type="dxa"/>
                  </w:tcMar>
                  <w:vAlign w:val="center"/>
                </w:tcPr>
                <w:p w14:paraId="03057E7A">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0.08</w:t>
                  </w:r>
                </w:p>
              </w:tc>
              <w:tc>
                <w:tcPr>
                  <w:tcW w:w="744" w:type="dxa"/>
                  <w:tcBorders>
                    <w:tl2br w:val="nil"/>
                    <w:tr2bl w:val="nil"/>
                  </w:tcBorders>
                  <w:noWrap w:val="0"/>
                  <w:tcMar>
                    <w:top w:w="0" w:type="dxa"/>
                    <w:left w:w="0" w:type="dxa"/>
                    <w:bottom w:w="0" w:type="dxa"/>
                    <w:right w:w="0" w:type="dxa"/>
                  </w:tcMar>
                  <w:vAlign w:val="center"/>
                </w:tcPr>
                <w:p w14:paraId="49B3FD46">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0.08</w:t>
                  </w:r>
                </w:p>
              </w:tc>
              <w:tc>
                <w:tcPr>
                  <w:tcW w:w="839" w:type="dxa"/>
                  <w:tcBorders>
                    <w:tl2br w:val="nil"/>
                    <w:tr2bl w:val="nil"/>
                  </w:tcBorders>
                  <w:noWrap w:val="0"/>
                  <w:tcMar>
                    <w:top w:w="0" w:type="dxa"/>
                    <w:left w:w="0" w:type="dxa"/>
                    <w:bottom w:w="0" w:type="dxa"/>
                    <w:right w:w="0" w:type="dxa"/>
                  </w:tcMar>
                  <w:vAlign w:val="center"/>
                </w:tcPr>
                <w:p w14:paraId="3EE9AA38">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0.08</w:t>
                  </w:r>
                </w:p>
              </w:tc>
              <w:tc>
                <w:tcPr>
                  <w:tcW w:w="672" w:type="dxa"/>
                  <w:tcBorders>
                    <w:tl2br w:val="nil"/>
                    <w:tr2bl w:val="nil"/>
                  </w:tcBorders>
                  <w:noWrap w:val="0"/>
                  <w:tcMar>
                    <w:top w:w="0" w:type="dxa"/>
                    <w:left w:w="0" w:type="dxa"/>
                    <w:bottom w:w="0" w:type="dxa"/>
                    <w:right w:w="0" w:type="dxa"/>
                  </w:tcMar>
                  <w:vAlign w:val="center"/>
                </w:tcPr>
                <w:p w14:paraId="43F717BF">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0.09</w:t>
                  </w:r>
                </w:p>
              </w:tc>
              <w:tc>
                <w:tcPr>
                  <w:tcW w:w="766" w:type="dxa"/>
                  <w:tcBorders>
                    <w:tl2br w:val="nil"/>
                    <w:tr2bl w:val="nil"/>
                  </w:tcBorders>
                  <w:noWrap w:val="0"/>
                  <w:tcMar>
                    <w:top w:w="0" w:type="dxa"/>
                    <w:left w:w="0" w:type="dxa"/>
                    <w:bottom w:w="0" w:type="dxa"/>
                    <w:right w:w="0" w:type="dxa"/>
                  </w:tcMar>
                  <w:vAlign w:val="center"/>
                </w:tcPr>
                <w:p w14:paraId="2569FA76">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0.09</w:t>
                  </w:r>
                </w:p>
              </w:tc>
              <w:tc>
                <w:tcPr>
                  <w:tcW w:w="777" w:type="dxa"/>
                  <w:tcBorders>
                    <w:tl2br w:val="nil"/>
                    <w:tr2bl w:val="nil"/>
                  </w:tcBorders>
                  <w:noWrap w:val="0"/>
                  <w:tcMar>
                    <w:top w:w="0" w:type="dxa"/>
                    <w:left w:w="0" w:type="dxa"/>
                    <w:bottom w:w="0" w:type="dxa"/>
                    <w:right w:w="0" w:type="dxa"/>
                  </w:tcMar>
                  <w:vAlign w:val="center"/>
                </w:tcPr>
                <w:p w14:paraId="4DAEE04E">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0.09</w:t>
                  </w:r>
                </w:p>
              </w:tc>
              <w:tc>
                <w:tcPr>
                  <w:tcW w:w="525" w:type="dxa"/>
                  <w:tcBorders>
                    <w:tl2br w:val="nil"/>
                    <w:tr2bl w:val="nil"/>
                  </w:tcBorders>
                  <w:noWrap w:val="0"/>
                  <w:tcMar>
                    <w:top w:w="0" w:type="dxa"/>
                    <w:left w:w="0" w:type="dxa"/>
                    <w:bottom w:w="0" w:type="dxa"/>
                    <w:right w:w="0" w:type="dxa"/>
                  </w:tcMar>
                  <w:vAlign w:val="center"/>
                </w:tcPr>
                <w:p w14:paraId="2C178044">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0.2</w:t>
                  </w:r>
                </w:p>
              </w:tc>
              <w:tc>
                <w:tcPr>
                  <w:tcW w:w="518" w:type="dxa"/>
                  <w:tcBorders>
                    <w:tl2br w:val="nil"/>
                    <w:tr2bl w:val="nil"/>
                  </w:tcBorders>
                  <w:noWrap w:val="0"/>
                  <w:tcMar>
                    <w:top w:w="0" w:type="dxa"/>
                    <w:left w:w="0" w:type="dxa"/>
                    <w:bottom w:w="0" w:type="dxa"/>
                    <w:right w:w="0" w:type="dxa"/>
                  </w:tcMar>
                  <w:vAlign w:val="center"/>
                </w:tcPr>
                <w:p w14:paraId="63CDC503">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达标</w:t>
                  </w:r>
                </w:p>
              </w:tc>
            </w:tr>
            <w:tr w14:paraId="6648AA34">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1346" w:type="dxa"/>
                  <w:vMerge w:val="restart"/>
                  <w:tcBorders>
                    <w:tl2br w:val="nil"/>
                    <w:tr2bl w:val="nil"/>
                  </w:tcBorders>
                  <w:noWrap w:val="0"/>
                  <w:tcMar>
                    <w:top w:w="0" w:type="dxa"/>
                    <w:left w:w="0" w:type="dxa"/>
                    <w:bottom w:w="0" w:type="dxa"/>
                    <w:right w:w="0" w:type="dxa"/>
                  </w:tcMar>
                  <w:vAlign w:val="center"/>
                </w:tcPr>
                <w:p w14:paraId="45DB83D2">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尧塘河W2</w:t>
                  </w:r>
                  <w:r>
                    <w:rPr>
                      <w:rFonts w:hint="default" w:ascii="Times New Roman" w:hAnsi="Times New Roman" w:eastAsia="宋体" w:cs="Times New Roman"/>
                      <w:color w:val="auto"/>
                      <w:sz w:val="21"/>
                      <w:szCs w:val="21"/>
                      <w:lang w:eastAsia="zh-CN"/>
                    </w:rPr>
                    <w:t>常州金坛区第二污水处理有限公司</w:t>
                  </w:r>
                  <w:r>
                    <w:rPr>
                      <w:rFonts w:hint="default" w:ascii="Times New Roman" w:hAnsi="Times New Roman" w:eastAsia="宋体" w:cs="Times New Roman"/>
                      <w:color w:val="auto"/>
                      <w:sz w:val="21"/>
                      <w:szCs w:val="21"/>
                    </w:rPr>
                    <w:t>排口下游2000m</w:t>
                  </w:r>
                </w:p>
              </w:tc>
              <w:tc>
                <w:tcPr>
                  <w:tcW w:w="1154" w:type="dxa"/>
                  <w:tcBorders>
                    <w:tl2br w:val="nil"/>
                    <w:tr2bl w:val="nil"/>
                  </w:tcBorders>
                  <w:noWrap w:val="0"/>
                  <w:tcMar>
                    <w:top w:w="0" w:type="dxa"/>
                    <w:left w:w="0" w:type="dxa"/>
                    <w:bottom w:w="0" w:type="dxa"/>
                    <w:right w:w="0" w:type="dxa"/>
                  </w:tcMar>
                  <w:vAlign w:val="center"/>
                </w:tcPr>
                <w:p w14:paraId="5CFB76EF">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pH值</w:t>
                  </w:r>
                </w:p>
              </w:tc>
              <w:tc>
                <w:tcPr>
                  <w:tcW w:w="881" w:type="dxa"/>
                  <w:tcBorders>
                    <w:tl2br w:val="nil"/>
                    <w:tr2bl w:val="nil"/>
                  </w:tcBorders>
                  <w:noWrap w:val="0"/>
                  <w:tcMar>
                    <w:top w:w="0" w:type="dxa"/>
                    <w:left w:w="0" w:type="dxa"/>
                    <w:bottom w:w="0" w:type="dxa"/>
                    <w:right w:w="0" w:type="dxa"/>
                  </w:tcMar>
                  <w:vAlign w:val="center"/>
                </w:tcPr>
                <w:p w14:paraId="03746B6E">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7.8</w:t>
                  </w:r>
                </w:p>
              </w:tc>
              <w:tc>
                <w:tcPr>
                  <w:tcW w:w="744" w:type="dxa"/>
                  <w:tcBorders>
                    <w:tl2br w:val="nil"/>
                    <w:tr2bl w:val="nil"/>
                  </w:tcBorders>
                  <w:noWrap w:val="0"/>
                  <w:tcMar>
                    <w:top w:w="0" w:type="dxa"/>
                    <w:left w:w="0" w:type="dxa"/>
                    <w:bottom w:w="0" w:type="dxa"/>
                    <w:right w:w="0" w:type="dxa"/>
                  </w:tcMar>
                  <w:vAlign w:val="center"/>
                </w:tcPr>
                <w:p w14:paraId="0E11B1EF">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7.7</w:t>
                  </w:r>
                </w:p>
              </w:tc>
              <w:tc>
                <w:tcPr>
                  <w:tcW w:w="839" w:type="dxa"/>
                  <w:tcBorders>
                    <w:tl2br w:val="nil"/>
                    <w:tr2bl w:val="nil"/>
                  </w:tcBorders>
                  <w:noWrap w:val="0"/>
                  <w:tcMar>
                    <w:top w:w="0" w:type="dxa"/>
                    <w:left w:w="0" w:type="dxa"/>
                    <w:bottom w:w="0" w:type="dxa"/>
                    <w:right w:w="0" w:type="dxa"/>
                  </w:tcMar>
                  <w:vAlign w:val="center"/>
                </w:tcPr>
                <w:p w14:paraId="2995BBCE">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7.7</w:t>
                  </w:r>
                </w:p>
              </w:tc>
              <w:tc>
                <w:tcPr>
                  <w:tcW w:w="672" w:type="dxa"/>
                  <w:tcBorders>
                    <w:tl2br w:val="nil"/>
                    <w:tr2bl w:val="nil"/>
                  </w:tcBorders>
                  <w:noWrap w:val="0"/>
                  <w:tcMar>
                    <w:top w:w="0" w:type="dxa"/>
                    <w:left w:w="0" w:type="dxa"/>
                    <w:bottom w:w="0" w:type="dxa"/>
                    <w:right w:w="0" w:type="dxa"/>
                  </w:tcMar>
                  <w:vAlign w:val="center"/>
                </w:tcPr>
                <w:p w14:paraId="408A63D0">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7.8</w:t>
                  </w:r>
                </w:p>
              </w:tc>
              <w:tc>
                <w:tcPr>
                  <w:tcW w:w="766" w:type="dxa"/>
                  <w:tcBorders>
                    <w:tl2br w:val="nil"/>
                    <w:tr2bl w:val="nil"/>
                  </w:tcBorders>
                  <w:noWrap w:val="0"/>
                  <w:tcMar>
                    <w:top w:w="0" w:type="dxa"/>
                    <w:left w:w="0" w:type="dxa"/>
                    <w:bottom w:w="0" w:type="dxa"/>
                    <w:right w:w="0" w:type="dxa"/>
                  </w:tcMar>
                  <w:vAlign w:val="center"/>
                </w:tcPr>
                <w:p w14:paraId="56F5B5BB">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7.8</w:t>
                  </w:r>
                </w:p>
              </w:tc>
              <w:tc>
                <w:tcPr>
                  <w:tcW w:w="777" w:type="dxa"/>
                  <w:tcBorders>
                    <w:tl2br w:val="nil"/>
                    <w:tr2bl w:val="nil"/>
                  </w:tcBorders>
                  <w:noWrap w:val="0"/>
                  <w:tcMar>
                    <w:top w:w="0" w:type="dxa"/>
                    <w:left w:w="0" w:type="dxa"/>
                    <w:bottom w:w="0" w:type="dxa"/>
                    <w:right w:w="0" w:type="dxa"/>
                  </w:tcMar>
                  <w:vAlign w:val="center"/>
                </w:tcPr>
                <w:p w14:paraId="22262EB4">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8.0</w:t>
                  </w:r>
                </w:p>
              </w:tc>
              <w:tc>
                <w:tcPr>
                  <w:tcW w:w="525" w:type="dxa"/>
                  <w:tcBorders>
                    <w:tl2br w:val="nil"/>
                    <w:tr2bl w:val="nil"/>
                  </w:tcBorders>
                  <w:noWrap w:val="0"/>
                  <w:tcMar>
                    <w:top w:w="0" w:type="dxa"/>
                    <w:left w:w="0" w:type="dxa"/>
                    <w:bottom w:w="0" w:type="dxa"/>
                    <w:right w:w="0" w:type="dxa"/>
                  </w:tcMar>
                  <w:vAlign w:val="center"/>
                </w:tcPr>
                <w:p w14:paraId="368CA2EF">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6~9</w:t>
                  </w:r>
                </w:p>
              </w:tc>
              <w:tc>
                <w:tcPr>
                  <w:tcW w:w="518" w:type="dxa"/>
                  <w:tcBorders>
                    <w:tl2br w:val="nil"/>
                    <w:tr2bl w:val="nil"/>
                  </w:tcBorders>
                  <w:noWrap w:val="0"/>
                  <w:tcMar>
                    <w:top w:w="0" w:type="dxa"/>
                    <w:left w:w="0" w:type="dxa"/>
                    <w:bottom w:w="0" w:type="dxa"/>
                    <w:right w:w="0" w:type="dxa"/>
                  </w:tcMar>
                  <w:vAlign w:val="center"/>
                </w:tcPr>
                <w:p w14:paraId="1EB2688C">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达标</w:t>
                  </w:r>
                </w:p>
              </w:tc>
            </w:tr>
            <w:tr w14:paraId="0022EE86">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1346" w:type="dxa"/>
                  <w:vMerge w:val="continue"/>
                  <w:tcBorders>
                    <w:tl2br w:val="nil"/>
                    <w:tr2bl w:val="nil"/>
                  </w:tcBorders>
                  <w:noWrap w:val="0"/>
                  <w:tcMar>
                    <w:top w:w="0" w:type="dxa"/>
                    <w:left w:w="0" w:type="dxa"/>
                    <w:bottom w:w="0" w:type="dxa"/>
                    <w:right w:w="0" w:type="dxa"/>
                  </w:tcMar>
                  <w:vAlign w:val="center"/>
                </w:tcPr>
                <w:p w14:paraId="01FC0322">
                  <w:pPr>
                    <w:adjustRightInd w:val="0"/>
                    <w:snapToGrid w:val="0"/>
                    <w:jc w:val="center"/>
                    <w:rPr>
                      <w:rFonts w:hint="default" w:ascii="Times New Roman" w:hAnsi="Times New Roman" w:eastAsia="宋体" w:cs="Times New Roman"/>
                      <w:color w:val="auto"/>
                      <w:sz w:val="21"/>
                      <w:szCs w:val="21"/>
                    </w:rPr>
                  </w:pPr>
                </w:p>
              </w:tc>
              <w:tc>
                <w:tcPr>
                  <w:tcW w:w="1154" w:type="dxa"/>
                  <w:tcBorders>
                    <w:tl2br w:val="nil"/>
                    <w:tr2bl w:val="nil"/>
                  </w:tcBorders>
                  <w:noWrap w:val="0"/>
                  <w:tcMar>
                    <w:top w:w="0" w:type="dxa"/>
                    <w:left w:w="0" w:type="dxa"/>
                    <w:bottom w:w="0" w:type="dxa"/>
                    <w:right w:w="0" w:type="dxa"/>
                  </w:tcMar>
                  <w:vAlign w:val="center"/>
                </w:tcPr>
                <w:p w14:paraId="669D9EBF">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化学需氧量</w:t>
                  </w:r>
                </w:p>
              </w:tc>
              <w:tc>
                <w:tcPr>
                  <w:tcW w:w="881" w:type="dxa"/>
                  <w:tcBorders>
                    <w:tl2br w:val="nil"/>
                    <w:tr2bl w:val="nil"/>
                  </w:tcBorders>
                  <w:noWrap w:val="0"/>
                  <w:tcMar>
                    <w:top w:w="0" w:type="dxa"/>
                    <w:left w:w="0" w:type="dxa"/>
                    <w:bottom w:w="0" w:type="dxa"/>
                    <w:right w:w="0" w:type="dxa"/>
                  </w:tcMar>
                  <w:vAlign w:val="center"/>
                </w:tcPr>
                <w:p w14:paraId="79471849">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15</w:t>
                  </w:r>
                </w:p>
              </w:tc>
              <w:tc>
                <w:tcPr>
                  <w:tcW w:w="744" w:type="dxa"/>
                  <w:tcBorders>
                    <w:tl2br w:val="nil"/>
                    <w:tr2bl w:val="nil"/>
                  </w:tcBorders>
                  <w:noWrap w:val="0"/>
                  <w:tcMar>
                    <w:top w:w="0" w:type="dxa"/>
                    <w:left w:w="0" w:type="dxa"/>
                    <w:bottom w:w="0" w:type="dxa"/>
                    <w:right w:w="0" w:type="dxa"/>
                  </w:tcMar>
                  <w:vAlign w:val="center"/>
                </w:tcPr>
                <w:p w14:paraId="3497BC83">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14</w:t>
                  </w:r>
                </w:p>
              </w:tc>
              <w:tc>
                <w:tcPr>
                  <w:tcW w:w="839" w:type="dxa"/>
                  <w:tcBorders>
                    <w:tl2br w:val="nil"/>
                    <w:tr2bl w:val="nil"/>
                  </w:tcBorders>
                  <w:noWrap w:val="0"/>
                  <w:tcMar>
                    <w:top w:w="0" w:type="dxa"/>
                    <w:left w:w="0" w:type="dxa"/>
                    <w:bottom w:w="0" w:type="dxa"/>
                    <w:right w:w="0" w:type="dxa"/>
                  </w:tcMar>
                  <w:vAlign w:val="center"/>
                </w:tcPr>
                <w:p w14:paraId="10CD5321">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15</w:t>
                  </w:r>
                </w:p>
              </w:tc>
              <w:tc>
                <w:tcPr>
                  <w:tcW w:w="672" w:type="dxa"/>
                  <w:tcBorders>
                    <w:tl2br w:val="nil"/>
                    <w:tr2bl w:val="nil"/>
                  </w:tcBorders>
                  <w:noWrap w:val="0"/>
                  <w:tcMar>
                    <w:top w:w="0" w:type="dxa"/>
                    <w:left w:w="0" w:type="dxa"/>
                    <w:bottom w:w="0" w:type="dxa"/>
                    <w:right w:w="0" w:type="dxa"/>
                  </w:tcMar>
                  <w:vAlign w:val="center"/>
                </w:tcPr>
                <w:p w14:paraId="6343A128">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17</w:t>
                  </w:r>
                </w:p>
              </w:tc>
              <w:tc>
                <w:tcPr>
                  <w:tcW w:w="766" w:type="dxa"/>
                  <w:tcBorders>
                    <w:tl2br w:val="nil"/>
                    <w:tr2bl w:val="nil"/>
                  </w:tcBorders>
                  <w:noWrap w:val="0"/>
                  <w:tcMar>
                    <w:top w:w="0" w:type="dxa"/>
                    <w:left w:w="0" w:type="dxa"/>
                    <w:bottom w:w="0" w:type="dxa"/>
                    <w:right w:w="0" w:type="dxa"/>
                  </w:tcMar>
                  <w:vAlign w:val="center"/>
                </w:tcPr>
                <w:p w14:paraId="124B5624">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17</w:t>
                  </w:r>
                </w:p>
              </w:tc>
              <w:tc>
                <w:tcPr>
                  <w:tcW w:w="777" w:type="dxa"/>
                  <w:tcBorders>
                    <w:tl2br w:val="nil"/>
                    <w:tr2bl w:val="nil"/>
                  </w:tcBorders>
                  <w:noWrap w:val="0"/>
                  <w:tcMar>
                    <w:top w:w="0" w:type="dxa"/>
                    <w:left w:w="0" w:type="dxa"/>
                    <w:bottom w:w="0" w:type="dxa"/>
                    <w:right w:w="0" w:type="dxa"/>
                  </w:tcMar>
                  <w:vAlign w:val="center"/>
                </w:tcPr>
                <w:p w14:paraId="21DA2AC8">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15</w:t>
                  </w:r>
                </w:p>
              </w:tc>
              <w:tc>
                <w:tcPr>
                  <w:tcW w:w="525" w:type="dxa"/>
                  <w:tcBorders>
                    <w:tl2br w:val="nil"/>
                    <w:tr2bl w:val="nil"/>
                  </w:tcBorders>
                  <w:noWrap w:val="0"/>
                  <w:tcMar>
                    <w:top w:w="0" w:type="dxa"/>
                    <w:left w:w="0" w:type="dxa"/>
                    <w:bottom w:w="0" w:type="dxa"/>
                    <w:right w:w="0" w:type="dxa"/>
                  </w:tcMar>
                  <w:vAlign w:val="center"/>
                </w:tcPr>
                <w:p w14:paraId="799A849A">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20</w:t>
                  </w:r>
                </w:p>
              </w:tc>
              <w:tc>
                <w:tcPr>
                  <w:tcW w:w="518" w:type="dxa"/>
                  <w:tcBorders>
                    <w:tl2br w:val="nil"/>
                    <w:tr2bl w:val="nil"/>
                  </w:tcBorders>
                  <w:noWrap w:val="0"/>
                  <w:tcMar>
                    <w:top w:w="0" w:type="dxa"/>
                    <w:left w:w="0" w:type="dxa"/>
                    <w:bottom w:w="0" w:type="dxa"/>
                    <w:right w:w="0" w:type="dxa"/>
                  </w:tcMar>
                  <w:vAlign w:val="center"/>
                </w:tcPr>
                <w:p w14:paraId="6FFDC614">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达标</w:t>
                  </w:r>
                </w:p>
              </w:tc>
            </w:tr>
            <w:tr w14:paraId="3D35A5E0">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1346" w:type="dxa"/>
                  <w:vMerge w:val="continue"/>
                  <w:tcBorders>
                    <w:tl2br w:val="nil"/>
                    <w:tr2bl w:val="nil"/>
                  </w:tcBorders>
                  <w:noWrap w:val="0"/>
                  <w:tcMar>
                    <w:top w:w="0" w:type="dxa"/>
                    <w:left w:w="0" w:type="dxa"/>
                    <w:bottom w:w="0" w:type="dxa"/>
                    <w:right w:w="0" w:type="dxa"/>
                  </w:tcMar>
                  <w:vAlign w:val="center"/>
                </w:tcPr>
                <w:p w14:paraId="73DDB681">
                  <w:pPr>
                    <w:adjustRightInd w:val="0"/>
                    <w:snapToGrid w:val="0"/>
                    <w:jc w:val="center"/>
                    <w:rPr>
                      <w:rFonts w:hint="default" w:ascii="Times New Roman" w:hAnsi="Times New Roman" w:eastAsia="宋体" w:cs="Times New Roman"/>
                      <w:color w:val="auto"/>
                      <w:sz w:val="21"/>
                      <w:szCs w:val="21"/>
                    </w:rPr>
                  </w:pPr>
                </w:p>
              </w:tc>
              <w:tc>
                <w:tcPr>
                  <w:tcW w:w="1154" w:type="dxa"/>
                  <w:tcBorders>
                    <w:tl2br w:val="nil"/>
                    <w:tr2bl w:val="nil"/>
                  </w:tcBorders>
                  <w:noWrap w:val="0"/>
                  <w:tcMar>
                    <w:top w:w="0" w:type="dxa"/>
                    <w:left w:w="0" w:type="dxa"/>
                    <w:bottom w:w="0" w:type="dxa"/>
                    <w:right w:w="0" w:type="dxa"/>
                  </w:tcMar>
                  <w:vAlign w:val="center"/>
                </w:tcPr>
                <w:p w14:paraId="4B7074DF">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氨氮</w:t>
                  </w:r>
                </w:p>
              </w:tc>
              <w:tc>
                <w:tcPr>
                  <w:tcW w:w="881" w:type="dxa"/>
                  <w:tcBorders>
                    <w:tl2br w:val="nil"/>
                    <w:tr2bl w:val="nil"/>
                  </w:tcBorders>
                  <w:noWrap w:val="0"/>
                  <w:tcMar>
                    <w:top w:w="0" w:type="dxa"/>
                    <w:left w:w="0" w:type="dxa"/>
                    <w:bottom w:w="0" w:type="dxa"/>
                    <w:right w:w="0" w:type="dxa"/>
                  </w:tcMar>
                  <w:vAlign w:val="center"/>
                </w:tcPr>
                <w:p w14:paraId="0A4E5BD4">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0.317</w:t>
                  </w:r>
                </w:p>
              </w:tc>
              <w:tc>
                <w:tcPr>
                  <w:tcW w:w="744" w:type="dxa"/>
                  <w:tcBorders>
                    <w:tl2br w:val="nil"/>
                    <w:tr2bl w:val="nil"/>
                  </w:tcBorders>
                  <w:noWrap w:val="0"/>
                  <w:tcMar>
                    <w:top w:w="0" w:type="dxa"/>
                    <w:left w:w="0" w:type="dxa"/>
                    <w:bottom w:w="0" w:type="dxa"/>
                    <w:right w:w="0" w:type="dxa"/>
                  </w:tcMar>
                  <w:vAlign w:val="center"/>
                </w:tcPr>
                <w:p w14:paraId="78AF0CA5">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0.251</w:t>
                  </w:r>
                </w:p>
              </w:tc>
              <w:tc>
                <w:tcPr>
                  <w:tcW w:w="839" w:type="dxa"/>
                  <w:tcBorders>
                    <w:tl2br w:val="nil"/>
                    <w:tr2bl w:val="nil"/>
                  </w:tcBorders>
                  <w:noWrap w:val="0"/>
                  <w:tcMar>
                    <w:top w:w="0" w:type="dxa"/>
                    <w:left w:w="0" w:type="dxa"/>
                    <w:bottom w:w="0" w:type="dxa"/>
                    <w:right w:w="0" w:type="dxa"/>
                  </w:tcMar>
                  <w:vAlign w:val="center"/>
                </w:tcPr>
                <w:p w14:paraId="360A4C47">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0.294</w:t>
                  </w:r>
                </w:p>
              </w:tc>
              <w:tc>
                <w:tcPr>
                  <w:tcW w:w="672" w:type="dxa"/>
                  <w:tcBorders>
                    <w:tl2br w:val="nil"/>
                    <w:tr2bl w:val="nil"/>
                  </w:tcBorders>
                  <w:noWrap w:val="0"/>
                  <w:tcMar>
                    <w:top w:w="0" w:type="dxa"/>
                    <w:left w:w="0" w:type="dxa"/>
                    <w:bottom w:w="0" w:type="dxa"/>
                    <w:right w:w="0" w:type="dxa"/>
                  </w:tcMar>
                  <w:vAlign w:val="center"/>
                </w:tcPr>
                <w:p w14:paraId="2E7D525F">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0.309</w:t>
                  </w:r>
                </w:p>
              </w:tc>
              <w:tc>
                <w:tcPr>
                  <w:tcW w:w="766" w:type="dxa"/>
                  <w:tcBorders>
                    <w:tl2br w:val="nil"/>
                    <w:tr2bl w:val="nil"/>
                  </w:tcBorders>
                  <w:noWrap w:val="0"/>
                  <w:tcMar>
                    <w:top w:w="0" w:type="dxa"/>
                    <w:left w:w="0" w:type="dxa"/>
                    <w:bottom w:w="0" w:type="dxa"/>
                    <w:right w:w="0" w:type="dxa"/>
                  </w:tcMar>
                  <w:vAlign w:val="center"/>
                </w:tcPr>
                <w:p w14:paraId="6B74502F">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0.331</w:t>
                  </w:r>
                </w:p>
              </w:tc>
              <w:tc>
                <w:tcPr>
                  <w:tcW w:w="777" w:type="dxa"/>
                  <w:tcBorders>
                    <w:tl2br w:val="nil"/>
                    <w:tr2bl w:val="nil"/>
                  </w:tcBorders>
                  <w:noWrap w:val="0"/>
                  <w:tcMar>
                    <w:top w:w="0" w:type="dxa"/>
                    <w:left w:w="0" w:type="dxa"/>
                    <w:bottom w:w="0" w:type="dxa"/>
                    <w:right w:w="0" w:type="dxa"/>
                  </w:tcMar>
                  <w:vAlign w:val="center"/>
                </w:tcPr>
                <w:p w14:paraId="5FC8961C">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0.274</w:t>
                  </w:r>
                </w:p>
              </w:tc>
              <w:tc>
                <w:tcPr>
                  <w:tcW w:w="525" w:type="dxa"/>
                  <w:tcBorders>
                    <w:tl2br w:val="nil"/>
                    <w:tr2bl w:val="nil"/>
                  </w:tcBorders>
                  <w:noWrap w:val="0"/>
                  <w:tcMar>
                    <w:top w:w="0" w:type="dxa"/>
                    <w:left w:w="0" w:type="dxa"/>
                    <w:bottom w:w="0" w:type="dxa"/>
                    <w:right w:w="0" w:type="dxa"/>
                  </w:tcMar>
                  <w:vAlign w:val="center"/>
                </w:tcPr>
                <w:p w14:paraId="7B86ED5E">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1.0</w:t>
                  </w:r>
                </w:p>
              </w:tc>
              <w:tc>
                <w:tcPr>
                  <w:tcW w:w="518" w:type="dxa"/>
                  <w:tcBorders>
                    <w:tl2br w:val="nil"/>
                    <w:tr2bl w:val="nil"/>
                  </w:tcBorders>
                  <w:noWrap w:val="0"/>
                  <w:tcMar>
                    <w:top w:w="0" w:type="dxa"/>
                    <w:left w:w="0" w:type="dxa"/>
                    <w:bottom w:w="0" w:type="dxa"/>
                    <w:right w:w="0" w:type="dxa"/>
                  </w:tcMar>
                  <w:vAlign w:val="center"/>
                </w:tcPr>
                <w:p w14:paraId="199FDE38">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达标</w:t>
                  </w:r>
                </w:p>
              </w:tc>
            </w:tr>
            <w:tr w14:paraId="4E6B31AA">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1346" w:type="dxa"/>
                  <w:vMerge w:val="continue"/>
                  <w:tcBorders>
                    <w:tl2br w:val="nil"/>
                    <w:tr2bl w:val="nil"/>
                  </w:tcBorders>
                  <w:noWrap w:val="0"/>
                  <w:tcMar>
                    <w:top w:w="0" w:type="dxa"/>
                    <w:left w:w="0" w:type="dxa"/>
                    <w:bottom w:w="0" w:type="dxa"/>
                    <w:right w:w="0" w:type="dxa"/>
                  </w:tcMar>
                  <w:vAlign w:val="center"/>
                </w:tcPr>
                <w:p w14:paraId="5BE11682">
                  <w:pPr>
                    <w:adjustRightInd w:val="0"/>
                    <w:snapToGrid w:val="0"/>
                    <w:jc w:val="center"/>
                    <w:rPr>
                      <w:rFonts w:hint="default" w:ascii="Times New Roman" w:hAnsi="Times New Roman" w:eastAsia="宋体" w:cs="Times New Roman"/>
                      <w:color w:val="auto"/>
                      <w:sz w:val="21"/>
                      <w:szCs w:val="21"/>
                    </w:rPr>
                  </w:pPr>
                </w:p>
              </w:tc>
              <w:tc>
                <w:tcPr>
                  <w:tcW w:w="1154" w:type="dxa"/>
                  <w:tcBorders>
                    <w:tl2br w:val="nil"/>
                    <w:tr2bl w:val="nil"/>
                  </w:tcBorders>
                  <w:noWrap w:val="0"/>
                  <w:tcMar>
                    <w:top w:w="0" w:type="dxa"/>
                    <w:left w:w="0" w:type="dxa"/>
                    <w:bottom w:w="0" w:type="dxa"/>
                    <w:right w:w="0" w:type="dxa"/>
                  </w:tcMar>
                  <w:vAlign w:val="center"/>
                </w:tcPr>
                <w:p w14:paraId="228C8203">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总磷</w:t>
                  </w:r>
                </w:p>
              </w:tc>
              <w:tc>
                <w:tcPr>
                  <w:tcW w:w="881" w:type="dxa"/>
                  <w:tcBorders>
                    <w:tl2br w:val="nil"/>
                    <w:tr2bl w:val="nil"/>
                  </w:tcBorders>
                  <w:noWrap w:val="0"/>
                  <w:tcMar>
                    <w:top w:w="0" w:type="dxa"/>
                    <w:left w:w="0" w:type="dxa"/>
                    <w:bottom w:w="0" w:type="dxa"/>
                    <w:right w:w="0" w:type="dxa"/>
                  </w:tcMar>
                  <w:vAlign w:val="center"/>
                </w:tcPr>
                <w:p w14:paraId="07736B63">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0.08</w:t>
                  </w:r>
                </w:p>
              </w:tc>
              <w:tc>
                <w:tcPr>
                  <w:tcW w:w="744" w:type="dxa"/>
                  <w:tcBorders>
                    <w:tl2br w:val="nil"/>
                    <w:tr2bl w:val="nil"/>
                  </w:tcBorders>
                  <w:noWrap w:val="0"/>
                  <w:tcMar>
                    <w:top w:w="0" w:type="dxa"/>
                    <w:left w:w="0" w:type="dxa"/>
                    <w:bottom w:w="0" w:type="dxa"/>
                    <w:right w:w="0" w:type="dxa"/>
                  </w:tcMar>
                  <w:vAlign w:val="center"/>
                </w:tcPr>
                <w:p w14:paraId="4A056053">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0.08</w:t>
                  </w:r>
                </w:p>
              </w:tc>
              <w:tc>
                <w:tcPr>
                  <w:tcW w:w="839" w:type="dxa"/>
                  <w:tcBorders>
                    <w:tl2br w:val="nil"/>
                    <w:tr2bl w:val="nil"/>
                  </w:tcBorders>
                  <w:noWrap w:val="0"/>
                  <w:tcMar>
                    <w:top w:w="0" w:type="dxa"/>
                    <w:left w:w="0" w:type="dxa"/>
                    <w:bottom w:w="0" w:type="dxa"/>
                    <w:right w:w="0" w:type="dxa"/>
                  </w:tcMar>
                  <w:vAlign w:val="center"/>
                </w:tcPr>
                <w:p w14:paraId="7B5A6713">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0.09</w:t>
                  </w:r>
                </w:p>
              </w:tc>
              <w:tc>
                <w:tcPr>
                  <w:tcW w:w="672" w:type="dxa"/>
                  <w:tcBorders>
                    <w:tl2br w:val="nil"/>
                    <w:tr2bl w:val="nil"/>
                  </w:tcBorders>
                  <w:noWrap w:val="0"/>
                  <w:tcMar>
                    <w:top w:w="0" w:type="dxa"/>
                    <w:left w:w="0" w:type="dxa"/>
                    <w:bottom w:w="0" w:type="dxa"/>
                    <w:right w:w="0" w:type="dxa"/>
                  </w:tcMar>
                  <w:vAlign w:val="center"/>
                </w:tcPr>
                <w:p w14:paraId="1650E27D">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0.09</w:t>
                  </w:r>
                </w:p>
              </w:tc>
              <w:tc>
                <w:tcPr>
                  <w:tcW w:w="766" w:type="dxa"/>
                  <w:tcBorders>
                    <w:tl2br w:val="nil"/>
                    <w:tr2bl w:val="nil"/>
                  </w:tcBorders>
                  <w:noWrap w:val="0"/>
                  <w:tcMar>
                    <w:top w:w="0" w:type="dxa"/>
                    <w:left w:w="0" w:type="dxa"/>
                    <w:bottom w:w="0" w:type="dxa"/>
                    <w:right w:w="0" w:type="dxa"/>
                  </w:tcMar>
                  <w:vAlign w:val="center"/>
                </w:tcPr>
                <w:p w14:paraId="14B5E118">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0.08</w:t>
                  </w:r>
                </w:p>
              </w:tc>
              <w:tc>
                <w:tcPr>
                  <w:tcW w:w="777" w:type="dxa"/>
                  <w:tcBorders>
                    <w:tl2br w:val="nil"/>
                    <w:tr2bl w:val="nil"/>
                  </w:tcBorders>
                  <w:noWrap w:val="0"/>
                  <w:tcMar>
                    <w:top w:w="0" w:type="dxa"/>
                    <w:left w:w="0" w:type="dxa"/>
                    <w:bottom w:w="0" w:type="dxa"/>
                    <w:right w:w="0" w:type="dxa"/>
                  </w:tcMar>
                  <w:vAlign w:val="center"/>
                </w:tcPr>
                <w:p w14:paraId="2526949F">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0.08</w:t>
                  </w:r>
                </w:p>
              </w:tc>
              <w:tc>
                <w:tcPr>
                  <w:tcW w:w="525" w:type="dxa"/>
                  <w:tcBorders>
                    <w:tl2br w:val="nil"/>
                    <w:tr2bl w:val="nil"/>
                  </w:tcBorders>
                  <w:noWrap w:val="0"/>
                  <w:tcMar>
                    <w:top w:w="0" w:type="dxa"/>
                    <w:left w:w="0" w:type="dxa"/>
                    <w:bottom w:w="0" w:type="dxa"/>
                    <w:right w:w="0" w:type="dxa"/>
                  </w:tcMar>
                  <w:vAlign w:val="center"/>
                </w:tcPr>
                <w:p w14:paraId="1C3705BC">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0.2</w:t>
                  </w:r>
                </w:p>
              </w:tc>
              <w:tc>
                <w:tcPr>
                  <w:tcW w:w="518" w:type="dxa"/>
                  <w:tcBorders>
                    <w:tl2br w:val="nil"/>
                    <w:tr2bl w:val="nil"/>
                  </w:tcBorders>
                  <w:noWrap w:val="0"/>
                  <w:tcMar>
                    <w:top w:w="0" w:type="dxa"/>
                    <w:left w:w="0" w:type="dxa"/>
                    <w:bottom w:w="0" w:type="dxa"/>
                    <w:right w:w="0" w:type="dxa"/>
                  </w:tcMar>
                  <w:vAlign w:val="center"/>
                </w:tcPr>
                <w:p w14:paraId="74C7CF96">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达标</w:t>
                  </w:r>
                </w:p>
              </w:tc>
            </w:tr>
          </w:tbl>
          <w:p w14:paraId="786A0C07">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20" w:firstLineChars="200"/>
              <w:textAlignment w:val="baseline"/>
              <w:rPr>
                <w:color w:val="auto"/>
                <w:szCs w:val="21"/>
              </w:rPr>
            </w:pPr>
            <w:r>
              <w:rPr>
                <w:color w:val="auto"/>
                <w:szCs w:val="21"/>
              </w:rPr>
              <w:t>监测数据表明，尧塘河现状监测因子均能满足《地表水环境质量标准》（GB3838-2002）中III类标准，项目地表水评价范围水环境水质良好。</w:t>
            </w:r>
          </w:p>
          <w:p w14:paraId="6DB5B4F7">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textAlignment w:val="baseline"/>
              <w:rPr>
                <w:b/>
                <w:bCs/>
                <w:color w:val="auto"/>
                <w:szCs w:val="21"/>
              </w:rPr>
            </w:pPr>
            <w:r>
              <w:rPr>
                <w:rFonts w:hint="eastAsia"/>
                <w:b/>
                <w:bCs/>
                <w:color w:val="auto"/>
                <w:szCs w:val="21"/>
              </w:rPr>
              <w:t>三、</w:t>
            </w:r>
            <w:r>
              <w:rPr>
                <w:b/>
                <w:bCs/>
                <w:color w:val="auto"/>
                <w:szCs w:val="21"/>
              </w:rPr>
              <w:t>噪声环境质量现状</w:t>
            </w:r>
          </w:p>
          <w:p w14:paraId="3799EA2A">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baseline"/>
              <w:rPr>
                <w:rFonts w:ascii="Times New Roman" w:hAnsi="Times New Roman" w:eastAsia="宋体" w:cs="Times New Roman"/>
                <w:color w:val="auto"/>
                <w:szCs w:val="21"/>
              </w:rPr>
            </w:pPr>
            <w:r>
              <w:rPr>
                <w:rFonts w:hint="eastAsia" w:ascii="Times New Roman" w:hAnsi="Times New Roman" w:eastAsia="宋体" w:cs="Times New Roman"/>
                <w:color w:val="auto"/>
                <w:szCs w:val="21"/>
              </w:rPr>
              <w:t>本项目根据声环境功能区规划图可知，本项目所在区域声环境质量现状划分为《声环境质量标准》（GB3096-2008）中2类标准</w:t>
            </w:r>
            <w:r>
              <w:rPr>
                <w:rFonts w:ascii="Times New Roman" w:hAnsi="Times New Roman" w:eastAsia="宋体" w:cs="Times New Roman"/>
                <w:color w:val="auto"/>
                <w:szCs w:val="21"/>
              </w:rPr>
              <w:t>。</w:t>
            </w:r>
          </w:p>
          <w:p w14:paraId="68C30FEB">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45" w:firstLineChars="212"/>
              <w:textAlignment w:val="auto"/>
              <w:rPr>
                <w:color w:val="auto"/>
                <w:szCs w:val="21"/>
              </w:rPr>
            </w:pPr>
          </w:p>
          <w:p w14:paraId="64B951C9">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45" w:firstLineChars="212"/>
              <w:textAlignment w:val="auto"/>
              <w:rPr>
                <w:color w:val="auto"/>
                <w:szCs w:val="21"/>
              </w:rPr>
            </w:pPr>
          </w:p>
          <w:p w14:paraId="03B261BB">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45" w:firstLineChars="212"/>
              <w:textAlignment w:val="auto"/>
              <w:rPr>
                <w:color w:val="auto"/>
                <w:szCs w:val="21"/>
              </w:rPr>
            </w:pPr>
          </w:p>
          <w:p w14:paraId="24F324CF">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45" w:firstLineChars="212"/>
              <w:textAlignment w:val="auto"/>
              <w:rPr>
                <w:color w:val="auto"/>
                <w:szCs w:val="21"/>
              </w:rPr>
            </w:pPr>
          </w:p>
          <w:p w14:paraId="3DEF8BF0">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45" w:firstLineChars="212"/>
              <w:textAlignment w:val="auto"/>
              <w:rPr>
                <w:color w:val="auto"/>
                <w:szCs w:val="21"/>
              </w:rPr>
            </w:pPr>
          </w:p>
          <w:p w14:paraId="43CF013A">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color w:val="auto"/>
                <w:szCs w:val="21"/>
              </w:rPr>
            </w:pPr>
          </w:p>
        </w:tc>
      </w:tr>
      <w:tr w14:paraId="6E4FCAC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7731" w:hRule="atLeast"/>
          <w:jc w:val="center"/>
        </w:trPr>
        <w:tc>
          <w:tcPr>
            <w:tcW w:w="522" w:type="dxa"/>
            <w:noWrap w:val="0"/>
            <w:tcMar>
              <w:top w:w="0" w:type="dxa"/>
              <w:left w:w="0" w:type="dxa"/>
              <w:bottom w:w="0" w:type="dxa"/>
              <w:right w:w="0" w:type="dxa"/>
            </w:tcMar>
            <w:vAlign w:val="center"/>
          </w:tcPr>
          <w:p w14:paraId="51E41FC9">
            <w:pPr>
              <w:adjustRightInd w:val="0"/>
              <w:snapToGrid w:val="0"/>
              <w:jc w:val="center"/>
              <w:rPr>
                <w:color w:val="auto"/>
                <w:kern w:val="0"/>
                <w:szCs w:val="21"/>
              </w:rPr>
            </w:pPr>
            <w:r>
              <w:rPr>
                <w:color w:val="auto"/>
                <w:kern w:val="0"/>
                <w:szCs w:val="21"/>
              </w:rPr>
              <w:t>环境保护目标</w:t>
            </w:r>
          </w:p>
        </w:tc>
        <w:tc>
          <w:tcPr>
            <w:tcW w:w="8438" w:type="dxa"/>
            <w:noWrap w:val="0"/>
            <w:vAlign w:val="center"/>
          </w:tcPr>
          <w:p w14:paraId="5A4AAEF9">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12" w:firstLineChars="200"/>
              <w:textAlignment w:val="baseline"/>
              <w:rPr>
                <w:color w:val="auto"/>
                <w:spacing w:val="-2"/>
                <w:kern w:val="28"/>
                <w:szCs w:val="21"/>
              </w:rPr>
            </w:pPr>
            <w:r>
              <w:rPr>
                <w:color w:val="auto"/>
                <w:spacing w:val="-2"/>
                <w:kern w:val="28"/>
                <w:szCs w:val="21"/>
              </w:rPr>
              <w:t>距离本项目最近的敏感目标是</w:t>
            </w:r>
            <w:r>
              <w:rPr>
                <w:rFonts w:hint="eastAsia"/>
                <w:color w:val="auto"/>
                <w:szCs w:val="21"/>
                <w:lang w:val="en-US" w:eastAsia="zh-CN"/>
              </w:rPr>
              <w:t>双墩村</w:t>
            </w:r>
            <w:r>
              <w:rPr>
                <w:color w:val="auto"/>
                <w:spacing w:val="-2"/>
                <w:kern w:val="28"/>
                <w:szCs w:val="21"/>
              </w:rPr>
              <w:t>（</w:t>
            </w:r>
            <w:r>
              <w:rPr>
                <w:rFonts w:hint="eastAsia"/>
                <w:color w:val="auto"/>
                <w:szCs w:val="21"/>
                <w:lang w:val="en-US" w:eastAsia="zh-CN"/>
              </w:rPr>
              <w:t>东南</w:t>
            </w:r>
            <w:r>
              <w:rPr>
                <w:color w:val="auto"/>
                <w:spacing w:val="-2"/>
                <w:kern w:val="28"/>
                <w:szCs w:val="21"/>
              </w:rPr>
              <w:t>，</w:t>
            </w:r>
            <w:r>
              <w:rPr>
                <w:rFonts w:hint="eastAsia"/>
                <w:color w:val="auto"/>
                <w:spacing w:val="-2"/>
                <w:kern w:val="28"/>
                <w:szCs w:val="21"/>
                <w:lang w:val="en-US" w:eastAsia="zh-CN"/>
              </w:rPr>
              <w:t>215</w:t>
            </w:r>
            <w:r>
              <w:rPr>
                <w:color w:val="auto"/>
                <w:spacing w:val="-2"/>
                <w:kern w:val="28"/>
                <w:szCs w:val="21"/>
              </w:rPr>
              <w:t>m），大气保护目标见表3-</w:t>
            </w:r>
            <w:r>
              <w:rPr>
                <w:rFonts w:hint="eastAsia"/>
                <w:color w:val="auto"/>
                <w:spacing w:val="-2"/>
                <w:kern w:val="28"/>
                <w:szCs w:val="21"/>
                <w:lang w:val="en-US" w:eastAsia="zh-CN"/>
              </w:rPr>
              <w:t>4</w:t>
            </w:r>
            <w:r>
              <w:rPr>
                <w:color w:val="auto"/>
                <w:spacing w:val="-2"/>
                <w:kern w:val="28"/>
                <w:szCs w:val="21"/>
              </w:rPr>
              <w:t>，建设项目其他环境保护目标见表3-</w:t>
            </w:r>
            <w:r>
              <w:rPr>
                <w:rFonts w:hint="eastAsia"/>
                <w:color w:val="auto"/>
                <w:spacing w:val="-2"/>
                <w:kern w:val="28"/>
                <w:szCs w:val="21"/>
                <w:lang w:val="en-US" w:eastAsia="zh-CN"/>
              </w:rPr>
              <w:t>5</w:t>
            </w:r>
            <w:r>
              <w:rPr>
                <w:color w:val="auto"/>
                <w:spacing w:val="-2"/>
                <w:kern w:val="28"/>
                <w:szCs w:val="21"/>
              </w:rPr>
              <w:t>。</w:t>
            </w:r>
          </w:p>
          <w:p w14:paraId="47042E18">
            <w:pPr>
              <w:jc w:val="center"/>
              <w:rPr>
                <w:b/>
                <w:bCs/>
                <w:color w:val="auto"/>
                <w:szCs w:val="21"/>
              </w:rPr>
            </w:pPr>
            <w:r>
              <w:rPr>
                <w:b/>
                <w:bCs/>
                <w:color w:val="auto"/>
                <w:szCs w:val="21"/>
              </w:rPr>
              <w:t>表3-</w:t>
            </w:r>
            <w:r>
              <w:rPr>
                <w:rFonts w:hint="eastAsia"/>
                <w:b/>
                <w:bCs/>
                <w:color w:val="auto"/>
                <w:szCs w:val="21"/>
                <w:lang w:val="en-US" w:eastAsia="zh-CN"/>
              </w:rPr>
              <w:t>4</w:t>
            </w:r>
            <w:r>
              <w:rPr>
                <w:b/>
                <w:bCs/>
                <w:color w:val="auto"/>
                <w:szCs w:val="21"/>
              </w:rPr>
              <w:t xml:space="preserve"> 大气保护目标一览表</w:t>
            </w:r>
          </w:p>
          <w:tbl>
            <w:tblPr>
              <w:tblStyle w:val="2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52"/>
              <w:gridCol w:w="1073"/>
              <w:gridCol w:w="1028"/>
              <w:gridCol w:w="947"/>
              <w:gridCol w:w="1264"/>
              <w:gridCol w:w="837"/>
              <w:gridCol w:w="827"/>
              <w:gridCol w:w="894"/>
            </w:tblGrid>
            <w:tr w14:paraId="40654C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22" w:type="pct"/>
                  <w:vMerge w:val="restart"/>
                  <w:noWrap w:val="0"/>
                  <w:tcMar>
                    <w:top w:w="0" w:type="dxa"/>
                    <w:left w:w="0" w:type="dxa"/>
                    <w:bottom w:w="0" w:type="dxa"/>
                    <w:right w:w="0" w:type="dxa"/>
                  </w:tcMar>
                  <w:vAlign w:val="center"/>
                </w:tcPr>
                <w:p w14:paraId="5F5D1659">
                  <w:pPr>
                    <w:adjustRightInd w:val="0"/>
                    <w:snapToGrid w:val="0"/>
                    <w:jc w:val="center"/>
                    <w:rPr>
                      <w:b/>
                      <w:color w:val="auto"/>
                      <w:szCs w:val="21"/>
                    </w:rPr>
                  </w:pPr>
                  <w:r>
                    <w:rPr>
                      <w:b/>
                      <w:color w:val="auto"/>
                      <w:szCs w:val="21"/>
                    </w:rPr>
                    <w:t>名称</w:t>
                  </w:r>
                </w:p>
              </w:tc>
              <w:tc>
                <w:tcPr>
                  <w:tcW w:w="1277" w:type="pct"/>
                  <w:gridSpan w:val="2"/>
                  <w:noWrap w:val="0"/>
                  <w:tcMar>
                    <w:top w:w="0" w:type="dxa"/>
                    <w:left w:w="0" w:type="dxa"/>
                    <w:bottom w:w="0" w:type="dxa"/>
                    <w:right w:w="0" w:type="dxa"/>
                  </w:tcMar>
                  <w:vAlign w:val="center"/>
                </w:tcPr>
                <w:p w14:paraId="32ACB2AE">
                  <w:pPr>
                    <w:adjustRightInd w:val="0"/>
                    <w:snapToGrid w:val="0"/>
                    <w:jc w:val="center"/>
                    <w:rPr>
                      <w:b/>
                      <w:color w:val="auto"/>
                      <w:szCs w:val="21"/>
                    </w:rPr>
                  </w:pPr>
                  <w:r>
                    <w:rPr>
                      <w:b/>
                      <w:color w:val="auto"/>
                      <w:szCs w:val="21"/>
                    </w:rPr>
                    <w:t>坐标/m</w:t>
                  </w:r>
                </w:p>
              </w:tc>
              <w:tc>
                <w:tcPr>
                  <w:tcW w:w="575" w:type="pct"/>
                  <w:vMerge w:val="restart"/>
                  <w:noWrap w:val="0"/>
                  <w:tcMar>
                    <w:top w:w="0" w:type="dxa"/>
                    <w:left w:w="0" w:type="dxa"/>
                    <w:bottom w:w="0" w:type="dxa"/>
                    <w:right w:w="0" w:type="dxa"/>
                  </w:tcMar>
                  <w:vAlign w:val="center"/>
                </w:tcPr>
                <w:p w14:paraId="18948C40">
                  <w:pPr>
                    <w:adjustRightInd w:val="0"/>
                    <w:snapToGrid w:val="0"/>
                    <w:jc w:val="center"/>
                    <w:rPr>
                      <w:b/>
                      <w:color w:val="auto"/>
                      <w:szCs w:val="21"/>
                    </w:rPr>
                  </w:pPr>
                  <w:r>
                    <w:rPr>
                      <w:b/>
                      <w:color w:val="auto"/>
                      <w:szCs w:val="21"/>
                    </w:rPr>
                    <w:t>保护对象</w:t>
                  </w:r>
                </w:p>
              </w:tc>
              <w:tc>
                <w:tcPr>
                  <w:tcW w:w="768" w:type="pct"/>
                  <w:vMerge w:val="restart"/>
                  <w:noWrap w:val="0"/>
                  <w:tcMar>
                    <w:top w:w="0" w:type="dxa"/>
                    <w:left w:w="0" w:type="dxa"/>
                    <w:bottom w:w="0" w:type="dxa"/>
                    <w:right w:w="0" w:type="dxa"/>
                  </w:tcMar>
                  <w:vAlign w:val="center"/>
                </w:tcPr>
                <w:p w14:paraId="740F62D0">
                  <w:pPr>
                    <w:adjustRightInd w:val="0"/>
                    <w:snapToGrid w:val="0"/>
                    <w:jc w:val="center"/>
                    <w:rPr>
                      <w:rFonts w:hint="eastAsia" w:eastAsia="宋体"/>
                      <w:b/>
                      <w:color w:val="auto"/>
                      <w:szCs w:val="21"/>
                      <w:lang w:eastAsia="zh-CN"/>
                    </w:rPr>
                  </w:pPr>
                  <w:r>
                    <w:rPr>
                      <w:b/>
                      <w:color w:val="auto"/>
                      <w:szCs w:val="21"/>
                    </w:rPr>
                    <w:t>保护内容</w:t>
                  </w:r>
                  <w:r>
                    <w:rPr>
                      <w:rFonts w:hint="eastAsia"/>
                      <w:b/>
                      <w:color w:val="auto"/>
                      <w:szCs w:val="21"/>
                      <w:lang w:eastAsia="zh-CN"/>
                    </w:rPr>
                    <w:t>（</w:t>
                  </w:r>
                  <w:r>
                    <w:rPr>
                      <w:rFonts w:hint="eastAsia"/>
                      <w:b/>
                      <w:color w:val="auto"/>
                      <w:szCs w:val="21"/>
                      <w:lang w:val="en-US" w:eastAsia="zh-CN"/>
                    </w:rPr>
                    <w:t>人</w:t>
                  </w:r>
                  <w:r>
                    <w:rPr>
                      <w:rFonts w:hint="eastAsia"/>
                      <w:b/>
                      <w:color w:val="auto"/>
                      <w:szCs w:val="21"/>
                      <w:lang w:eastAsia="zh-CN"/>
                    </w:rPr>
                    <w:t>）</w:t>
                  </w:r>
                </w:p>
              </w:tc>
              <w:tc>
                <w:tcPr>
                  <w:tcW w:w="509" w:type="pct"/>
                  <w:vMerge w:val="restart"/>
                  <w:noWrap w:val="0"/>
                  <w:tcMar>
                    <w:top w:w="0" w:type="dxa"/>
                    <w:left w:w="0" w:type="dxa"/>
                    <w:bottom w:w="0" w:type="dxa"/>
                    <w:right w:w="0" w:type="dxa"/>
                  </w:tcMar>
                  <w:vAlign w:val="center"/>
                </w:tcPr>
                <w:p w14:paraId="09D49E89">
                  <w:pPr>
                    <w:adjustRightInd w:val="0"/>
                    <w:snapToGrid w:val="0"/>
                    <w:jc w:val="center"/>
                    <w:rPr>
                      <w:b/>
                      <w:color w:val="auto"/>
                      <w:szCs w:val="21"/>
                    </w:rPr>
                  </w:pPr>
                  <w:r>
                    <w:rPr>
                      <w:b/>
                      <w:color w:val="auto"/>
                      <w:szCs w:val="21"/>
                    </w:rPr>
                    <w:t>环境功能区</w:t>
                  </w:r>
                </w:p>
              </w:tc>
              <w:tc>
                <w:tcPr>
                  <w:tcW w:w="502" w:type="pct"/>
                  <w:vMerge w:val="restart"/>
                  <w:noWrap w:val="0"/>
                  <w:tcMar>
                    <w:top w:w="0" w:type="dxa"/>
                    <w:left w:w="0" w:type="dxa"/>
                    <w:bottom w:w="0" w:type="dxa"/>
                    <w:right w:w="0" w:type="dxa"/>
                  </w:tcMar>
                  <w:vAlign w:val="center"/>
                </w:tcPr>
                <w:p w14:paraId="4DF58B89">
                  <w:pPr>
                    <w:adjustRightInd w:val="0"/>
                    <w:snapToGrid w:val="0"/>
                    <w:jc w:val="center"/>
                    <w:rPr>
                      <w:b/>
                      <w:color w:val="auto"/>
                      <w:szCs w:val="21"/>
                    </w:rPr>
                  </w:pPr>
                  <w:r>
                    <w:rPr>
                      <w:b/>
                      <w:color w:val="auto"/>
                      <w:szCs w:val="21"/>
                    </w:rPr>
                    <w:t>相对厂址方位</w:t>
                  </w:r>
                </w:p>
              </w:tc>
              <w:tc>
                <w:tcPr>
                  <w:tcW w:w="543" w:type="pct"/>
                  <w:vMerge w:val="restart"/>
                  <w:noWrap w:val="0"/>
                  <w:tcMar>
                    <w:top w:w="0" w:type="dxa"/>
                    <w:left w:w="0" w:type="dxa"/>
                    <w:bottom w:w="0" w:type="dxa"/>
                    <w:right w:w="0" w:type="dxa"/>
                  </w:tcMar>
                  <w:vAlign w:val="center"/>
                </w:tcPr>
                <w:p w14:paraId="397F238F">
                  <w:pPr>
                    <w:adjustRightInd w:val="0"/>
                    <w:snapToGrid w:val="0"/>
                    <w:jc w:val="center"/>
                    <w:rPr>
                      <w:b/>
                      <w:color w:val="auto"/>
                      <w:szCs w:val="21"/>
                    </w:rPr>
                  </w:pPr>
                  <w:r>
                    <w:rPr>
                      <w:b/>
                      <w:color w:val="auto"/>
                      <w:szCs w:val="21"/>
                    </w:rPr>
                    <w:t>相对厂界距离/m</w:t>
                  </w:r>
                </w:p>
              </w:tc>
            </w:tr>
            <w:tr w14:paraId="573084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22" w:type="pct"/>
                  <w:vMerge w:val="continue"/>
                  <w:noWrap w:val="0"/>
                  <w:tcMar>
                    <w:top w:w="0" w:type="dxa"/>
                    <w:left w:w="0" w:type="dxa"/>
                    <w:bottom w:w="0" w:type="dxa"/>
                    <w:right w:w="0" w:type="dxa"/>
                  </w:tcMar>
                  <w:vAlign w:val="center"/>
                </w:tcPr>
                <w:p w14:paraId="41B0B8BE">
                  <w:pPr>
                    <w:adjustRightInd w:val="0"/>
                    <w:snapToGrid w:val="0"/>
                    <w:jc w:val="center"/>
                    <w:rPr>
                      <w:color w:val="auto"/>
                      <w:szCs w:val="21"/>
                    </w:rPr>
                  </w:pPr>
                </w:p>
              </w:tc>
              <w:tc>
                <w:tcPr>
                  <w:tcW w:w="652" w:type="pct"/>
                  <w:noWrap w:val="0"/>
                  <w:tcMar>
                    <w:top w:w="0" w:type="dxa"/>
                    <w:left w:w="0" w:type="dxa"/>
                    <w:bottom w:w="0" w:type="dxa"/>
                    <w:right w:w="0" w:type="dxa"/>
                  </w:tcMar>
                  <w:vAlign w:val="center"/>
                </w:tcPr>
                <w:p w14:paraId="00DFD314">
                  <w:pPr>
                    <w:adjustRightInd w:val="0"/>
                    <w:snapToGrid w:val="0"/>
                    <w:jc w:val="center"/>
                    <w:rPr>
                      <w:b/>
                      <w:color w:val="auto"/>
                      <w:szCs w:val="21"/>
                    </w:rPr>
                  </w:pPr>
                  <w:r>
                    <w:rPr>
                      <w:b/>
                      <w:color w:val="auto"/>
                      <w:szCs w:val="21"/>
                    </w:rPr>
                    <w:t>X</w:t>
                  </w:r>
                </w:p>
              </w:tc>
              <w:tc>
                <w:tcPr>
                  <w:tcW w:w="625" w:type="pct"/>
                  <w:noWrap w:val="0"/>
                  <w:tcMar>
                    <w:top w:w="0" w:type="dxa"/>
                    <w:left w:w="0" w:type="dxa"/>
                    <w:bottom w:w="0" w:type="dxa"/>
                    <w:right w:w="0" w:type="dxa"/>
                  </w:tcMar>
                  <w:vAlign w:val="center"/>
                </w:tcPr>
                <w:p w14:paraId="28FEDAA6">
                  <w:pPr>
                    <w:adjustRightInd w:val="0"/>
                    <w:snapToGrid w:val="0"/>
                    <w:jc w:val="center"/>
                    <w:rPr>
                      <w:b/>
                      <w:color w:val="auto"/>
                      <w:szCs w:val="21"/>
                    </w:rPr>
                  </w:pPr>
                  <w:r>
                    <w:rPr>
                      <w:b/>
                      <w:color w:val="auto"/>
                      <w:szCs w:val="21"/>
                    </w:rPr>
                    <w:t>Y</w:t>
                  </w:r>
                </w:p>
              </w:tc>
              <w:tc>
                <w:tcPr>
                  <w:tcW w:w="575" w:type="pct"/>
                  <w:vMerge w:val="continue"/>
                  <w:noWrap w:val="0"/>
                  <w:tcMar>
                    <w:top w:w="0" w:type="dxa"/>
                    <w:left w:w="0" w:type="dxa"/>
                    <w:bottom w:w="0" w:type="dxa"/>
                    <w:right w:w="0" w:type="dxa"/>
                  </w:tcMar>
                  <w:vAlign w:val="center"/>
                </w:tcPr>
                <w:p w14:paraId="7A586322">
                  <w:pPr>
                    <w:adjustRightInd w:val="0"/>
                    <w:snapToGrid w:val="0"/>
                    <w:jc w:val="center"/>
                    <w:rPr>
                      <w:color w:val="auto"/>
                      <w:szCs w:val="21"/>
                    </w:rPr>
                  </w:pPr>
                </w:p>
              </w:tc>
              <w:tc>
                <w:tcPr>
                  <w:tcW w:w="768" w:type="pct"/>
                  <w:vMerge w:val="continue"/>
                  <w:noWrap w:val="0"/>
                  <w:tcMar>
                    <w:top w:w="0" w:type="dxa"/>
                    <w:left w:w="0" w:type="dxa"/>
                    <w:bottom w:w="0" w:type="dxa"/>
                    <w:right w:w="0" w:type="dxa"/>
                  </w:tcMar>
                  <w:vAlign w:val="center"/>
                </w:tcPr>
                <w:p w14:paraId="73E52585">
                  <w:pPr>
                    <w:adjustRightInd w:val="0"/>
                    <w:snapToGrid w:val="0"/>
                    <w:jc w:val="center"/>
                    <w:rPr>
                      <w:color w:val="auto"/>
                      <w:szCs w:val="21"/>
                    </w:rPr>
                  </w:pPr>
                </w:p>
              </w:tc>
              <w:tc>
                <w:tcPr>
                  <w:tcW w:w="509" w:type="pct"/>
                  <w:vMerge w:val="continue"/>
                  <w:noWrap w:val="0"/>
                  <w:tcMar>
                    <w:top w:w="0" w:type="dxa"/>
                    <w:left w:w="0" w:type="dxa"/>
                    <w:bottom w:w="0" w:type="dxa"/>
                    <w:right w:w="0" w:type="dxa"/>
                  </w:tcMar>
                  <w:vAlign w:val="center"/>
                </w:tcPr>
                <w:p w14:paraId="0BC1646E">
                  <w:pPr>
                    <w:adjustRightInd w:val="0"/>
                    <w:snapToGrid w:val="0"/>
                    <w:jc w:val="center"/>
                    <w:rPr>
                      <w:color w:val="auto"/>
                      <w:szCs w:val="21"/>
                    </w:rPr>
                  </w:pPr>
                </w:p>
              </w:tc>
              <w:tc>
                <w:tcPr>
                  <w:tcW w:w="502" w:type="pct"/>
                  <w:vMerge w:val="continue"/>
                  <w:noWrap w:val="0"/>
                  <w:tcMar>
                    <w:top w:w="0" w:type="dxa"/>
                    <w:left w:w="0" w:type="dxa"/>
                    <w:bottom w:w="0" w:type="dxa"/>
                    <w:right w:w="0" w:type="dxa"/>
                  </w:tcMar>
                  <w:vAlign w:val="center"/>
                </w:tcPr>
                <w:p w14:paraId="42700CFD">
                  <w:pPr>
                    <w:adjustRightInd w:val="0"/>
                    <w:snapToGrid w:val="0"/>
                    <w:jc w:val="center"/>
                    <w:rPr>
                      <w:color w:val="auto"/>
                      <w:szCs w:val="21"/>
                    </w:rPr>
                  </w:pPr>
                </w:p>
              </w:tc>
              <w:tc>
                <w:tcPr>
                  <w:tcW w:w="543" w:type="pct"/>
                  <w:vMerge w:val="continue"/>
                  <w:noWrap w:val="0"/>
                  <w:tcMar>
                    <w:top w:w="0" w:type="dxa"/>
                    <w:left w:w="0" w:type="dxa"/>
                    <w:bottom w:w="0" w:type="dxa"/>
                    <w:right w:w="0" w:type="dxa"/>
                  </w:tcMar>
                  <w:vAlign w:val="center"/>
                </w:tcPr>
                <w:p w14:paraId="21BDE3DB">
                  <w:pPr>
                    <w:adjustRightInd w:val="0"/>
                    <w:snapToGrid w:val="0"/>
                    <w:jc w:val="center"/>
                    <w:rPr>
                      <w:color w:val="auto"/>
                      <w:szCs w:val="21"/>
                    </w:rPr>
                  </w:pPr>
                </w:p>
              </w:tc>
            </w:tr>
            <w:tr w14:paraId="589F06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22" w:type="pct"/>
                  <w:noWrap w:val="0"/>
                  <w:tcMar>
                    <w:top w:w="0" w:type="dxa"/>
                    <w:left w:w="0" w:type="dxa"/>
                    <w:bottom w:w="0" w:type="dxa"/>
                    <w:right w:w="0" w:type="dxa"/>
                  </w:tcMar>
                  <w:vAlign w:val="center"/>
                </w:tcPr>
                <w:p w14:paraId="220BEFB9">
                  <w:pPr>
                    <w:autoSpaceDE w:val="0"/>
                    <w:autoSpaceDN w:val="0"/>
                    <w:adjustRightInd w:val="0"/>
                    <w:jc w:val="center"/>
                    <w:rPr>
                      <w:rFonts w:hint="default" w:eastAsia="宋体"/>
                      <w:color w:val="auto"/>
                      <w:szCs w:val="21"/>
                      <w:lang w:val="en-US" w:eastAsia="zh-CN"/>
                    </w:rPr>
                  </w:pPr>
                  <w:r>
                    <w:rPr>
                      <w:rFonts w:hint="eastAsia"/>
                      <w:color w:val="auto"/>
                      <w:szCs w:val="21"/>
                      <w:lang w:val="en-US" w:eastAsia="zh-CN"/>
                    </w:rPr>
                    <w:t>东方一村</w:t>
                  </w:r>
                </w:p>
              </w:tc>
              <w:tc>
                <w:tcPr>
                  <w:tcW w:w="652" w:type="pct"/>
                  <w:noWrap w:val="0"/>
                  <w:tcMar>
                    <w:top w:w="0" w:type="dxa"/>
                    <w:left w:w="0" w:type="dxa"/>
                    <w:bottom w:w="0" w:type="dxa"/>
                    <w:right w:w="0" w:type="dxa"/>
                  </w:tcMar>
                  <w:vAlign w:val="center"/>
                </w:tcPr>
                <w:p w14:paraId="5440BB1D">
                  <w:pPr>
                    <w:adjustRightInd w:val="0"/>
                    <w:snapToGrid w:val="0"/>
                    <w:jc w:val="center"/>
                    <w:rPr>
                      <w:color w:val="auto"/>
                      <w:szCs w:val="21"/>
                    </w:rPr>
                  </w:pPr>
                  <w:r>
                    <w:rPr>
                      <w:rFonts w:hint="eastAsia"/>
                      <w:color w:val="auto"/>
                      <w:szCs w:val="21"/>
                    </w:rPr>
                    <w:t>119.605048</w:t>
                  </w:r>
                </w:p>
              </w:tc>
              <w:tc>
                <w:tcPr>
                  <w:tcW w:w="625" w:type="pct"/>
                  <w:noWrap w:val="0"/>
                  <w:tcMar>
                    <w:top w:w="0" w:type="dxa"/>
                    <w:left w:w="0" w:type="dxa"/>
                    <w:bottom w:w="0" w:type="dxa"/>
                    <w:right w:w="0" w:type="dxa"/>
                  </w:tcMar>
                  <w:vAlign w:val="center"/>
                </w:tcPr>
                <w:p w14:paraId="69BFD54D">
                  <w:pPr>
                    <w:adjustRightInd w:val="0"/>
                    <w:snapToGrid w:val="0"/>
                    <w:jc w:val="center"/>
                    <w:rPr>
                      <w:color w:val="auto"/>
                      <w:szCs w:val="21"/>
                    </w:rPr>
                  </w:pPr>
                  <w:r>
                    <w:rPr>
                      <w:rFonts w:hint="eastAsia"/>
                      <w:color w:val="auto"/>
                      <w:szCs w:val="21"/>
                    </w:rPr>
                    <w:t>31.761048</w:t>
                  </w:r>
                </w:p>
              </w:tc>
              <w:tc>
                <w:tcPr>
                  <w:tcW w:w="575" w:type="pct"/>
                  <w:noWrap w:val="0"/>
                  <w:tcMar>
                    <w:top w:w="0" w:type="dxa"/>
                    <w:left w:w="0" w:type="dxa"/>
                    <w:bottom w:w="0" w:type="dxa"/>
                    <w:right w:w="0" w:type="dxa"/>
                  </w:tcMar>
                  <w:vAlign w:val="center"/>
                </w:tcPr>
                <w:p w14:paraId="1984BEDC">
                  <w:pPr>
                    <w:pStyle w:val="47"/>
                    <w:spacing w:beforeLines="0" w:afterLines="0" w:line="240" w:lineRule="auto"/>
                    <w:ind w:firstLine="0" w:firstLineChars="0"/>
                    <w:textAlignment w:val="auto"/>
                    <w:rPr>
                      <w:rFonts w:hint="default"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居民</w:t>
                  </w:r>
                </w:p>
              </w:tc>
              <w:tc>
                <w:tcPr>
                  <w:tcW w:w="768" w:type="pct"/>
                  <w:noWrap w:val="0"/>
                  <w:tcMar>
                    <w:top w:w="0" w:type="dxa"/>
                    <w:left w:w="0" w:type="dxa"/>
                    <w:bottom w:w="0" w:type="dxa"/>
                    <w:right w:w="0" w:type="dxa"/>
                  </w:tcMar>
                  <w:vAlign w:val="center"/>
                </w:tcPr>
                <w:p w14:paraId="4C9D64DE">
                  <w:pPr>
                    <w:jc w:val="center"/>
                    <w:rPr>
                      <w:rFonts w:hint="default" w:eastAsia="宋体"/>
                      <w:color w:val="auto"/>
                      <w:szCs w:val="21"/>
                      <w:lang w:val="en-US" w:eastAsia="zh-CN"/>
                    </w:rPr>
                  </w:pPr>
                  <w:r>
                    <w:rPr>
                      <w:rFonts w:hint="eastAsia"/>
                      <w:color w:val="auto"/>
                      <w:szCs w:val="21"/>
                      <w:lang w:val="en-US" w:eastAsia="zh-CN"/>
                    </w:rPr>
                    <w:t>约180人</w:t>
                  </w:r>
                </w:p>
              </w:tc>
              <w:tc>
                <w:tcPr>
                  <w:tcW w:w="509" w:type="pct"/>
                  <w:noWrap w:val="0"/>
                  <w:tcMar>
                    <w:top w:w="0" w:type="dxa"/>
                    <w:left w:w="0" w:type="dxa"/>
                    <w:bottom w:w="0" w:type="dxa"/>
                    <w:right w:w="0" w:type="dxa"/>
                  </w:tcMar>
                  <w:vAlign w:val="center"/>
                </w:tcPr>
                <w:p w14:paraId="2E968B3F">
                  <w:pPr>
                    <w:pStyle w:val="47"/>
                    <w:spacing w:beforeLines="0" w:afterLines="0" w:line="240" w:lineRule="auto"/>
                    <w:ind w:firstLine="0" w:firstLineChars="0"/>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二类区</w:t>
                  </w:r>
                </w:p>
              </w:tc>
              <w:tc>
                <w:tcPr>
                  <w:tcW w:w="502" w:type="pct"/>
                  <w:noWrap w:val="0"/>
                  <w:tcMar>
                    <w:top w:w="0" w:type="dxa"/>
                    <w:left w:w="0" w:type="dxa"/>
                    <w:bottom w:w="0" w:type="dxa"/>
                    <w:right w:w="0" w:type="dxa"/>
                  </w:tcMar>
                  <w:vAlign w:val="center"/>
                </w:tcPr>
                <w:p w14:paraId="382B831C">
                  <w:pPr>
                    <w:jc w:val="center"/>
                    <w:rPr>
                      <w:rFonts w:hint="eastAsia" w:eastAsia="宋体"/>
                      <w:color w:val="auto"/>
                      <w:szCs w:val="21"/>
                      <w:lang w:eastAsia="zh-CN"/>
                    </w:rPr>
                  </w:pPr>
                  <w:r>
                    <w:rPr>
                      <w:rFonts w:hint="eastAsia"/>
                      <w:color w:val="auto"/>
                      <w:szCs w:val="21"/>
                      <w:lang w:val="en-US" w:eastAsia="zh-CN"/>
                    </w:rPr>
                    <w:t>西北</w:t>
                  </w:r>
                </w:p>
              </w:tc>
              <w:tc>
                <w:tcPr>
                  <w:tcW w:w="543" w:type="pct"/>
                  <w:noWrap w:val="0"/>
                  <w:tcMar>
                    <w:top w:w="0" w:type="dxa"/>
                    <w:left w:w="0" w:type="dxa"/>
                    <w:bottom w:w="0" w:type="dxa"/>
                    <w:right w:w="0" w:type="dxa"/>
                  </w:tcMar>
                  <w:vAlign w:val="center"/>
                </w:tcPr>
                <w:p w14:paraId="4336AE4E">
                  <w:pPr>
                    <w:jc w:val="center"/>
                    <w:rPr>
                      <w:rFonts w:hint="default" w:eastAsia="宋体"/>
                      <w:color w:val="auto"/>
                      <w:szCs w:val="21"/>
                      <w:lang w:val="en-US" w:eastAsia="zh-CN"/>
                    </w:rPr>
                  </w:pPr>
                  <w:r>
                    <w:rPr>
                      <w:rFonts w:hint="eastAsia"/>
                      <w:color w:val="auto"/>
                      <w:szCs w:val="21"/>
                      <w:lang w:val="en-US" w:eastAsia="zh-CN"/>
                    </w:rPr>
                    <w:t>416</w:t>
                  </w:r>
                </w:p>
              </w:tc>
            </w:tr>
            <w:tr w14:paraId="18274A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22" w:type="pct"/>
                  <w:noWrap w:val="0"/>
                  <w:tcMar>
                    <w:top w:w="0" w:type="dxa"/>
                    <w:left w:w="0" w:type="dxa"/>
                    <w:bottom w:w="0" w:type="dxa"/>
                    <w:right w:w="0" w:type="dxa"/>
                  </w:tcMar>
                  <w:vAlign w:val="center"/>
                </w:tcPr>
                <w:p w14:paraId="36A50B89">
                  <w:pPr>
                    <w:autoSpaceDE w:val="0"/>
                    <w:autoSpaceDN w:val="0"/>
                    <w:adjustRightInd w:val="0"/>
                    <w:jc w:val="center"/>
                    <w:rPr>
                      <w:rFonts w:hint="default"/>
                      <w:color w:val="auto"/>
                      <w:szCs w:val="21"/>
                      <w:lang w:val="en-US" w:eastAsia="zh-CN"/>
                    </w:rPr>
                  </w:pPr>
                  <w:r>
                    <w:rPr>
                      <w:rFonts w:hint="eastAsia"/>
                      <w:color w:val="auto"/>
                      <w:szCs w:val="21"/>
                      <w:lang w:val="en-US" w:eastAsia="zh-CN"/>
                    </w:rPr>
                    <w:t>东下塘</w:t>
                  </w:r>
                </w:p>
              </w:tc>
              <w:tc>
                <w:tcPr>
                  <w:tcW w:w="652" w:type="pct"/>
                  <w:noWrap w:val="0"/>
                  <w:tcMar>
                    <w:top w:w="0" w:type="dxa"/>
                    <w:left w:w="0" w:type="dxa"/>
                    <w:bottom w:w="0" w:type="dxa"/>
                    <w:right w:w="0" w:type="dxa"/>
                  </w:tcMar>
                  <w:vAlign w:val="center"/>
                </w:tcPr>
                <w:p w14:paraId="25AAF874">
                  <w:pPr>
                    <w:adjustRightInd w:val="0"/>
                    <w:snapToGrid w:val="0"/>
                    <w:jc w:val="center"/>
                    <w:rPr>
                      <w:rFonts w:hint="eastAsia"/>
                      <w:color w:val="auto"/>
                      <w:szCs w:val="21"/>
                    </w:rPr>
                  </w:pPr>
                  <w:r>
                    <w:rPr>
                      <w:rFonts w:hint="eastAsia"/>
                      <w:color w:val="auto"/>
                      <w:szCs w:val="21"/>
                    </w:rPr>
                    <w:t>119.605681</w:t>
                  </w:r>
                </w:p>
              </w:tc>
              <w:tc>
                <w:tcPr>
                  <w:tcW w:w="625" w:type="pct"/>
                  <w:noWrap w:val="0"/>
                  <w:tcMar>
                    <w:top w:w="0" w:type="dxa"/>
                    <w:left w:w="0" w:type="dxa"/>
                    <w:bottom w:w="0" w:type="dxa"/>
                    <w:right w:w="0" w:type="dxa"/>
                  </w:tcMar>
                  <w:vAlign w:val="center"/>
                </w:tcPr>
                <w:p w14:paraId="721861AA">
                  <w:pPr>
                    <w:adjustRightInd w:val="0"/>
                    <w:snapToGrid w:val="0"/>
                    <w:jc w:val="center"/>
                    <w:rPr>
                      <w:rFonts w:hint="eastAsia"/>
                      <w:color w:val="auto"/>
                      <w:szCs w:val="21"/>
                    </w:rPr>
                  </w:pPr>
                  <w:r>
                    <w:rPr>
                      <w:rFonts w:hint="eastAsia"/>
                      <w:color w:val="auto"/>
                      <w:szCs w:val="21"/>
                    </w:rPr>
                    <w:t>31.758848</w:t>
                  </w:r>
                </w:p>
              </w:tc>
              <w:tc>
                <w:tcPr>
                  <w:tcW w:w="575" w:type="pct"/>
                  <w:noWrap w:val="0"/>
                  <w:tcMar>
                    <w:top w:w="0" w:type="dxa"/>
                    <w:left w:w="0" w:type="dxa"/>
                    <w:bottom w:w="0" w:type="dxa"/>
                    <w:right w:w="0" w:type="dxa"/>
                  </w:tcMar>
                  <w:vAlign w:val="center"/>
                </w:tcPr>
                <w:p w14:paraId="43200FF1">
                  <w:pPr>
                    <w:pStyle w:val="47"/>
                    <w:spacing w:beforeLines="0" w:afterLines="0" w:line="240" w:lineRule="auto"/>
                    <w:ind w:firstLine="0" w:firstLineChars="0"/>
                    <w:textAlignment w:val="auto"/>
                    <w:rPr>
                      <w:rFonts w:hint="eastAsia" w:ascii="Times New Roman" w:hAnsi="Times New Roman" w:eastAsia="宋体"/>
                      <w:b w:val="0"/>
                      <w:color w:val="auto"/>
                      <w:sz w:val="21"/>
                      <w:szCs w:val="21"/>
                      <w:lang w:eastAsia="zh-CN"/>
                    </w:rPr>
                  </w:pPr>
                  <w:r>
                    <w:rPr>
                      <w:rFonts w:hint="eastAsia" w:ascii="Times New Roman" w:hAnsi="Times New Roman" w:eastAsia="宋体"/>
                      <w:b w:val="0"/>
                      <w:color w:val="auto"/>
                      <w:sz w:val="21"/>
                      <w:szCs w:val="21"/>
                      <w:lang w:val="en-US" w:eastAsia="zh-CN"/>
                    </w:rPr>
                    <w:t>居民</w:t>
                  </w:r>
                </w:p>
              </w:tc>
              <w:tc>
                <w:tcPr>
                  <w:tcW w:w="768" w:type="pct"/>
                  <w:noWrap w:val="0"/>
                  <w:tcMar>
                    <w:top w:w="0" w:type="dxa"/>
                    <w:left w:w="0" w:type="dxa"/>
                    <w:bottom w:w="0" w:type="dxa"/>
                    <w:right w:w="0" w:type="dxa"/>
                  </w:tcMar>
                  <w:vAlign w:val="center"/>
                </w:tcPr>
                <w:p w14:paraId="4C7C1064">
                  <w:pPr>
                    <w:jc w:val="center"/>
                    <w:rPr>
                      <w:rFonts w:hint="default"/>
                      <w:color w:val="auto"/>
                      <w:szCs w:val="21"/>
                      <w:lang w:val="en-US" w:eastAsia="zh-CN"/>
                    </w:rPr>
                  </w:pPr>
                  <w:r>
                    <w:rPr>
                      <w:rFonts w:hint="eastAsia"/>
                      <w:color w:val="auto"/>
                      <w:szCs w:val="21"/>
                      <w:lang w:val="en-US" w:eastAsia="zh-CN"/>
                    </w:rPr>
                    <w:t>约420人</w:t>
                  </w:r>
                </w:p>
              </w:tc>
              <w:tc>
                <w:tcPr>
                  <w:tcW w:w="509" w:type="pct"/>
                  <w:noWrap w:val="0"/>
                  <w:tcMar>
                    <w:top w:w="0" w:type="dxa"/>
                    <w:left w:w="0" w:type="dxa"/>
                    <w:bottom w:w="0" w:type="dxa"/>
                    <w:right w:w="0" w:type="dxa"/>
                  </w:tcMar>
                  <w:vAlign w:val="center"/>
                </w:tcPr>
                <w:p w14:paraId="058DE14D">
                  <w:pPr>
                    <w:pStyle w:val="47"/>
                    <w:spacing w:beforeLines="0" w:afterLines="0" w:line="240" w:lineRule="auto"/>
                    <w:ind w:firstLine="0" w:firstLineChars="0"/>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二类区</w:t>
                  </w:r>
                </w:p>
              </w:tc>
              <w:tc>
                <w:tcPr>
                  <w:tcW w:w="502" w:type="pct"/>
                  <w:noWrap w:val="0"/>
                  <w:tcMar>
                    <w:top w:w="0" w:type="dxa"/>
                    <w:left w:w="0" w:type="dxa"/>
                    <w:bottom w:w="0" w:type="dxa"/>
                    <w:right w:w="0" w:type="dxa"/>
                  </w:tcMar>
                  <w:vAlign w:val="center"/>
                </w:tcPr>
                <w:p w14:paraId="764FFB2F">
                  <w:pPr>
                    <w:jc w:val="center"/>
                    <w:rPr>
                      <w:rFonts w:hint="default"/>
                      <w:color w:val="auto"/>
                      <w:szCs w:val="21"/>
                      <w:lang w:val="en-US" w:eastAsia="zh-CN"/>
                    </w:rPr>
                  </w:pPr>
                  <w:r>
                    <w:rPr>
                      <w:rFonts w:hint="eastAsia"/>
                      <w:color w:val="auto"/>
                      <w:szCs w:val="21"/>
                      <w:lang w:val="en-US" w:eastAsia="zh-CN"/>
                    </w:rPr>
                    <w:t>西</w:t>
                  </w:r>
                </w:p>
              </w:tc>
              <w:tc>
                <w:tcPr>
                  <w:tcW w:w="543" w:type="pct"/>
                  <w:noWrap w:val="0"/>
                  <w:tcMar>
                    <w:top w:w="0" w:type="dxa"/>
                    <w:left w:w="0" w:type="dxa"/>
                    <w:bottom w:w="0" w:type="dxa"/>
                    <w:right w:w="0" w:type="dxa"/>
                  </w:tcMar>
                  <w:vAlign w:val="center"/>
                </w:tcPr>
                <w:p w14:paraId="3B1502A0">
                  <w:pPr>
                    <w:jc w:val="center"/>
                    <w:rPr>
                      <w:rFonts w:hint="default"/>
                      <w:color w:val="auto"/>
                      <w:szCs w:val="21"/>
                      <w:lang w:val="en-US" w:eastAsia="zh-CN"/>
                    </w:rPr>
                  </w:pPr>
                  <w:r>
                    <w:rPr>
                      <w:rFonts w:hint="eastAsia"/>
                      <w:color w:val="auto"/>
                      <w:szCs w:val="21"/>
                      <w:lang w:val="en-US" w:eastAsia="zh-CN"/>
                    </w:rPr>
                    <w:t>320</w:t>
                  </w:r>
                </w:p>
              </w:tc>
            </w:tr>
            <w:tr w14:paraId="1E87A2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22" w:type="pct"/>
                  <w:noWrap w:val="0"/>
                  <w:tcMar>
                    <w:top w:w="0" w:type="dxa"/>
                    <w:left w:w="0" w:type="dxa"/>
                    <w:bottom w:w="0" w:type="dxa"/>
                    <w:right w:w="0" w:type="dxa"/>
                  </w:tcMar>
                  <w:vAlign w:val="center"/>
                </w:tcPr>
                <w:p w14:paraId="78FC0F36">
                  <w:pPr>
                    <w:autoSpaceDE w:val="0"/>
                    <w:autoSpaceDN w:val="0"/>
                    <w:adjustRightInd w:val="0"/>
                    <w:jc w:val="center"/>
                    <w:rPr>
                      <w:rFonts w:hint="default"/>
                      <w:color w:val="auto"/>
                      <w:szCs w:val="21"/>
                      <w:lang w:val="en-US" w:eastAsia="zh-CN"/>
                    </w:rPr>
                  </w:pPr>
                  <w:r>
                    <w:rPr>
                      <w:rFonts w:hint="eastAsia"/>
                      <w:color w:val="auto"/>
                      <w:szCs w:val="21"/>
                      <w:lang w:val="en-US" w:eastAsia="zh-CN"/>
                    </w:rPr>
                    <w:t>双墩村</w:t>
                  </w:r>
                </w:p>
              </w:tc>
              <w:tc>
                <w:tcPr>
                  <w:tcW w:w="652" w:type="pct"/>
                  <w:noWrap w:val="0"/>
                  <w:tcMar>
                    <w:top w:w="0" w:type="dxa"/>
                    <w:left w:w="0" w:type="dxa"/>
                    <w:bottom w:w="0" w:type="dxa"/>
                    <w:right w:w="0" w:type="dxa"/>
                  </w:tcMar>
                  <w:vAlign w:val="center"/>
                </w:tcPr>
                <w:p w14:paraId="108E440F">
                  <w:pPr>
                    <w:adjustRightInd w:val="0"/>
                    <w:snapToGrid w:val="0"/>
                    <w:jc w:val="center"/>
                    <w:rPr>
                      <w:rFonts w:hint="eastAsia"/>
                      <w:color w:val="auto"/>
                      <w:szCs w:val="21"/>
                    </w:rPr>
                  </w:pPr>
                  <w:r>
                    <w:rPr>
                      <w:rFonts w:hint="eastAsia"/>
                      <w:color w:val="auto"/>
                      <w:szCs w:val="21"/>
                    </w:rPr>
                    <w:t>119.610188</w:t>
                  </w:r>
                </w:p>
              </w:tc>
              <w:tc>
                <w:tcPr>
                  <w:tcW w:w="625" w:type="pct"/>
                  <w:noWrap w:val="0"/>
                  <w:tcMar>
                    <w:top w:w="0" w:type="dxa"/>
                    <w:left w:w="0" w:type="dxa"/>
                    <w:bottom w:w="0" w:type="dxa"/>
                    <w:right w:w="0" w:type="dxa"/>
                  </w:tcMar>
                  <w:vAlign w:val="center"/>
                </w:tcPr>
                <w:p w14:paraId="187D3A3B">
                  <w:pPr>
                    <w:adjustRightInd w:val="0"/>
                    <w:snapToGrid w:val="0"/>
                    <w:jc w:val="center"/>
                    <w:rPr>
                      <w:rFonts w:hint="eastAsia"/>
                      <w:color w:val="auto"/>
                      <w:szCs w:val="21"/>
                    </w:rPr>
                  </w:pPr>
                  <w:r>
                    <w:rPr>
                      <w:rFonts w:hint="eastAsia"/>
                      <w:color w:val="auto"/>
                      <w:szCs w:val="21"/>
                    </w:rPr>
                    <w:t>31.756488</w:t>
                  </w:r>
                </w:p>
              </w:tc>
              <w:tc>
                <w:tcPr>
                  <w:tcW w:w="575" w:type="pct"/>
                  <w:noWrap w:val="0"/>
                  <w:tcMar>
                    <w:top w:w="0" w:type="dxa"/>
                    <w:left w:w="0" w:type="dxa"/>
                    <w:bottom w:w="0" w:type="dxa"/>
                    <w:right w:w="0" w:type="dxa"/>
                  </w:tcMar>
                  <w:vAlign w:val="center"/>
                </w:tcPr>
                <w:p w14:paraId="5268154D">
                  <w:pPr>
                    <w:pStyle w:val="47"/>
                    <w:spacing w:beforeLines="0" w:afterLines="0" w:line="240" w:lineRule="auto"/>
                    <w:ind w:firstLine="0" w:firstLineChars="0"/>
                    <w:textAlignment w:val="auto"/>
                    <w:rPr>
                      <w:rFonts w:hint="eastAsia" w:ascii="Times New Roman" w:hAnsi="Times New Roman" w:eastAsia="宋体"/>
                      <w:b w:val="0"/>
                      <w:color w:val="auto"/>
                      <w:sz w:val="21"/>
                      <w:szCs w:val="21"/>
                      <w:lang w:eastAsia="zh-CN"/>
                    </w:rPr>
                  </w:pPr>
                  <w:r>
                    <w:rPr>
                      <w:rFonts w:hint="eastAsia" w:ascii="Times New Roman" w:hAnsi="Times New Roman" w:eastAsia="宋体"/>
                      <w:b w:val="0"/>
                      <w:color w:val="auto"/>
                      <w:sz w:val="21"/>
                      <w:szCs w:val="21"/>
                      <w:lang w:val="en-US" w:eastAsia="zh-CN"/>
                    </w:rPr>
                    <w:t>居民</w:t>
                  </w:r>
                </w:p>
              </w:tc>
              <w:tc>
                <w:tcPr>
                  <w:tcW w:w="768" w:type="pct"/>
                  <w:noWrap w:val="0"/>
                  <w:tcMar>
                    <w:top w:w="0" w:type="dxa"/>
                    <w:left w:w="0" w:type="dxa"/>
                    <w:bottom w:w="0" w:type="dxa"/>
                    <w:right w:w="0" w:type="dxa"/>
                  </w:tcMar>
                  <w:vAlign w:val="center"/>
                </w:tcPr>
                <w:p w14:paraId="07DB0AE4">
                  <w:pPr>
                    <w:jc w:val="center"/>
                    <w:rPr>
                      <w:rFonts w:hint="default"/>
                      <w:color w:val="auto"/>
                      <w:szCs w:val="21"/>
                      <w:lang w:val="en-US" w:eastAsia="zh-CN"/>
                    </w:rPr>
                  </w:pPr>
                  <w:r>
                    <w:rPr>
                      <w:rFonts w:hint="eastAsia"/>
                      <w:color w:val="auto"/>
                      <w:szCs w:val="21"/>
                      <w:lang w:val="en-US" w:eastAsia="zh-CN"/>
                    </w:rPr>
                    <w:t>约70人</w:t>
                  </w:r>
                </w:p>
              </w:tc>
              <w:tc>
                <w:tcPr>
                  <w:tcW w:w="509" w:type="pct"/>
                  <w:noWrap w:val="0"/>
                  <w:tcMar>
                    <w:top w:w="0" w:type="dxa"/>
                    <w:left w:w="0" w:type="dxa"/>
                    <w:bottom w:w="0" w:type="dxa"/>
                    <w:right w:w="0" w:type="dxa"/>
                  </w:tcMar>
                  <w:vAlign w:val="center"/>
                </w:tcPr>
                <w:p w14:paraId="4FE786CA">
                  <w:pPr>
                    <w:pStyle w:val="47"/>
                    <w:spacing w:beforeLines="0" w:afterLines="0" w:line="240" w:lineRule="auto"/>
                    <w:ind w:firstLine="0" w:firstLineChars="0"/>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二类区</w:t>
                  </w:r>
                </w:p>
              </w:tc>
              <w:tc>
                <w:tcPr>
                  <w:tcW w:w="502" w:type="pct"/>
                  <w:noWrap w:val="0"/>
                  <w:tcMar>
                    <w:top w:w="0" w:type="dxa"/>
                    <w:left w:w="0" w:type="dxa"/>
                    <w:bottom w:w="0" w:type="dxa"/>
                    <w:right w:w="0" w:type="dxa"/>
                  </w:tcMar>
                  <w:vAlign w:val="center"/>
                </w:tcPr>
                <w:p w14:paraId="0E500B50">
                  <w:pPr>
                    <w:jc w:val="center"/>
                    <w:rPr>
                      <w:rFonts w:hint="default"/>
                      <w:color w:val="auto"/>
                      <w:szCs w:val="21"/>
                      <w:lang w:val="en-US" w:eastAsia="zh-CN"/>
                    </w:rPr>
                  </w:pPr>
                  <w:r>
                    <w:rPr>
                      <w:rFonts w:hint="eastAsia"/>
                      <w:color w:val="auto"/>
                      <w:szCs w:val="21"/>
                      <w:lang w:val="en-US" w:eastAsia="zh-CN"/>
                    </w:rPr>
                    <w:t>东南</w:t>
                  </w:r>
                </w:p>
              </w:tc>
              <w:tc>
                <w:tcPr>
                  <w:tcW w:w="543" w:type="pct"/>
                  <w:noWrap w:val="0"/>
                  <w:tcMar>
                    <w:top w:w="0" w:type="dxa"/>
                    <w:left w:w="0" w:type="dxa"/>
                    <w:bottom w:w="0" w:type="dxa"/>
                    <w:right w:w="0" w:type="dxa"/>
                  </w:tcMar>
                  <w:vAlign w:val="center"/>
                </w:tcPr>
                <w:p w14:paraId="1ADC6AB0">
                  <w:pPr>
                    <w:jc w:val="center"/>
                    <w:rPr>
                      <w:rFonts w:hint="default"/>
                      <w:color w:val="auto"/>
                      <w:szCs w:val="21"/>
                      <w:lang w:val="en-US" w:eastAsia="zh-CN"/>
                    </w:rPr>
                  </w:pPr>
                  <w:r>
                    <w:rPr>
                      <w:rFonts w:hint="eastAsia"/>
                      <w:color w:val="auto"/>
                      <w:szCs w:val="21"/>
                      <w:lang w:val="en-US" w:eastAsia="zh-CN"/>
                    </w:rPr>
                    <w:t>215</w:t>
                  </w:r>
                </w:p>
              </w:tc>
            </w:tr>
            <w:tr w14:paraId="708365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22" w:type="pct"/>
                  <w:noWrap w:val="0"/>
                  <w:tcMar>
                    <w:top w:w="0" w:type="dxa"/>
                    <w:left w:w="0" w:type="dxa"/>
                    <w:bottom w:w="0" w:type="dxa"/>
                    <w:right w:w="0" w:type="dxa"/>
                  </w:tcMar>
                  <w:vAlign w:val="center"/>
                </w:tcPr>
                <w:p w14:paraId="1BC49E44">
                  <w:pPr>
                    <w:autoSpaceDE w:val="0"/>
                    <w:autoSpaceDN w:val="0"/>
                    <w:adjustRightInd w:val="0"/>
                    <w:jc w:val="center"/>
                    <w:rPr>
                      <w:rFonts w:hint="default"/>
                      <w:color w:val="auto"/>
                      <w:szCs w:val="21"/>
                      <w:lang w:val="en-US" w:eastAsia="zh-CN"/>
                    </w:rPr>
                  </w:pPr>
                  <w:r>
                    <w:rPr>
                      <w:rFonts w:hint="eastAsia"/>
                      <w:color w:val="auto"/>
                      <w:szCs w:val="21"/>
                      <w:lang w:val="en-US" w:eastAsia="zh-CN"/>
                    </w:rPr>
                    <w:t>东方新都</w:t>
                  </w:r>
                </w:p>
              </w:tc>
              <w:tc>
                <w:tcPr>
                  <w:tcW w:w="652" w:type="pct"/>
                  <w:noWrap w:val="0"/>
                  <w:tcMar>
                    <w:top w:w="0" w:type="dxa"/>
                    <w:left w:w="0" w:type="dxa"/>
                    <w:bottom w:w="0" w:type="dxa"/>
                    <w:right w:w="0" w:type="dxa"/>
                  </w:tcMar>
                  <w:vAlign w:val="center"/>
                </w:tcPr>
                <w:p w14:paraId="17C44BD5">
                  <w:pPr>
                    <w:adjustRightInd w:val="0"/>
                    <w:snapToGrid w:val="0"/>
                    <w:jc w:val="center"/>
                    <w:rPr>
                      <w:rFonts w:hint="eastAsia"/>
                      <w:color w:val="auto"/>
                      <w:szCs w:val="21"/>
                    </w:rPr>
                  </w:pPr>
                  <w:r>
                    <w:rPr>
                      <w:rFonts w:hint="eastAsia"/>
                      <w:color w:val="auto"/>
                      <w:szCs w:val="21"/>
                    </w:rPr>
                    <w:t>119.612580</w:t>
                  </w:r>
                </w:p>
              </w:tc>
              <w:tc>
                <w:tcPr>
                  <w:tcW w:w="625" w:type="pct"/>
                  <w:noWrap w:val="0"/>
                  <w:tcMar>
                    <w:top w:w="0" w:type="dxa"/>
                    <w:left w:w="0" w:type="dxa"/>
                    <w:bottom w:w="0" w:type="dxa"/>
                    <w:right w:w="0" w:type="dxa"/>
                  </w:tcMar>
                  <w:vAlign w:val="center"/>
                </w:tcPr>
                <w:p w14:paraId="1624045B">
                  <w:pPr>
                    <w:adjustRightInd w:val="0"/>
                    <w:snapToGrid w:val="0"/>
                    <w:jc w:val="center"/>
                    <w:rPr>
                      <w:rFonts w:hint="eastAsia"/>
                      <w:color w:val="auto"/>
                      <w:szCs w:val="21"/>
                    </w:rPr>
                  </w:pPr>
                  <w:r>
                    <w:rPr>
                      <w:rFonts w:hint="eastAsia"/>
                      <w:color w:val="auto"/>
                      <w:szCs w:val="21"/>
                    </w:rPr>
                    <w:t>31.758827</w:t>
                  </w:r>
                </w:p>
              </w:tc>
              <w:tc>
                <w:tcPr>
                  <w:tcW w:w="575" w:type="pct"/>
                  <w:noWrap w:val="0"/>
                  <w:tcMar>
                    <w:top w:w="0" w:type="dxa"/>
                    <w:left w:w="0" w:type="dxa"/>
                    <w:bottom w:w="0" w:type="dxa"/>
                    <w:right w:w="0" w:type="dxa"/>
                  </w:tcMar>
                  <w:vAlign w:val="center"/>
                </w:tcPr>
                <w:p w14:paraId="4C39A8C2">
                  <w:pPr>
                    <w:pStyle w:val="47"/>
                    <w:spacing w:beforeLines="0" w:afterLines="0" w:line="240" w:lineRule="auto"/>
                    <w:ind w:firstLine="0" w:firstLineChars="0"/>
                    <w:textAlignment w:val="auto"/>
                    <w:rPr>
                      <w:rFonts w:hint="eastAsia" w:ascii="Times New Roman" w:hAnsi="Times New Roman" w:eastAsia="宋体"/>
                      <w:b w:val="0"/>
                      <w:color w:val="auto"/>
                      <w:sz w:val="21"/>
                      <w:szCs w:val="21"/>
                      <w:lang w:eastAsia="zh-CN"/>
                    </w:rPr>
                  </w:pPr>
                  <w:r>
                    <w:rPr>
                      <w:rFonts w:hint="eastAsia" w:ascii="Times New Roman" w:hAnsi="Times New Roman" w:eastAsia="宋体"/>
                      <w:b w:val="0"/>
                      <w:color w:val="auto"/>
                      <w:sz w:val="21"/>
                      <w:szCs w:val="21"/>
                      <w:lang w:val="en-US" w:eastAsia="zh-CN"/>
                    </w:rPr>
                    <w:t>居民</w:t>
                  </w:r>
                </w:p>
              </w:tc>
              <w:tc>
                <w:tcPr>
                  <w:tcW w:w="768" w:type="pct"/>
                  <w:noWrap w:val="0"/>
                  <w:tcMar>
                    <w:top w:w="0" w:type="dxa"/>
                    <w:left w:w="0" w:type="dxa"/>
                    <w:bottom w:w="0" w:type="dxa"/>
                    <w:right w:w="0" w:type="dxa"/>
                  </w:tcMar>
                  <w:vAlign w:val="center"/>
                </w:tcPr>
                <w:p w14:paraId="573FAA67">
                  <w:pPr>
                    <w:jc w:val="center"/>
                    <w:rPr>
                      <w:rFonts w:hint="default"/>
                      <w:color w:val="auto"/>
                      <w:szCs w:val="21"/>
                      <w:lang w:val="en-US" w:eastAsia="zh-CN"/>
                    </w:rPr>
                  </w:pPr>
                  <w:r>
                    <w:rPr>
                      <w:rFonts w:hint="eastAsia"/>
                      <w:color w:val="auto"/>
                      <w:szCs w:val="21"/>
                      <w:lang w:val="en-US" w:eastAsia="zh-CN"/>
                    </w:rPr>
                    <w:t>约1500人</w:t>
                  </w:r>
                </w:p>
              </w:tc>
              <w:tc>
                <w:tcPr>
                  <w:tcW w:w="509" w:type="pct"/>
                  <w:noWrap w:val="0"/>
                  <w:tcMar>
                    <w:top w:w="0" w:type="dxa"/>
                    <w:left w:w="0" w:type="dxa"/>
                    <w:bottom w:w="0" w:type="dxa"/>
                    <w:right w:w="0" w:type="dxa"/>
                  </w:tcMar>
                  <w:vAlign w:val="center"/>
                </w:tcPr>
                <w:p w14:paraId="15232DBB">
                  <w:pPr>
                    <w:pStyle w:val="47"/>
                    <w:spacing w:beforeLines="0" w:afterLines="0" w:line="240" w:lineRule="auto"/>
                    <w:ind w:firstLine="0" w:firstLineChars="0"/>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二类区</w:t>
                  </w:r>
                </w:p>
              </w:tc>
              <w:tc>
                <w:tcPr>
                  <w:tcW w:w="502" w:type="pct"/>
                  <w:noWrap w:val="0"/>
                  <w:tcMar>
                    <w:top w:w="0" w:type="dxa"/>
                    <w:left w:w="0" w:type="dxa"/>
                    <w:bottom w:w="0" w:type="dxa"/>
                    <w:right w:w="0" w:type="dxa"/>
                  </w:tcMar>
                  <w:vAlign w:val="center"/>
                </w:tcPr>
                <w:p w14:paraId="55C12CE3">
                  <w:pPr>
                    <w:jc w:val="center"/>
                    <w:rPr>
                      <w:rFonts w:hint="default"/>
                      <w:color w:val="auto"/>
                      <w:szCs w:val="21"/>
                      <w:lang w:val="en-US" w:eastAsia="zh-CN"/>
                    </w:rPr>
                  </w:pPr>
                  <w:r>
                    <w:rPr>
                      <w:rFonts w:hint="eastAsia"/>
                      <w:color w:val="auto"/>
                      <w:szCs w:val="21"/>
                      <w:lang w:val="en-US" w:eastAsia="zh-CN"/>
                    </w:rPr>
                    <w:t>东</w:t>
                  </w:r>
                </w:p>
              </w:tc>
              <w:tc>
                <w:tcPr>
                  <w:tcW w:w="543" w:type="pct"/>
                  <w:noWrap w:val="0"/>
                  <w:tcMar>
                    <w:top w:w="0" w:type="dxa"/>
                    <w:left w:w="0" w:type="dxa"/>
                    <w:bottom w:w="0" w:type="dxa"/>
                    <w:right w:w="0" w:type="dxa"/>
                  </w:tcMar>
                  <w:vAlign w:val="center"/>
                </w:tcPr>
                <w:p w14:paraId="6428AD8C">
                  <w:pPr>
                    <w:jc w:val="center"/>
                    <w:rPr>
                      <w:rFonts w:hint="default"/>
                      <w:color w:val="auto"/>
                      <w:szCs w:val="21"/>
                      <w:lang w:val="en-US" w:eastAsia="zh-CN"/>
                    </w:rPr>
                  </w:pPr>
                  <w:r>
                    <w:rPr>
                      <w:rFonts w:hint="eastAsia"/>
                      <w:color w:val="auto"/>
                      <w:szCs w:val="21"/>
                      <w:lang w:val="en-US" w:eastAsia="zh-CN"/>
                    </w:rPr>
                    <w:t>285</w:t>
                  </w:r>
                </w:p>
              </w:tc>
            </w:tr>
          </w:tbl>
          <w:p w14:paraId="636160CB">
            <w:pPr>
              <w:pStyle w:val="8"/>
              <w:keepNext/>
              <w:keepLines w:val="0"/>
              <w:pageBreakBefore w:val="0"/>
              <w:widowControl/>
              <w:kinsoku/>
              <w:wordWrap/>
              <w:overflowPunct/>
              <w:topLinePunct w:val="0"/>
              <w:autoSpaceDE/>
              <w:autoSpaceDN/>
              <w:bidi w:val="0"/>
              <w:adjustRightInd w:val="0"/>
              <w:snapToGrid w:val="0"/>
              <w:spacing w:before="157" w:beforeLines="50" w:line="240" w:lineRule="auto"/>
              <w:jc w:val="center"/>
              <w:textAlignment w:val="auto"/>
              <w:rPr>
                <w:color w:val="auto"/>
                <w:kern w:val="0"/>
                <w:szCs w:val="21"/>
              </w:rPr>
            </w:pPr>
            <w:r>
              <w:rPr>
                <w:rFonts w:ascii="Times New Roman" w:hAnsi="Times New Roman"/>
                <w:color w:val="auto"/>
                <w:sz w:val="21"/>
                <w:szCs w:val="21"/>
              </w:rPr>
              <w:t>表3-</w:t>
            </w:r>
            <w:r>
              <w:rPr>
                <w:rFonts w:hint="eastAsia" w:ascii="Times New Roman" w:hAnsi="Times New Roman"/>
                <w:color w:val="auto"/>
                <w:sz w:val="21"/>
                <w:szCs w:val="21"/>
                <w:lang w:val="en-US" w:eastAsia="zh-CN"/>
              </w:rPr>
              <w:t>5</w:t>
            </w:r>
            <w:r>
              <w:rPr>
                <w:rFonts w:ascii="Times New Roman" w:hAnsi="Times New Roman"/>
                <w:color w:val="auto"/>
                <w:sz w:val="21"/>
                <w:szCs w:val="21"/>
              </w:rPr>
              <w:t xml:space="preserve"> 其他环境要素保护目标一览表</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46"/>
              <w:gridCol w:w="1417"/>
              <w:gridCol w:w="663"/>
              <w:gridCol w:w="809"/>
              <w:gridCol w:w="733"/>
              <w:gridCol w:w="3551"/>
            </w:tblGrid>
            <w:tr w14:paraId="65ACC9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pct"/>
                  <w:noWrap w:val="0"/>
                  <w:tcMar>
                    <w:top w:w="0" w:type="dxa"/>
                    <w:left w:w="0" w:type="dxa"/>
                    <w:bottom w:w="0" w:type="dxa"/>
                    <w:right w:w="0" w:type="dxa"/>
                  </w:tcMar>
                  <w:vAlign w:val="center"/>
                </w:tcPr>
                <w:p w14:paraId="77D6EFD0">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环境要素</w:t>
                  </w:r>
                </w:p>
              </w:tc>
              <w:tc>
                <w:tcPr>
                  <w:tcW w:w="862" w:type="pct"/>
                  <w:noWrap w:val="0"/>
                  <w:tcMar>
                    <w:top w:w="0" w:type="dxa"/>
                    <w:left w:w="0" w:type="dxa"/>
                    <w:bottom w:w="0" w:type="dxa"/>
                    <w:right w:w="0" w:type="dxa"/>
                  </w:tcMar>
                  <w:vAlign w:val="center"/>
                </w:tcPr>
                <w:p w14:paraId="7A7633E1">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环境保护对象</w:t>
                  </w:r>
                </w:p>
              </w:tc>
              <w:tc>
                <w:tcPr>
                  <w:tcW w:w="403" w:type="pct"/>
                  <w:noWrap w:val="0"/>
                  <w:tcMar>
                    <w:top w:w="0" w:type="dxa"/>
                    <w:left w:w="0" w:type="dxa"/>
                    <w:bottom w:w="0" w:type="dxa"/>
                    <w:right w:w="0" w:type="dxa"/>
                  </w:tcMar>
                  <w:vAlign w:val="center"/>
                </w:tcPr>
                <w:p w14:paraId="03D0A5D1">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方位</w:t>
                  </w:r>
                </w:p>
              </w:tc>
              <w:tc>
                <w:tcPr>
                  <w:tcW w:w="492" w:type="pct"/>
                  <w:noWrap w:val="0"/>
                  <w:tcMar>
                    <w:top w:w="0" w:type="dxa"/>
                    <w:left w:w="0" w:type="dxa"/>
                    <w:bottom w:w="0" w:type="dxa"/>
                    <w:right w:w="0" w:type="dxa"/>
                  </w:tcMar>
                  <w:vAlign w:val="center"/>
                </w:tcPr>
                <w:p w14:paraId="7113FD79">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距离</w:t>
                  </w:r>
                </w:p>
              </w:tc>
              <w:tc>
                <w:tcPr>
                  <w:tcW w:w="445" w:type="pct"/>
                  <w:noWrap w:val="0"/>
                  <w:tcMar>
                    <w:top w:w="0" w:type="dxa"/>
                    <w:left w:w="0" w:type="dxa"/>
                    <w:bottom w:w="0" w:type="dxa"/>
                    <w:right w:w="0" w:type="dxa"/>
                  </w:tcMar>
                  <w:vAlign w:val="center"/>
                </w:tcPr>
                <w:p w14:paraId="54B7ED96">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规模</w:t>
                  </w:r>
                </w:p>
              </w:tc>
              <w:tc>
                <w:tcPr>
                  <w:tcW w:w="2160" w:type="pct"/>
                  <w:noWrap w:val="0"/>
                  <w:tcMar>
                    <w:top w:w="0" w:type="dxa"/>
                    <w:left w:w="0" w:type="dxa"/>
                    <w:bottom w:w="0" w:type="dxa"/>
                    <w:right w:w="0" w:type="dxa"/>
                  </w:tcMar>
                  <w:vAlign w:val="center"/>
                </w:tcPr>
                <w:p w14:paraId="532440D5">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环境功能</w:t>
                  </w:r>
                </w:p>
              </w:tc>
            </w:tr>
            <w:tr w14:paraId="367BD1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pct"/>
                  <w:noWrap w:val="0"/>
                  <w:tcMar>
                    <w:top w:w="0" w:type="dxa"/>
                    <w:left w:w="0" w:type="dxa"/>
                    <w:bottom w:w="0" w:type="dxa"/>
                    <w:right w:w="0" w:type="dxa"/>
                  </w:tcMar>
                  <w:vAlign w:val="center"/>
                </w:tcPr>
                <w:p w14:paraId="3289DB5D">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地表水环境</w:t>
                  </w:r>
                </w:p>
              </w:tc>
              <w:tc>
                <w:tcPr>
                  <w:tcW w:w="862" w:type="pct"/>
                  <w:noWrap w:val="0"/>
                  <w:tcMar>
                    <w:top w:w="0" w:type="dxa"/>
                    <w:left w:w="0" w:type="dxa"/>
                    <w:bottom w:w="0" w:type="dxa"/>
                    <w:right w:w="0" w:type="dxa"/>
                  </w:tcMar>
                  <w:vAlign w:val="center"/>
                </w:tcPr>
                <w:p w14:paraId="54BEE851">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尧塘河</w:t>
                  </w:r>
                </w:p>
              </w:tc>
              <w:tc>
                <w:tcPr>
                  <w:tcW w:w="403" w:type="pct"/>
                  <w:noWrap w:val="0"/>
                  <w:tcMar>
                    <w:top w:w="0" w:type="dxa"/>
                    <w:left w:w="0" w:type="dxa"/>
                    <w:bottom w:w="0" w:type="dxa"/>
                    <w:right w:w="0" w:type="dxa"/>
                  </w:tcMar>
                  <w:vAlign w:val="center"/>
                </w:tcPr>
                <w:p w14:paraId="5CFE33F6">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color w:val="auto"/>
                      <w:sz w:val="21"/>
                      <w:szCs w:val="21"/>
                    </w:rPr>
                  </w:pPr>
                  <w:r>
                    <w:rPr>
                      <w:rFonts w:hint="eastAsia"/>
                      <w:bCs/>
                      <w:color w:val="auto"/>
                      <w:szCs w:val="21"/>
                    </w:rPr>
                    <w:t>NE</w:t>
                  </w:r>
                </w:p>
              </w:tc>
              <w:tc>
                <w:tcPr>
                  <w:tcW w:w="492" w:type="pct"/>
                  <w:noWrap w:val="0"/>
                  <w:tcMar>
                    <w:top w:w="0" w:type="dxa"/>
                    <w:left w:w="0" w:type="dxa"/>
                    <w:bottom w:w="0" w:type="dxa"/>
                    <w:right w:w="0" w:type="dxa"/>
                  </w:tcMar>
                  <w:vAlign w:val="center"/>
                </w:tcPr>
                <w:p w14:paraId="13A74D95">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400</w:t>
                  </w:r>
                  <w:r>
                    <w:rPr>
                      <w:rFonts w:hint="default" w:ascii="Times New Roman" w:hAnsi="Times New Roman" w:eastAsia="宋体" w:cs="Times New Roman"/>
                      <w:color w:val="auto"/>
                      <w:sz w:val="21"/>
                      <w:szCs w:val="21"/>
                    </w:rPr>
                    <w:t>m</w:t>
                  </w:r>
                </w:p>
              </w:tc>
              <w:tc>
                <w:tcPr>
                  <w:tcW w:w="445" w:type="pct"/>
                  <w:noWrap w:val="0"/>
                  <w:tcMar>
                    <w:top w:w="0" w:type="dxa"/>
                    <w:left w:w="0" w:type="dxa"/>
                    <w:bottom w:w="0" w:type="dxa"/>
                    <w:right w:w="0" w:type="dxa"/>
                  </w:tcMar>
                  <w:vAlign w:val="center"/>
                </w:tcPr>
                <w:p w14:paraId="7922923C">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小型</w:t>
                  </w:r>
                </w:p>
              </w:tc>
              <w:tc>
                <w:tcPr>
                  <w:tcW w:w="2160" w:type="pct"/>
                  <w:noWrap w:val="0"/>
                  <w:tcMar>
                    <w:top w:w="0" w:type="dxa"/>
                    <w:left w:w="0" w:type="dxa"/>
                    <w:bottom w:w="0" w:type="dxa"/>
                    <w:right w:w="0" w:type="dxa"/>
                  </w:tcMar>
                  <w:vAlign w:val="center"/>
                </w:tcPr>
                <w:p w14:paraId="5973BD02">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《地表水环境质量标准》（GB3838-2002）中III类</w:t>
                  </w:r>
                </w:p>
              </w:tc>
            </w:tr>
            <w:tr w14:paraId="59C18B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pct"/>
                  <w:vMerge w:val="restart"/>
                  <w:noWrap w:val="0"/>
                  <w:tcMar>
                    <w:top w:w="0" w:type="dxa"/>
                    <w:left w:w="0" w:type="dxa"/>
                    <w:bottom w:w="0" w:type="dxa"/>
                    <w:right w:w="0" w:type="dxa"/>
                  </w:tcMar>
                  <w:vAlign w:val="center"/>
                </w:tcPr>
                <w:p w14:paraId="41DFE98E">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生态环境</w:t>
                  </w:r>
                </w:p>
              </w:tc>
              <w:tc>
                <w:tcPr>
                  <w:tcW w:w="862" w:type="pct"/>
                  <w:noWrap w:val="0"/>
                  <w:tcMar>
                    <w:top w:w="0" w:type="dxa"/>
                    <w:left w:w="0" w:type="dxa"/>
                    <w:bottom w:w="0" w:type="dxa"/>
                    <w:right w:w="0" w:type="dxa"/>
                  </w:tcMar>
                  <w:vAlign w:val="center"/>
                </w:tcPr>
                <w:p w14:paraId="73DD1112">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eastAsia"/>
                      <w:color w:val="auto"/>
                      <w:szCs w:val="21"/>
                    </w:rPr>
                    <w:t>长荡湖（金坛区）重要湿地</w:t>
                  </w:r>
                </w:p>
              </w:tc>
              <w:tc>
                <w:tcPr>
                  <w:tcW w:w="403" w:type="pct"/>
                  <w:noWrap w:val="0"/>
                  <w:tcMar>
                    <w:top w:w="0" w:type="dxa"/>
                    <w:left w:w="0" w:type="dxa"/>
                    <w:bottom w:w="0" w:type="dxa"/>
                    <w:right w:w="0" w:type="dxa"/>
                  </w:tcMar>
                  <w:vAlign w:val="center"/>
                </w:tcPr>
                <w:p w14:paraId="1D0E25C6">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WS</w:t>
                  </w:r>
                </w:p>
              </w:tc>
              <w:tc>
                <w:tcPr>
                  <w:tcW w:w="492" w:type="pct"/>
                  <w:noWrap w:val="0"/>
                  <w:tcMar>
                    <w:top w:w="0" w:type="dxa"/>
                    <w:left w:w="0" w:type="dxa"/>
                    <w:bottom w:w="0" w:type="dxa"/>
                    <w:right w:w="0" w:type="dxa"/>
                  </w:tcMar>
                  <w:vAlign w:val="center"/>
                </w:tcPr>
                <w:p w14:paraId="6884075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9.5</w:t>
                  </w:r>
                  <w:r>
                    <w:rPr>
                      <w:rFonts w:hint="default" w:ascii="Times New Roman" w:hAnsi="Times New Roman" w:eastAsia="宋体" w:cs="Times New Roman"/>
                      <w:color w:val="auto"/>
                      <w:sz w:val="21"/>
                      <w:szCs w:val="21"/>
                    </w:rPr>
                    <w:t>km</w:t>
                  </w:r>
                </w:p>
              </w:tc>
              <w:tc>
                <w:tcPr>
                  <w:tcW w:w="445" w:type="pct"/>
                  <w:noWrap w:val="0"/>
                  <w:tcMar>
                    <w:top w:w="0" w:type="dxa"/>
                    <w:left w:w="0" w:type="dxa"/>
                    <w:bottom w:w="0" w:type="dxa"/>
                    <w:right w:w="0" w:type="dxa"/>
                  </w:tcMar>
                  <w:vAlign w:val="center"/>
                </w:tcPr>
                <w:p w14:paraId="0009BEBE">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2160" w:type="pct"/>
                  <w:noWrap w:val="0"/>
                  <w:tcMar>
                    <w:top w:w="0" w:type="dxa"/>
                    <w:left w:w="0" w:type="dxa"/>
                    <w:bottom w:w="0" w:type="dxa"/>
                    <w:right w:w="0" w:type="dxa"/>
                  </w:tcMar>
                  <w:vAlign w:val="center"/>
                </w:tcPr>
                <w:p w14:paraId="4DE4F11E">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color w:val="auto"/>
                      <w:szCs w:val="21"/>
                    </w:rPr>
                    <w:t>湿地生态系统保护</w:t>
                  </w:r>
                </w:p>
              </w:tc>
            </w:tr>
            <w:tr w14:paraId="66A97B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pct"/>
                  <w:vMerge w:val="continue"/>
                  <w:noWrap w:val="0"/>
                  <w:tcMar>
                    <w:top w:w="0" w:type="dxa"/>
                    <w:left w:w="0" w:type="dxa"/>
                    <w:bottom w:w="0" w:type="dxa"/>
                    <w:right w:w="0" w:type="dxa"/>
                  </w:tcMar>
                  <w:vAlign w:val="center"/>
                </w:tcPr>
                <w:p w14:paraId="266F341D">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p>
              </w:tc>
              <w:tc>
                <w:tcPr>
                  <w:tcW w:w="862" w:type="pct"/>
                  <w:noWrap w:val="0"/>
                  <w:tcMar>
                    <w:top w:w="0" w:type="dxa"/>
                    <w:left w:w="0" w:type="dxa"/>
                    <w:bottom w:w="0" w:type="dxa"/>
                    <w:right w:w="0" w:type="dxa"/>
                  </w:tcMar>
                  <w:vAlign w:val="center"/>
                </w:tcPr>
                <w:p w14:paraId="485982E2">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钱资湖湿地</w:t>
                  </w:r>
                </w:p>
              </w:tc>
              <w:tc>
                <w:tcPr>
                  <w:tcW w:w="403" w:type="pct"/>
                  <w:noWrap w:val="0"/>
                  <w:tcMar>
                    <w:top w:w="0" w:type="dxa"/>
                    <w:left w:w="0" w:type="dxa"/>
                    <w:bottom w:w="0" w:type="dxa"/>
                    <w:right w:w="0" w:type="dxa"/>
                  </w:tcMar>
                  <w:vAlign w:val="center"/>
                </w:tcPr>
                <w:p w14:paraId="35995BC6">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WS</w:t>
                  </w:r>
                </w:p>
              </w:tc>
              <w:tc>
                <w:tcPr>
                  <w:tcW w:w="492" w:type="pct"/>
                  <w:noWrap w:val="0"/>
                  <w:tcMar>
                    <w:top w:w="0" w:type="dxa"/>
                    <w:left w:w="0" w:type="dxa"/>
                    <w:bottom w:w="0" w:type="dxa"/>
                    <w:right w:w="0" w:type="dxa"/>
                  </w:tcMar>
                  <w:vAlign w:val="center"/>
                </w:tcPr>
                <w:p w14:paraId="003C9F38">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color w:val="auto"/>
                      <w:sz w:val="21"/>
                      <w:szCs w:val="21"/>
                    </w:rPr>
                  </w:pPr>
                  <w:r>
                    <w:rPr>
                      <w:rFonts w:hint="eastAsia" w:cs="Times New Roman"/>
                      <w:bCs/>
                      <w:color w:val="auto"/>
                      <w:sz w:val="21"/>
                      <w:szCs w:val="21"/>
                      <w:lang w:val="en-US" w:eastAsia="zh-CN"/>
                    </w:rPr>
                    <w:t>5.4</w:t>
                  </w:r>
                  <w:r>
                    <w:rPr>
                      <w:rFonts w:hint="default" w:ascii="Times New Roman" w:hAnsi="Times New Roman" w:eastAsia="宋体" w:cs="Times New Roman"/>
                      <w:bCs/>
                      <w:color w:val="auto"/>
                      <w:sz w:val="21"/>
                      <w:szCs w:val="21"/>
                    </w:rPr>
                    <w:t>km</w:t>
                  </w:r>
                </w:p>
              </w:tc>
              <w:tc>
                <w:tcPr>
                  <w:tcW w:w="445" w:type="pct"/>
                  <w:noWrap w:val="0"/>
                  <w:tcMar>
                    <w:top w:w="0" w:type="dxa"/>
                    <w:left w:w="0" w:type="dxa"/>
                    <w:bottom w:w="0" w:type="dxa"/>
                    <w:right w:w="0" w:type="dxa"/>
                  </w:tcMar>
                  <w:vAlign w:val="center"/>
                </w:tcPr>
                <w:p w14:paraId="64E67C7F">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2160" w:type="pct"/>
                  <w:noWrap w:val="0"/>
                  <w:tcMar>
                    <w:top w:w="0" w:type="dxa"/>
                    <w:left w:w="0" w:type="dxa"/>
                    <w:bottom w:w="0" w:type="dxa"/>
                    <w:right w:w="0" w:type="dxa"/>
                  </w:tcMar>
                  <w:vAlign w:val="center"/>
                </w:tcPr>
                <w:p w14:paraId="10030A5F">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湿地生态系统保护</w:t>
                  </w:r>
                </w:p>
              </w:tc>
            </w:tr>
            <w:tr w14:paraId="434C3F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pct"/>
                  <w:vMerge w:val="continue"/>
                  <w:noWrap w:val="0"/>
                  <w:tcMar>
                    <w:top w:w="0" w:type="dxa"/>
                    <w:left w:w="0" w:type="dxa"/>
                    <w:bottom w:w="0" w:type="dxa"/>
                    <w:right w:w="0" w:type="dxa"/>
                  </w:tcMar>
                  <w:vAlign w:val="center"/>
                </w:tcPr>
                <w:p w14:paraId="671F8EE7">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p>
              </w:tc>
              <w:tc>
                <w:tcPr>
                  <w:tcW w:w="862" w:type="pct"/>
                  <w:noWrap w:val="0"/>
                  <w:tcMar>
                    <w:top w:w="0" w:type="dxa"/>
                    <w:left w:w="0" w:type="dxa"/>
                    <w:bottom w:w="0" w:type="dxa"/>
                    <w:right w:w="0" w:type="dxa"/>
                  </w:tcMar>
                  <w:vAlign w:val="center"/>
                </w:tcPr>
                <w:p w14:paraId="6646E389">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丹金溧漕河（金坛区）</w:t>
                  </w:r>
                </w:p>
              </w:tc>
              <w:tc>
                <w:tcPr>
                  <w:tcW w:w="403" w:type="pct"/>
                  <w:noWrap w:val="0"/>
                  <w:tcMar>
                    <w:top w:w="0" w:type="dxa"/>
                    <w:left w:w="0" w:type="dxa"/>
                    <w:bottom w:w="0" w:type="dxa"/>
                    <w:right w:w="0" w:type="dxa"/>
                  </w:tcMar>
                  <w:vAlign w:val="center"/>
                </w:tcPr>
                <w:p w14:paraId="33C4FEE2">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NW</w:t>
                  </w:r>
                </w:p>
              </w:tc>
              <w:tc>
                <w:tcPr>
                  <w:tcW w:w="492" w:type="pct"/>
                  <w:noWrap w:val="0"/>
                  <w:tcMar>
                    <w:top w:w="0" w:type="dxa"/>
                    <w:left w:w="0" w:type="dxa"/>
                    <w:bottom w:w="0" w:type="dxa"/>
                    <w:right w:w="0" w:type="dxa"/>
                  </w:tcMar>
                  <w:vAlign w:val="center"/>
                </w:tcPr>
                <w:p w14:paraId="42973014">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lang w:val="en-US" w:eastAsia="zh-CN"/>
                    </w:rPr>
                    <w:t>7.1</w:t>
                  </w:r>
                  <w:r>
                    <w:rPr>
                      <w:rFonts w:hint="default" w:ascii="Times New Roman" w:hAnsi="Times New Roman" w:eastAsia="宋体" w:cs="Times New Roman"/>
                      <w:bCs/>
                      <w:color w:val="auto"/>
                      <w:sz w:val="21"/>
                      <w:szCs w:val="21"/>
                    </w:rPr>
                    <w:t>km</w:t>
                  </w:r>
                </w:p>
              </w:tc>
              <w:tc>
                <w:tcPr>
                  <w:tcW w:w="445" w:type="pct"/>
                  <w:noWrap w:val="0"/>
                  <w:tcMar>
                    <w:top w:w="0" w:type="dxa"/>
                    <w:left w:w="0" w:type="dxa"/>
                    <w:bottom w:w="0" w:type="dxa"/>
                    <w:right w:w="0" w:type="dxa"/>
                  </w:tcMar>
                  <w:vAlign w:val="center"/>
                </w:tcPr>
                <w:p w14:paraId="5CBB31A7">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2160" w:type="pct"/>
                  <w:noWrap w:val="0"/>
                  <w:tcMar>
                    <w:top w:w="0" w:type="dxa"/>
                    <w:left w:w="0" w:type="dxa"/>
                    <w:bottom w:w="0" w:type="dxa"/>
                    <w:right w:w="0" w:type="dxa"/>
                  </w:tcMar>
                  <w:vAlign w:val="center"/>
                </w:tcPr>
                <w:p w14:paraId="2FD510C6">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洪水调蓄区</w:t>
                  </w:r>
                </w:p>
              </w:tc>
            </w:tr>
            <w:tr w14:paraId="0D8D81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pct"/>
                  <w:noWrap w:val="0"/>
                  <w:tcMar>
                    <w:top w:w="0" w:type="dxa"/>
                    <w:left w:w="0" w:type="dxa"/>
                    <w:bottom w:w="0" w:type="dxa"/>
                    <w:right w:w="0" w:type="dxa"/>
                  </w:tcMar>
                  <w:vAlign w:val="center"/>
                </w:tcPr>
                <w:p w14:paraId="3CD3B304">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声环境</w:t>
                  </w:r>
                </w:p>
              </w:tc>
              <w:tc>
                <w:tcPr>
                  <w:tcW w:w="2203" w:type="pct"/>
                  <w:gridSpan w:val="4"/>
                  <w:noWrap w:val="0"/>
                  <w:tcMar>
                    <w:top w:w="0" w:type="dxa"/>
                    <w:left w:w="0" w:type="dxa"/>
                    <w:bottom w:w="0" w:type="dxa"/>
                    <w:right w:w="0" w:type="dxa"/>
                  </w:tcMar>
                  <w:vAlign w:val="center"/>
                </w:tcPr>
                <w:p w14:paraId="0466A720">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lang w:val="en-US" w:eastAsia="zh-CN"/>
                    </w:rPr>
                  </w:pPr>
                  <w:r>
                    <w:rPr>
                      <w:rFonts w:hint="eastAsia"/>
                      <w:color w:val="auto"/>
                      <w:lang w:val="en-US" w:eastAsia="zh-CN"/>
                    </w:rPr>
                    <w:t>厂界50米</w:t>
                  </w:r>
                </w:p>
              </w:tc>
              <w:tc>
                <w:tcPr>
                  <w:tcW w:w="2160" w:type="pct"/>
                  <w:noWrap w:val="0"/>
                  <w:tcMar>
                    <w:top w:w="0" w:type="dxa"/>
                    <w:left w:w="0" w:type="dxa"/>
                    <w:bottom w:w="0" w:type="dxa"/>
                    <w:right w:w="0" w:type="dxa"/>
                  </w:tcMar>
                  <w:vAlign w:val="center"/>
                </w:tcPr>
                <w:p w14:paraId="0932344B">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《声环境质量标准》（GB3096-2008）中</w:t>
                  </w:r>
                  <w:r>
                    <w:rPr>
                      <w:rFonts w:hint="eastAsia" w:cs="Times New Roman"/>
                      <w:color w:val="auto"/>
                      <w:sz w:val="21"/>
                      <w:szCs w:val="21"/>
                      <w:lang w:val="en-US" w:eastAsia="zh-CN"/>
                    </w:rPr>
                    <w:t>2</w:t>
                  </w:r>
                  <w:r>
                    <w:rPr>
                      <w:rFonts w:hint="default" w:ascii="Times New Roman" w:hAnsi="Times New Roman" w:eastAsia="宋体" w:cs="Times New Roman"/>
                      <w:color w:val="auto"/>
                      <w:sz w:val="21"/>
                      <w:szCs w:val="21"/>
                    </w:rPr>
                    <w:t>类区</w:t>
                  </w:r>
                </w:p>
              </w:tc>
            </w:tr>
            <w:tr w14:paraId="01F87A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pct"/>
                  <w:noWrap w:val="0"/>
                  <w:tcMar>
                    <w:top w:w="0" w:type="dxa"/>
                    <w:left w:w="0" w:type="dxa"/>
                    <w:bottom w:w="0" w:type="dxa"/>
                    <w:right w:w="0" w:type="dxa"/>
                  </w:tcMar>
                  <w:vAlign w:val="center"/>
                </w:tcPr>
                <w:p w14:paraId="6B76A6E2">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地下水环境</w:t>
                  </w:r>
                </w:p>
              </w:tc>
              <w:tc>
                <w:tcPr>
                  <w:tcW w:w="4363" w:type="pct"/>
                  <w:gridSpan w:val="5"/>
                  <w:noWrap w:val="0"/>
                  <w:tcMar>
                    <w:top w:w="0" w:type="dxa"/>
                    <w:left w:w="0" w:type="dxa"/>
                    <w:bottom w:w="0" w:type="dxa"/>
                    <w:right w:w="0" w:type="dxa"/>
                  </w:tcMar>
                  <w:vAlign w:val="center"/>
                </w:tcPr>
                <w:p w14:paraId="234CBD59">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本项目厂界外500米范围内无地下水集中式饮用水水源等特殊地下水资源</w:t>
                  </w:r>
                </w:p>
              </w:tc>
            </w:tr>
            <w:tr w14:paraId="50319A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pct"/>
                  <w:noWrap w:val="0"/>
                  <w:tcMar>
                    <w:top w:w="0" w:type="dxa"/>
                    <w:left w:w="0" w:type="dxa"/>
                    <w:bottom w:w="0" w:type="dxa"/>
                    <w:right w:w="0" w:type="dxa"/>
                  </w:tcMar>
                  <w:vAlign w:val="center"/>
                </w:tcPr>
                <w:p w14:paraId="0E751D19">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土壤环境</w:t>
                  </w:r>
                </w:p>
              </w:tc>
              <w:tc>
                <w:tcPr>
                  <w:tcW w:w="2203" w:type="pct"/>
                  <w:gridSpan w:val="4"/>
                  <w:noWrap w:val="0"/>
                  <w:tcMar>
                    <w:top w:w="0" w:type="dxa"/>
                    <w:left w:w="0" w:type="dxa"/>
                    <w:bottom w:w="0" w:type="dxa"/>
                    <w:right w:w="0" w:type="dxa"/>
                  </w:tcMar>
                  <w:vAlign w:val="center"/>
                </w:tcPr>
                <w:p w14:paraId="319FE3A7">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bidi="ar"/>
                    </w:rPr>
                    <w:t>项目所在地土壤</w:t>
                  </w:r>
                </w:p>
              </w:tc>
              <w:tc>
                <w:tcPr>
                  <w:tcW w:w="2160" w:type="pct"/>
                  <w:noWrap w:val="0"/>
                  <w:tcMar>
                    <w:top w:w="0" w:type="dxa"/>
                    <w:left w:w="0" w:type="dxa"/>
                    <w:bottom w:w="0" w:type="dxa"/>
                    <w:right w:w="0" w:type="dxa"/>
                  </w:tcMar>
                  <w:vAlign w:val="center"/>
                </w:tcPr>
                <w:p w14:paraId="4FF011F3">
                  <w:pPr>
                    <w:keepNext w:val="0"/>
                    <w:keepLines w:val="0"/>
                    <w:pageBreakBefore w:val="0"/>
                    <w:widowControl w:val="0"/>
                    <w:kinsoku/>
                    <w:wordWrap/>
                    <w:overflowPunct/>
                    <w:topLinePunct w:val="0"/>
                    <w:autoSpaceDE/>
                    <w:autoSpaceDN/>
                    <w:bidi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bidi="ar"/>
                    </w:rPr>
                    <w:t>《土壤环境质量</w:t>
                  </w:r>
                  <w:r>
                    <w:rPr>
                      <w:rFonts w:hint="eastAsia" w:cs="Times New Roman"/>
                      <w:color w:val="auto"/>
                      <w:sz w:val="21"/>
                      <w:szCs w:val="21"/>
                      <w:lang w:val="en-US" w:eastAsia="zh-CN" w:bidi="ar"/>
                    </w:rPr>
                    <w:t xml:space="preserve"> </w:t>
                  </w:r>
                  <w:r>
                    <w:rPr>
                      <w:rFonts w:hint="default" w:ascii="Times New Roman" w:hAnsi="Times New Roman" w:eastAsia="宋体" w:cs="Times New Roman"/>
                      <w:color w:val="auto"/>
                      <w:sz w:val="21"/>
                      <w:szCs w:val="21"/>
                      <w:lang w:bidi="ar"/>
                    </w:rPr>
                    <w:t>建设用地土壤污染风险管控标准》（GB36600-2018）基本项目第二类用地筛选值</w:t>
                  </w:r>
                </w:p>
              </w:tc>
            </w:tr>
          </w:tbl>
          <w:p w14:paraId="50E18044">
            <w:pPr>
              <w:pStyle w:val="8"/>
              <w:keepNext/>
              <w:keepLines w:val="0"/>
              <w:pageBreakBefore w:val="0"/>
              <w:widowControl/>
              <w:kinsoku/>
              <w:wordWrap/>
              <w:overflowPunct/>
              <w:topLinePunct w:val="0"/>
              <w:autoSpaceDE/>
              <w:autoSpaceDN/>
              <w:bidi w:val="0"/>
              <w:adjustRightInd w:val="0"/>
              <w:snapToGrid w:val="0"/>
              <w:spacing w:before="157" w:beforeLines="50" w:line="240" w:lineRule="auto"/>
              <w:jc w:val="center"/>
              <w:textAlignment w:val="auto"/>
              <w:rPr>
                <w:color w:val="auto"/>
                <w:kern w:val="0"/>
                <w:szCs w:val="21"/>
              </w:rPr>
            </w:pPr>
          </w:p>
          <w:p w14:paraId="23FEC425">
            <w:pPr>
              <w:rPr>
                <w:color w:val="auto"/>
                <w:kern w:val="0"/>
                <w:szCs w:val="21"/>
              </w:rPr>
            </w:pPr>
          </w:p>
          <w:p w14:paraId="7E1350B2">
            <w:pPr>
              <w:pStyle w:val="6"/>
              <w:rPr>
                <w:color w:val="auto"/>
                <w:kern w:val="0"/>
                <w:szCs w:val="21"/>
              </w:rPr>
            </w:pPr>
          </w:p>
          <w:p w14:paraId="17AB7E67">
            <w:pPr>
              <w:rPr>
                <w:color w:val="auto"/>
                <w:kern w:val="0"/>
                <w:szCs w:val="21"/>
              </w:rPr>
            </w:pPr>
          </w:p>
          <w:p w14:paraId="44A4CE56">
            <w:pPr>
              <w:pStyle w:val="6"/>
              <w:rPr>
                <w:color w:val="auto"/>
                <w:kern w:val="0"/>
                <w:szCs w:val="21"/>
              </w:rPr>
            </w:pPr>
          </w:p>
          <w:p w14:paraId="550C2055">
            <w:pPr>
              <w:rPr>
                <w:color w:val="auto"/>
                <w:kern w:val="0"/>
                <w:szCs w:val="21"/>
              </w:rPr>
            </w:pPr>
          </w:p>
          <w:p w14:paraId="5285986E">
            <w:pPr>
              <w:pStyle w:val="6"/>
              <w:rPr>
                <w:color w:val="auto"/>
                <w:kern w:val="0"/>
                <w:szCs w:val="21"/>
              </w:rPr>
            </w:pPr>
          </w:p>
          <w:p w14:paraId="25DCBE1F">
            <w:pPr>
              <w:rPr>
                <w:color w:val="auto"/>
                <w:kern w:val="0"/>
                <w:szCs w:val="21"/>
              </w:rPr>
            </w:pPr>
          </w:p>
          <w:p w14:paraId="1C782F7F">
            <w:pPr>
              <w:pStyle w:val="6"/>
              <w:rPr>
                <w:color w:val="auto"/>
                <w:kern w:val="0"/>
                <w:szCs w:val="21"/>
              </w:rPr>
            </w:pPr>
          </w:p>
          <w:p w14:paraId="324A61BE">
            <w:pPr>
              <w:pStyle w:val="6"/>
              <w:rPr>
                <w:color w:val="auto"/>
              </w:rPr>
            </w:pPr>
          </w:p>
        </w:tc>
      </w:tr>
      <w:tr w14:paraId="6F72498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522" w:type="dxa"/>
            <w:noWrap w:val="0"/>
            <w:tcMar>
              <w:left w:w="0" w:type="dxa"/>
              <w:right w:w="0" w:type="dxa"/>
            </w:tcMar>
            <w:vAlign w:val="center"/>
          </w:tcPr>
          <w:p w14:paraId="23CDAB3E">
            <w:pPr>
              <w:adjustRightInd w:val="0"/>
              <w:snapToGrid w:val="0"/>
              <w:jc w:val="center"/>
              <w:rPr>
                <w:color w:val="auto"/>
                <w:kern w:val="0"/>
                <w:szCs w:val="21"/>
              </w:rPr>
            </w:pPr>
            <w:r>
              <w:rPr>
                <w:color w:val="auto"/>
                <w:kern w:val="0"/>
                <w:szCs w:val="21"/>
              </w:rPr>
              <w:t>污染物排放控制标准</w:t>
            </w:r>
          </w:p>
        </w:tc>
        <w:tc>
          <w:tcPr>
            <w:tcW w:w="8438" w:type="dxa"/>
            <w:noWrap w:val="0"/>
            <w:vAlign w:val="center"/>
          </w:tcPr>
          <w:p w14:paraId="6FED088E">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22" w:firstLineChars="200"/>
              <w:textAlignment w:val="auto"/>
              <w:rPr>
                <w:b/>
                <w:color w:val="auto"/>
                <w:szCs w:val="21"/>
              </w:rPr>
            </w:pPr>
            <w:r>
              <w:rPr>
                <w:rFonts w:hint="eastAsia"/>
                <w:b/>
                <w:color w:val="auto"/>
                <w:szCs w:val="21"/>
              </w:rPr>
              <w:t>一</w:t>
            </w:r>
            <w:r>
              <w:rPr>
                <w:b/>
                <w:color w:val="auto"/>
                <w:szCs w:val="21"/>
              </w:rPr>
              <w:t>、废气排放标准</w:t>
            </w:r>
          </w:p>
          <w:p w14:paraId="5654E62A">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eastAsia" w:ascii="Times New Roman" w:hAnsi="Times New Roman" w:eastAsia="宋体" w:cs="Times New Roman"/>
                <w:color w:val="auto"/>
                <w:szCs w:val="21"/>
              </w:rPr>
            </w:pPr>
            <w:r>
              <w:rPr>
                <w:color w:val="auto"/>
              </w:rPr>
              <w:t>本项目废气主要为</w:t>
            </w:r>
            <w:r>
              <w:rPr>
                <w:rFonts w:hint="eastAsia" w:cs="Times New Roman"/>
                <w:color w:val="auto"/>
                <w:sz w:val="21"/>
                <w:szCs w:val="21"/>
                <w:lang w:val="en-US" w:eastAsia="zh-CN"/>
              </w:rPr>
              <w:t>配料粉尘、</w:t>
            </w:r>
            <w:r>
              <w:rPr>
                <w:rFonts w:hint="eastAsia" w:ascii="Times New Roman" w:hAnsi="Times New Roman" w:eastAsia="宋体" w:cs="Times New Roman"/>
                <w:color w:val="auto"/>
                <w:sz w:val="21"/>
                <w:szCs w:val="21"/>
                <w:highlight w:val="none"/>
                <w:lang w:val="en-US" w:eastAsia="zh-CN"/>
              </w:rPr>
              <w:t>投料粉尘、</w:t>
            </w:r>
            <w:r>
              <w:rPr>
                <w:rFonts w:hint="eastAsia" w:ascii="Times New Roman" w:hAnsi="Times New Roman" w:eastAsia="宋体" w:cs="Times New Roman"/>
                <w:bCs/>
                <w:color w:val="auto"/>
                <w:kern w:val="2"/>
                <w:sz w:val="21"/>
                <w:szCs w:val="21"/>
                <w:lang w:val="en-US" w:eastAsia="zh-CN" w:bidi="ar-SA"/>
              </w:rPr>
              <w:t>挤出废气、烘干废气、测试废气、破碎粉尘，</w:t>
            </w:r>
            <w:r>
              <w:rPr>
                <w:rFonts w:hint="eastAsia" w:cs="Times New Roman"/>
                <w:color w:val="auto"/>
                <w:szCs w:val="21"/>
                <w:lang w:val="en-US" w:eastAsia="zh-CN"/>
              </w:rPr>
              <w:t>配料、投料粉尘半密闭</w:t>
            </w:r>
            <w:r>
              <w:rPr>
                <w:rFonts w:hint="eastAsia"/>
                <w:color w:val="auto"/>
                <w:kern w:val="2"/>
                <w:sz w:val="21"/>
                <w:szCs w:val="21"/>
                <w:lang w:val="en-US" w:eastAsia="zh-CN"/>
              </w:rPr>
              <w:t>收集</w:t>
            </w:r>
            <w:r>
              <w:rPr>
                <w:rFonts w:hint="eastAsia"/>
                <w:color w:val="auto"/>
                <w:szCs w:val="21"/>
                <w:lang w:val="en-US" w:eastAsia="zh-CN"/>
              </w:rPr>
              <w:t>至</w:t>
            </w:r>
            <w:r>
              <w:rPr>
                <w:rFonts w:hint="eastAsia"/>
                <w:color w:val="auto"/>
                <w:kern w:val="2"/>
                <w:sz w:val="21"/>
                <w:szCs w:val="21"/>
                <w:lang w:val="en-US" w:eastAsia="zh-CN"/>
              </w:rPr>
              <w:t>布袋除尘器处理后通过1根15米高排气筒DA001排放，挤出、烘干、</w:t>
            </w:r>
            <w:r>
              <w:rPr>
                <w:rFonts w:hint="eastAsia" w:ascii="Times New Roman" w:hAnsi="Times New Roman" w:eastAsia="宋体" w:cs="Times New Roman"/>
                <w:bCs/>
                <w:color w:val="auto"/>
                <w:kern w:val="2"/>
                <w:sz w:val="21"/>
                <w:szCs w:val="21"/>
                <w:lang w:val="en-US" w:eastAsia="zh-CN" w:bidi="ar-SA"/>
              </w:rPr>
              <w:t>测试</w:t>
            </w:r>
            <w:r>
              <w:rPr>
                <w:rFonts w:hint="eastAsia"/>
                <w:color w:val="auto"/>
                <w:kern w:val="2"/>
                <w:sz w:val="21"/>
                <w:szCs w:val="21"/>
                <w:lang w:val="en-US" w:eastAsia="zh-CN"/>
              </w:rPr>
              <w:t>废气</w:t>
            </w:r>
            <w:r>
              <w:rPr>
                <w:rFonts w:hint="eastAsia"/>
                <w:color w:val="auto"/>
                <w:szCs w:val="21"/>
                <w:lang w:val="en-US" w:eastAsia="zh-CN"/>
              </w:rPr>
              <w:t>半密闭收集至1套“水喷淋塔+除湿器+二级活性炭吸附装置”处理后通过1根15米高排气筒DA002排放，</w:t>
            </w:r>
            <w:r>
              <w:rPr>
                <w:rFonts w:hint="eastAsia" w:ascii="Times New Roman" w:hAnsi="Times New Roman" w:eastAsia="宋体" w:cs="Times New Roman"/>
                <w:color w:val="auto"/>
                <w:sz w:val="21"/>
                <w:szCs w:val="21"/>
                <w:lang w:val="en-US" w:eastAsia="zh-CN"/>
              </w:rPr>
              <w:t>破碎</w:t>
            </w:r>
            <w:r>
              <w:rPr>
                <w:rFonts w:hint="default" w:ascii="Times New Roman" w:hAnsi="Times New Roman" w:eastAsia="宋体" w:cs="Times New Roman"/>
                <w:color w:val="auto"/>
                <w:sz w:val="21"/>
                <w:szCs w:val="21"/>
                <w:lang w:val="en-US" w:eastAsia="zh-CN"/>
              </w:rPr>
              <w:t>过程密闭操作，产生的微量粉尘无组织排放</w:t>
            </w:r>
            <w:r>
              <w:rPr>
                <w:rFonts w:hint="eastAsia" w:ascii="Times New Roman" w:hAnsi="Times New Roman" w:eastAsia="宋体" w:cs="Times New Roman"/>
                <w:color w:val="auto"/>
                <w:szCs w:val="21"/>
              </w:rPr>
              <w:t>。</w:t>
            </w:r>
          </w:p>
          <w:p w14:paraId="4CEEEF2A">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eastAsia"/>
                <w:color w:val="auto"/>
                <w:szCs w:val="21"/>
                <w:lang w:val="en-US" w:eastAsia="zh-CN"/>
              </w:rPr>
            </w:pPr>
            <w:r>
              <w:rPr>
                <w:rFonts w:hint="eastAsia"/>
                <w:color w:val="auto"/>
                <w:szCs w:val="21"/>
                <w:lang w:val="en-US" w:eastAsia="zh-CN"/>
              </w:rPr>
              <w:t>DA001颗粒物有组织排放执行《合成树脂工业污染物排放标准》（GB 31572-2015）及2024年修改单表5中的标准；DA002非甲烷总烃、颗粒物有组织排放执行《合成树脂工业污染物排放标准》（GB 31572-2015）及2024年修改单表5中的标准；</w:t>
            </w:r>
          </w:p>
          <w:p w14:paraId="5CFED0FE">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eastAsia"/>
                <w:color w:val="auto"/>
                <w:szCs w:val="21"/>
                <w:lang w:val="en-US" w:eastAsia="zh-CN"/>
              </w:rPr>
            </w:pPr>
            <w:r>
              <w:rPr>
                <w:rFonts w:hint="eastAsia"/>
                <w:color w:val="auto"/>
                <w:szCs w:val="21"/>
                <w:lang w:val="en-US" w:eastAsia="zh-CN"/>
              </w:rPr>
              <w:t>未收集废气非甲烷总烃无组织排放执行《合成树脂工业污染物排放标准》（GB 31572-2015）及2024年修改单表9中的标准，颗粒物无组织排放执行《大气污染物综合排放标准》（DB32/4041-2021）表3标准；厂区内无组织排放的非甲烷总烃排放执行《大气污染物综合排放标准》（DB32/4041-2021）表3标准。</w:t>
            </w:r>
          </w:p>
          <w:p w14:paraId="5DDE5C34">
            <w:pPr>
              <w:jc w:val="center"/>
              <w:rPr>
                <w:b/>
                <w:color w:val="auto"/>
                <w:kern w:val="144"/>
                <w:szCs w:val="21"/>
              </w:rPr>
            </w:pPr>
            <w:r>
              <w:rPr>
                <w:b/>
                <w:color w:val="auto"/>
                <w:kern w:val="144"/>
                <w:szCs w:val="21"/>
              </w:rPr>
              <w:t>表3-</w:t>
            </w:r>
            <w:r>
              <w:rPr>
                <w:rFonts w:hint="eastAsia"/>
                <w:b/>
                <w:color w:val="auto"/>
                <w:kern w:val="144"/>
                <w:szCs w:val="21"/>
                <w:lang w:val="en-US" w:eastAsia="zh-CN"/>
              </w:rPr>
              <w:t>6</w:t>
            </w:r>
            <w:r>
              <w:rPr>
                <w:b/>
                <w:color w:val="auto"/>
                <w:kern w:val="144"/>
                <w:szCs w:val="21"/>
              </w:rPr>
              <w:t xml:space="preserve"> 大气污染物</w:t>
            </w:r>
            <w:r>
              <w:rPr>
                <w:rFonts w:hint="eastAsia"/>
                <w:b/>
                <w:color w:val="auto"/>
                <w:kern w:val="144"/>
                <w:szCs w:val="21"/>
              </w:rPr>
              <w:t>有组织</w:t>
            </w:r>
            <w:r>
              <w:rPr>
                <w:b/>
                <w:color w:val="auto"/>
                <w:kern w:val="144"/>
                <w:szCs w:val="21"/>
              </w:rPr>
              <w:t>排放标准  单位：mg/m</w:t>
            </w:r>
            <w:r>
              <w:rPr>
                <w:b/>
                <w:color w:val="auto"/>
                <w:kern w:val="144"/>
                <w:szCs w:val="21"/>
                <w:vertAlign w:val="superscript"/>
              </w:rPr>
              <w:t>3</w:t>
            </w:r>
          </w:p>
          <w:tbl>
            <w:tblPr>
              <w:tblStyle w:val="28"/>
              <w:tblW w:w="4997" w:type="pct"/>
              <w:jc w:val="center"/>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Layout w:type="fixed"/>
              <w:tblCellMar>
                <w:top w:w="0" w:type="dxa"/>
                <w:left w:w="0" w:type="dxa"/>
                <w:bottom w:w="0" w:type="dxa"/>
                <w:right w:w="0" w:type="dxa"/>
              </w:tblCellMar>
            </w:tblPr>
            <w:tblGrid>
              <w:gridCol w:w="971"/>
              <w:gridCol w:w="1435"/>
              <w:gridCol w:w="999"/>
              <w:gridCol w:w="1287"/>
              <w:gridCol w:w="1106"/>
              <w:gridCol w:w="2420"/>
            </w:tblGrid>
            <w:tr w14:paraId="249B19A6">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0" w:type="dxa"/>
                  <w:bottom w:w="0" w:type="dxa"/>
                  <w:right w:w="0" w:type="dxa"/>
                </w:tblCellMar>
              </w:tblPrEx>
              <w:trPr>
                <w:cantSplit/>
                <w:trHeight w:val="340" w:hRule="atLeast"/>
                <w:jc w:val="center"/>
              </w:trPr>
              <w:tc>
                <w:tcPr>
                  <w:tcW w:w="590" w:type="pct"/>
                  <w:vMerge w:val="restart"/>
                  <w:noWrap w:val="0"/>
                  <w:vAlign w:val="center"/>
                </w:tcPr>
                <w:p w14:paraId="67DAB94E">
                  <w:pPr>
                    <w:jc w:val="center"/>
                    <w:rPr>
                      <w:b/>
                      <w:bCs/>
                      <w:color w:val="auto"/>
                      <w:szCs w:val="21"/>
                    </w:rPr>
                  </w:pPr>
                  <w:r>
                    <w:rPr>
                      <w:b/>
                      <w:bCs/>
                      <w:color w:val="auto"/>
                      <w:szCs w:val="21"/>
                    </w:rPr>
                    <w:t>排放源</w:t>
                  </w:r>
                </w:p>
              </w:tc>
              <w:tc>
                <w:tcPr>
                  <w:tcW w:w="873" w:type="pct"/>
                  <w:vMerge w:val="restart"/>
                  <w:noWrap w:val="0"/>
                  <w:vAlign w:val="center"/>
                </w:tcPr>
                <w:p w14:paraId="670E5127">
                  <w:pPr>
                    <w:jc w:val="center"/>
                    <w:rPr>
                      <w:b/>
                      <w:bCs/>
                      <w:color w:val="auto"/>
                      <w:szCs w:val="21"/>
                    </w:rPr>
                  </w:pPr>
                  <w:r>
                    <w:rPr>
                      <w:b/>
                      <w:bCs/>
                      <w:color w:val="auto"/>
                      <w:szCs w:val="21"/>
                    </w:rPr>
                    <w:t>污染物名称</w:t>
                  </w:r>
                </w:p>
              </w:tc>
              <w:tc>
                <w:tcPr>
                  <w:tcW w:w="607" w:type="pct"/>
                  <w:vMerge w:val="restart"/>
                  <w:noWrap w:val="0"/>
                  <w:vAlign w:val="center"/>
                </w:tcPr>
                <w:p w14:paraId="1DC91B46">
                  <w:pPr>
                    <w:jc w:val="center"/>
                    <w:rPr>
                      <w:b/>
                      <w:bCs/>
                      <w:color w:val="auto"/>
                      <w:szCs w:val="21"/>
                    </w:rPr>
                  </w:pPr>
                  <w:r>
                    <w:rPr>
                      <w:b/>
                      <w:bCs/>
                      <w:color w:val="auto"/>
                      <w:szCs w:val="21"/>
                    </w:rPr>
                    <w:t>最高允许排放浓度(mg/m</w:t>
                  </w:r>
                  <w:r>
                    <w:rPr>
                      <w:b/>
                      <w:bCs/>
                      <w:color w:val="auto"/>
                      <w:szCs w:val="21"/>
                      <w:vertAlign w:val="superscript"/>
                    </w:rPr>
                    <w:t>3</w:t>
                  </w:r>
                  <w:r>
                    <w:rPr>
                      <w:b/>
                      <w:bCs/>
                      <w:color w:val="auto"/>
                      <w:szCs w:val="21"/>
                    </w:rPr>
                    <w:t>)</w:t>
                  </w:r>
                </w:p>
              </w:tc>
              <w:tc>
                <w:tcPr>
                  <w:tcW w:w="1455" w:type="pct"/>
                  <w:gridSpan w:val="2"/>
                  <w:noWrap w:val="0"/>
                  <w:vAlign w:val="center"/>
                </w:tcPr>
                <w:p w14:paraId="4BDA81AF">
                  <w:pPr>
                    <w:jc w:val="center"/>
                    <w:rPr>
                      <w:b/>
                      <w:bCs/>
                      <w:color w:val="auto"/>
                      <w:szCs w:val="21"/>
                    </w:rPr>
                  </w:pPr>
                  <w:r>
                    <w:rPr>
                      <w:b/>
                      <w:bCs/>
                      <w:color w:val="auto"/>
                      <w:szCs w:val="21"/>
                    </w:rPr>
                    <w:t>最高允许排放速率</w:t>
                  </w:r>
                </w:p>
              </w:tc>
              <w:tc>
                <w:tcPr>
                  <w:tcW w:w="1472" w:type="pct"/>
                  <w:vMerge w:val="restart"/>
                  <w:noWrap w:val="0"/>
                  <w:vAlign w:val="center"/>
                </w:tcPr>
                <w:p w14:paraId="3C6D4755">
                  <w:pPr>
                    <w:jc w:val="center"/>
                    <w:rPr>
                      <w:b/>
                      <w:bCs/>
                      <w:color w:val="auto"/>
                      <w:szCs w:val="21"/>
                    </w:rPr>
                  </w:pPr>
                  <w:r>
                    <w:rPr>
                      <w:b/>
                      <w:bCs/>
                      <w:color w:val="auto"/>
                      <w:szCs w:val="21"/>
                    </w:rPr>
                    <w:t>标准来源</w:t>
                  </w:r>
                </w:p>
              </w:tc>
            </w:tr>
            <w:tr w14:paraId="30D0F3C2">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0" w:type="dxa"/>
                  <w:bottom w:w="0" w:type="dxa"/>
                  <w:right w:w="0" w:type="dxa"/>
                </w:tblCellMar>
              </w:tblPrEx>
              <w:trPr>
                <w:cantSplit/>
                <w:trHeight w:val="340" w:hRule="atLeast"/>
                <w:jc w:val="center"/>
              </w:trPr>
              <w:tc>
                <w:tcPr>
                  <w:tcW w:w="590" w:type="pct"/>
                  <w:vMerge w:val="continue"/>
                  <w:noWrap w:val="0"/>
                  <w:vAlign w:val="center"/>
                </w:tcPr>
                <w:p w14:paraId="4DC8C499">
                  <w:pPr>
                    <w:jc w:val="center"/>
                    <w:rPr>
                      <w:b/>
                      <w:bCs/>
                      <w:color w:val="auto"/>
                      <w:szCs w:val="21"/>
                    </w:rPr>
                  </w:pPr>
                </w:p>
              </w:tc>
              <w:tc>
                <w:tcPr>
                  <w:tcW w:w="873" w:type="pct"/>
                  <w:vMerge w:val="continue"/>
                  <w:noWrap w:val="0"/>
                  <w:vAlign w:val="center"/>
                </w:tcPr>
                <w:p w14:paraId="29EE24AA">
                  <w:pPr>
                    <w:jc w:val="center"/>
                    <w:rPr>
                      <w:b/>
                      <w:bCs/>
                      <w:color w:val="auto"/>
                      <w:szCs w:val="21"/>
                    </w:rPr>
                  </w:pPr>
                </w:p>
              </w:tc>
              <w:tc>
                <w:tcPr>
                  <w:tcW w:w="607" w:type="pct"/>
                  <w:vMerge w:val="continue"/>
                  <w:noWrap w:val="0"/>
                  <w:vAlign w:val="center"/>
                </w:tcPr>
                <w:p w14:paraId="14B35D33">
                  <w:pPr>
                    <w:jc w:val="center"/>
                    <w:rPr>
                      <w:b/>
                      <w:bCs/>
                      <w:color w:val="auto"/>
                      <w:szCs w:val="21"/>
                    </w:rPr>
                  </w:pPr>
                </w:p>
              </w:tc>
              <w:tc>
                <w:tcPr>
                  <w:tcW w:w="783" w:type="pct"/>
                  <w:noWrap w:val="0"/>
                  <w:vAlign w:val="center"/>
                </w:tcPr>
                <w:p w14:paraId="32DB6D2C">
                  <w:pPr>
                    <w:jc w:val="center"/>
                    <w:rPr>
                      <w:b/>
                      <w:bCs/>
                      <w:color w:val="auto"/>
                      <w:szCs w:val="21"/>
                    </w:rPr>
                  </w:pPr>
                  <w:r>
                    <w:rPr>
                      <w:b/>
                      <w:bCs/>
                      <w:color w:val="auto"/>
                      <w:szCs w:val="21"/>
                    </w:rPr>
                    <w:t>排气筒（m）</w:t>
                  </w:r>
                </w:p>
              </w:tc>
              <w:tc>
                <w:tcPr>
                  <w:tcW w:w="672" w:type="pct"/>
                  <w:noWrap w:val="0"/>
                  <w:vAlign w:val="center"/>
                </w:tcPr>
                <w:p w14:paraId="15283388">
                  <w:pPr>
                    <w:jc w:val="center"/>
                    <w:rPr>
                      <w:b/>
                      <w:bCs/>
                      <w:color w:val="auto"/>
                      <w:szCs w:val="21"/>
                    </w:rPr>
                  </w:pPr>
                  <w:r>
                    <w:rPr>
                      <w:b/>
                      <w:bCs/>
                      <w:color w:val="auto"/>
                      <w:szCs w:val="21"/>
                    </w:rPr>
                    <w:t>速率（kg/h）</w:t>
                  </w:r>
                </w:p>
              </w:tc>
              <w:tc>
                <w:tcPr>
                  <w:tcW w:w="1472" w:type="pct"/>
                  <w:vMerge w:val="continue"/>
                  <w:noWrap w:val="0"/>
                  <w:vAlign w:val="center"/>
                </w:tcPr>
                <w:p w14:paraId="0B1DA8B3">
                  <w:pPr>
                    <w:jc w:val="center"/>
                    <w:rPr>
                      <w:b/>
                      <w:bCs/>
                      <w:color w:val="auto"/>
                      <w:szCs w:val="21"/>
                    </w:rPr>
                  </w:pPr>
                </w:p>
              </w:tc>
            </w:tr>
            <w:tr w14:paraId="2F95BF6C">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0" w:type="dxa"/>
                  <w:bottom w:w="0" w:type="dxa"/>
                  <w:right w:w="0" w:type="dxa"/>
                </w:tblCellMar>
              </w:tblPrEx>
              <w:trPr>
                <w:cantSplit/>
                <w:trHeight w:val="340" w:hRule="atLeast"/>
                <w:jc w:val="center"/>
              </w:trPr>
              <w:tc>
                <w:tcPr>
                  <w:tcW w:w="590" w:type="pct"/>
                  <w:noWrap w:val="0"/>
                  <w:vAlign w:val="center"/>
                </w:tcPr>
                <w:p w14:paraId="6BC4FAE5">
                  <w:pPr>
                    <w:jc w:val="center"/>
                    <w:rPr>
                      <w:bCs/>
                      <w:color w:val="auto"/>
                      <w:szCs w:val="21"/>
                    </w:rPr>
                  </w:pPr>
                  <w:r>
                    <w:rPr>
                      <w:bCs/>
                      <w:color w:val="auto"/>
                      <w:szCs w:val="21"/>
                    </w:rPr>
                    <w:t>排气筒（DA001）</w:t>
                  </w:r>
                </w:p>
              </w:tc>
              <w:tc>
                <w:tcPr>
                  <w:tcW w:w="873" w:type="pct"/>
                  <w:noWrap w:val="0"/>
                  <w:vAlign w:val="center"/>
                </w:tcPr>
                <w:p w14:paraId="27B4F636">
                  <w:pPr>
                    <w:adjustRightInd w:val="0"/>
                    <w:snapToGrid w:val="0"/>
                    <w:spacing w:before="48" w:beforeLines="20" w:after="48" w:afterLines="20"/>
                    <w:jc w:val="center"/>
                    <w:rPr>
                      <w:rFonts w:hint="eastAsia" w:eastAsia="宋体"/>
                      <w:color w:val="auto"/>
                      <w:szCs w:val="21"/>
                      <w:lang w:val="en-US" w:eastAsia="zh-CN"/>
                    </w:rPr>
                  </w:pPr>
                  <w:r>
                    <w:rPr>
                      <w:rFonts w:hint="eastAsia"/>
                      <w:color w:val="auto"/>
                      <w:szCs w:val="21"/>
                      <w:lang w:val="en-US" w:eastAsia="zh-CN"/>
                    </w:rPr>
                    <w:t>颗粒物</w:t>
                  </w:r>
                </w:p>
              </w:tc>
              <w:tc>
                <w:tcPr>
                  <w:tcW w:w="607" w:type="pct"/>
                  <w:noWrap w:val="0"/>
                  <w:vAlign w:val="center"/>
                </w:tcPr>
                <w:p w14:paraId="069D5469">
                  <w:pPr>
                    <w:jc w:val="center"/>
                    <w:rPr>
                      <w:rFonts w:hint="default" w:eastAsia="宋体"/>
                      <w:bCs/>
                      <w:color w:val="auto"/>
                      <w:szCs w:val="21"/>
                      <w:lang w:val="en-US" w:eastAsia="zh-CN"/>
                    </w:rPr>
                  </w:pPr>
                  <w:r>
                    <w:rPr>
                      <w:rFonts w:hint="eastAsia" w:eastAsia="宋体"/>
                      <w:bCs/>
                      <w:color w:val="auto"/>
                      <w:szCs w:val="21"/>
                      <w:lang w:val="en-US" w:eastAsia="zh-CN"/>
                    </w:rPr>
                    <w:t>20</w:t>
                  </w:r>
                </w:p>
              </w:tc>
              <w:tc>
                <w:tcPr>
                  <w:tcW w:w="783" w:type="pct"/>
                  <w:shd w:val="clear" w:color="auto" w:fill="auto"/>
                  <w:noWrap w:val="0"/>
                  <w:vAlign w:val="center"/>
                </w:tcPr>
                <w:p w14:paraId="145DCDC6">
                  <w:pPr>
                    <w:jc w:val="center"/>
                    <w:rPr>
                      <w:rFonts w:ascii="Times New Roman" w:hAnsi="Times New Roman" w:eastAsia="宋体" w:cs="Times New Roman"/>
                      <w:color w:val="auto"/>
                      <w:kern w:val="2"/>
                      <w:sz w:val="21"/>
                      <w:szCs w:val="21"/>
                      <w:lang w:val="en-US" w:eastAsia="zh-CN" w:bidi="ar-SA"/>
                    </w:rPr>
                  </w:pPr>
                  <w:r>
                    <w:rPr>
                      <w:color w:val="auto"/>
                      <w:szCs w:val="21"/>
                    </w:rPr>
                    <w:t>15</w:t>
                  </w:r>
                </w:p>
              </w:tc>
              <w:tc>
                <w:tcPr>
                  <w:tcW w:w="672" w:type="pct"/>
                  <w:shd w:val="clear" w:color="auto" w:fill="auto"/>
                  <w:noWrap w:val="0"/>
                  <w:vAlign w:val="center"/>
                </w:tcPr>
                <w:p w14:paraId="0E74A848">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w:t>
                  </w:r>
                </w:p>
              </w:tc>
              <w:tc>
                <w:tcPr>
                  <w:tcW w:w="1472" w:type="pct"/>
                  <w:vMerge w:val="restart"/>
                  <w:noWrap w:val="0"/>
                  <w:vAlign w:val="center"/>
                </w:tcPr>
                <w:p w14:paraId="7484943A">
                  <w:pPr>
                    <w:jc w:val="center"/>
                    <w:rPr>
                      <w:rFonts w:hint="eastAsia"/>
                      <w:color w:val="auto"/>
                      <w:kern w:val="2"/>
                      <w:sz w:val="21"/>
                      <w:szCs w:val="21"/>
                      <w:lang w:val="en-US" w:eastAsia="zh-CN" w:bidi="ar-SA"/>
                    </w:rPr>
                  </w:pPr>
                  <w:r>
                    <w:rPr>
                      <w:rFonts w:hint="eastAsia"/>
                      <w:color w:val="auto"/>
                      <w:szCs w:val="21"/>
                      <w:lang w:eastAsia="zh-CN"/>
                    </w:rPr>
                    <w:t>《</w:t>
                  </w:r>
                  <w:r>
                    <w:rPr>
                      <w:rFonts w:hint="eastAsia"/>
                      <w:color w:val="auto"/>
                      <w:szCs w:val="21"/>
                    </w:rPr>
                    <w:t>合成树脂工业污染物排放标准</w:t>
                  </w:r>
                  <w:r>
                    <w:rPr>
                      <w:rFonts w:hint="eastAsia"/>
                      <w:color w:val="auto"/>
                      <w:szCs w:val="21"/>
                      <w:lang w:eastAsia="zh-CN"/>
                    </w:rPr>
                    <w:t>》</w:t>
                  </w:r>
                  <w:r>
                    <w:rPr>
                      <w:rFonts w:hint="eastAsia"/>
                      <w:color w:val="auto"/>
                      <w:szCs w:val="21"/>
                    </w:rPr>
                    <w:t>（GB 31572-2015）</w:t>
                  </w:r>
                  <w:r>
                    <w:rPr>
                      <w:rFonts w:hint="eastAsia"/>
                      <w:color w:val="auto"/>
                      <w:szCs w:val="21"/>
                      <w:lang w:val="en-US" w:eastAsia="zh-CN"/>
                    </w:rPr>
                    <w:t>及2024年修改单表5中的标准</w:t>
                  </w:r>
                </w:p>
              </w:tc>
            </w:tr>
            <w:tr w14:paraId="3D95D8DA">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0" w:type="dxa"/>
                  <w:bottom w:w="0" w:type="dxa"/>
                  <w:right w:w="0" w:type="dxa"/>
                </w:tblCellMar>
              </w:tblPrEx>
              <w:trPr>
                <w:cantSplit/>
                <w:trHeight w:val="283" w:hRule="atLeast"/>
                <w:jc w:val="center"/>
              </w:trPr>
              <w:tc>
                <w:tcPr>
                  <w:tcW w:w="590" w:type="pct"/>
                  <w:vMerge w:val="restart"/>
                  <w:shd w:val="clear" w:color="auto" w:fill="auto"/>
                  <w:noWrap w:val="0"/>
                  <w:vAlign w:val="center"/>
                </w:tcPr>
                <w:p w14:paraId="2B153913">
                  <w:pPr>
                    <w:jc w:val="center"/>
                    <w:rPr>
                      <w:rFonts w:ascii="Times New Roman" w:hAnsi="Times New Roman" w:eastAsia="宋体" w:cs="Times New Roman"/>
                      <w:bCs/>
                      <w:color w:val="auto"/>
                      <w:kern w:val="2"/>
                      <w:sz w:val="21"/>
                      <w:szCs w:val="21"/>
                      <w:lang w:val="en-US" w:eastAsia="zh-CN" w:bidi="ar-SA"/>
                    </w:rPr>
                  </w:pPr>
                  <w:r>
                    <w:rPr>
                      <w:bCs/>
                      <w:color w:val="auto"/>
                      <w:szCs w:val="21"/>
                    </w:rPr>
                    <w:t>排气筒（DA00</w:t>
                  </w:r>
                  <w:r>
                    <w:rPr>
                      <w:rFonts w:hint="eastAsia"/>
                      <w:bCs/>
                      <w:color w:val="auto"/>
                      <w:szCs w:val="21"/>
                      <w:lang w:val="en-US" w:eastAsia="zh-CN"/>
                    </w:rPr>
                    <w:t>2</w:t>
                  </w:r>
                  <w:r>
                    <w:rPr>
                      <w:bCs/>
                      <w:color w:val="auto"/>
                      <w:szCs w:val="21"/>
                    </w:rPr>
                    <w:t>）</w:t>
                  </w:r>
                </w:p>
              </w:tc>
              <w:tc>
                <w:tcPr>
                  <w:tcW w:w="873" w:type="pct"/>
                  <w:shd w:val="clear" w:color="auto" w:fill="auto"/>
                  <w:noWrap w:val="0"/>
                  <w:vAlign w:val="center"/>
                </w:tcPr>
                <w:p w14:paraId="4D372144">
                  <w:pPr>
                    <w:adjustRightInd w:val="0"/>
                    <w:snapToGrid w:val="0"/>
                    <w:spacing w:before="48" w:beforeLines="20" w:after="48" w:afterLines="20"/>
                    <w:jc w:val="center"/>
                    <w:rPr>
                      <w:rFonts w:hint="eastAsia" w:ascii="Times New Roman" w:hAnsi="Times New Roman" w:eastAsia="宋体" w:cs="Times New Roman"/>
                      <w:color w:val="auto"/>
                      <w:kern w:val="2"/>
                      <w:sz w:val="21"/>
                      <w:szCs w:val="21"/>
                      <w:lang w:val="en-US" w:eastAsia="zh-CN" w:bidi="ar-SA"/>
                    </w:rPr>
                  </w:pPr>
                  <w:r>
                    <w:rPr>
                      <w:color w:val="auto"/>
                      <w:szCs w:val="21"/>
                    </w:rPr>
                    <w:t>非甲烷总烃</w:t>
                  </w:r>
                </w:p>
              </w:tc>
              <w:tc>
                <w:tcPr>
                  <w:tcW w:w="607" w:type="pct"/>
                  <w:shd w:val="clear" w:color="auto" w:fill="auto"/>
                  <w:noWrap w:val="0"/>
                  <w:vAlign w:val="center"/>
                </w:tcPr>
                <w:p w14:paraId="7F0E8023">
                  <w:pPr>
                    <w:jc w:val="center"/>
                    <w:rPr>
                      <w:rFonts w:hint="default" w:ascii="Times New Roman" w:hAnsi="Times New Roman" w:eastAsia="宋体" w:cs="Times New Roman"/>
                      <w:bCs/>
                      <w:color w:val="auto"/>
                      <w:kern w:val="2"/>
                      <w:sz w:val="21"/>
                      <w:szCs w:val="21"/>
                      <w:lang w:val="en-US" w:eastAsia="zh-CN" w:bidi="ar-SA"/>
                    </w:rPr>
                  </w:pPr>
                  <w:r>
                    <w:rPr>
                      <w:rFonts w:hint="eastAsia"/>
                      <w:color w:val="auto"/>
                      <w:szCs w:val="21"/>
                      <w:lang w:val="en-US" w:eastAsia="zh-CN"/>
                    </w:rPr>
                    <w:t>60</w:t>
                  </w:r>
                </w:p>
              </w:tc>
              <w:tc>
                <w:tcPr>
                  <w:tcW w:w="783" w:type="pct"/>
                  <w:shd w:val="clear" w:color="auto" w:fill="auto"/>
                  <w:noWrap w:val="0"/>
                  <w:vAlign w:val="center"/>
                </w:tcPr>
                <w:p w14:paraId="1620C2AA">
                  <w:pPr>
                    <w:jc w:val="center"/>
                    <w:rPr>
                      <w:rFonts w:ascii="Times New Roman" w:hAnsi="Times New Roman" w:eastAsia="宋体" w:cs="Times New Roman"/>
                      <w:color w:val="auto"/>
                      <w:kern w:val="2"/>
                      <w:sz w:val="21"/>
                      <w:szCs w:val="21"/>
                      <w:lang w:val="en-US" w:eastAsia="zh-CN" w:bidi="ar-SA"/>
                    </w:rPr>
                  </w:pPr>
                  <w:r>
                    <w:rPr>
                      <w:color w:val="auto"/>
                      <w:szCs w:val="21"/>
                    </w:rPr>
                    <w:t>15</w:t>
                  </w:r>
                </w:p>
              </w:tc>
              <w:tc>
                <w:tcPr>
                  <w:tcW w:w="672" w:type="pct"/>
                  <w:shd w:val="clear" w:color="auto" w:fill="auto"/>
                  <w:noWrap w:val="0"/>
                  <w:vAlign w:val="center"/>
                </w:tcPr>
                <w:p w14:paraId="70AB986C">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w:t>
                  </w:r>
                </w:p>
              </w:tc>
              <w:tc>
                <w:tcPr>
                  <w:tcW w:w="1472" w:type="pct"/>
                  <w:vMerge w:val="continue"/>
                  <w:noWrap w:val="0"/>
                  <w:vAlign w:val="center"/>
                </w:tcPr>
                <w:p w14:paraId="049132D9">
                  <w:pPr>
                    <w:jc w:val="center"/>
                    <w:rPr>
                      <w:rFonts w:hint="eastAsia"/>
                      <w:color w:val="auto"/>
                      <w:kern w:val="2"/>
                      <w:sz w:val="21"/>
                      <w:szCs w:val="21"/>
                      <w:lang w:val="en-US" w:eastAsia="zh-CN" w:bidi="ar-SA"/>
                    </w:rPr>
                  </w:pPr>
                </w:p>
              </w:tc>
            </w:tr>
            <w:tr w14:paraId="75672B57">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0" w:type="dxa"/>
                  <w:bottom w:w="0" w:type="dxa"/>
                  <w:right w:w="0" w:type="dxa"/>
                </w:tblCellMar>
              </w:tblPrEx>
              <w:trPr>
                <w:cantSplit/>
                <w:trHeight w:val="340" w:hRule="atLeast"/>
                <w:jc w:val="center"/>
              </w:trPr>
              <w:tc>
                <w:tcPr>
                  <w:tcW w:w="590" w:type="pct"/>
                  <w:vMerge w:val="continue"/>
                  <w:noWrap w:val="0"/>
                  <w:vAlign w:val="center"/>
                </w:tcPr>
                <w:p w14:paraId="7621B445">
                  <w:pPr>
                    <w:jc w:val="center"/>
                    <w:rPr>
                      <w:bCs/>
                      <w:color w:val="auto"/>
                      <w:szCs w:val="21"/>
                    </w:rPr>
                  </w:pPr>
                </w:p>
              </w:tc>
              <w:tc>
                <w:tcPr>
                  <w:tcW w:w="873" w:type="pct"/>
                  <w:shd w:val="clear" w:color="auto" w:fill="auto"/>
                  <w:noWrap w:val="0"/>
                  <w:vAlign w:val="center"/>
                </w:tcPr>
                <w:p w14:paraId="05968DCA">
                  <w:pPr>
                    <w:adjustRightInd w:val="0"/>
                    <w:snapToGrid w:val="0"/>
                    <w:spacing w:before="48" w:beforeLines="20" w:after="48" w:afterLines="2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颗粒物</w:t>
                  </w:r>
                </w:p>
              </w:tc>
              <w:tc>
                <w:tcPr>
                  <w:tcW w:w="607" w:type="pct"/>
                  <w:shd w:val="clear" w:color="auto" w:fill="auto"/>
                  <w:noWrap w:val="0"/>
                  <w:vAlign w:val="center"/>
                </w:tcPr>
                <w:p w14:paraId="494BE8B0">
                  <w:pPr>
                    <w:jc w:val="center"/>
                    <w:rPr>
                      <w:rFonts w:hint="default" w:ascii="Times New Roman" w:hAnsi="Times New Roman" w:eastAsia="宋体" w:cs="Times New Roman"/>
                      <w:bCs/>
                      <w:color w:val="auto"/>
                      <w:kern w:val="2"/>
                      <w:sz w:val="21"/>
                      <w:szCs w:val="21"/>
                      <w:lang w:val="en-US" w:eastAsia="zh-CN" w:bidi="ar-SA"/>
                    </w:rPr>
                  </w:pPr>
                  <w:r>
                    <w:rPr>
                      <w:rFonts w:hint="eastAsia" w:eastAsia="宋体"/>
                      <w:bCs/>
                      <w:color w:val="auto"/>
                      <w:szCs w:val="21"/>
                      <w:lang w:val="en-US" w:eastAsia="zh-CN"/>
                    </w:rPr>
                    <w:t>20</w:t>
                  </w:r>
                </w:p>
              </w:tc>
              <w:tc>
                <w:tcPr>
                  <w:tcW w:w="783" w:type="pct"/>
                  <w:shd w:val="clear" w:color="auto" w:fill="auto"/>
                  <w:noWrap w:val="0"/>
                  <w:vAlign w:val="center"/>
                </w:tcPr>
                <w:p w14:paraId="3D61CE5C">
                  <w:pPr>
                    <w:jc w:val="center"/>
                    <w:rPr>
                      <w:rFonts w:ascii="Times New Roman" w:hAnsi="Times New Roman" w:eastAsia="宋体" w:cs="Times New Roman"/>
                      <w:color w:val="auto"/>
                      <w:kern w:val="2"/>
                      <w:sz w:val="21"/>
                      <w:szCs w:val="21"/>
                      <w:lang w:val="en-US" w:eastAsia="zh-CN" w:bidi="ar-SA"/>
                    </w:rPr>
                  </w:pPr>
                  <w:r>
                    <w:rPr>
                      <w:color w:val="auto"/>
                      <w:szCs w:val="21"/>
                    </w:rPr>
                    <w:t>15</w:t>
                  </w:r>
                </w:p>
              </w:tc>
              <w:tc>
                <w:tcPr>
                  <w:tcW w:w="672" w:type="pct"/>
                  <w:shd w:val="clear" w:color="auto" w:fill="auto"/>
                  <w:noWrap w:val="0"/>
                  <w:vAlign w:val="center"/>
                </w:tcPr>
                <w:p w14:paraId="14CCB054">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w:t>
                  </w:r>
                </w:p>
              </w:tc>
              <w:tc>
                <w:tcPr>
                  <w:tcW w:w="1472" w:type="pct"/>
                  <w:vMerge w:val="continue"/>
                  <w:noWrap w:val="0"/>
                  <w:vAlign w:val="center"/>
                </w:tcPr>
                <w:p w14:paraId="4CF5D01C">
                  <w:pPr>
                    <w:jc w:val="center"/>
                    <w:rPr>
                      <w:color w:val="auto"/>
                      <w:szCs w:val="21"/>
                    </w:rPr>
                  </w:pPr>
                </w:p>
              </w:tc>
            </w:tr>
          </w:tbl>
          <w:p w14:paraId="1DC561A1">
            <w:pPr>
              <w:keepNext w:val="0"/>
              <w:keepLines w:val="0"/>
              <w:pageBreakBefore w:val="0"/>
              <w:widowControl w:val="0"/>
              <w:kinsoku/>
              <w:wordWrap/>
              <w:overflowPunct/>
              <w:topLinePunct w:val="0"/>
              <w:autoSpaceDE/>
              <w:autoSpaceDN/>
              <w:bidi w:val="0"/>
              <w:adjustRightInd w:val="0"/>
              <w:snapToGrid w:val="0"/>
              <w:spacing w:before="157" w:beforeLines="50"/>
              <w:jc w:val="center"/>
              <w:textAlignment w:val="auto"/>
              <w:rPr>
                <w:b/>
                <w:color w:val="auto"/>
                <w:kern w:val="144"/>
                <w:szCs w:val="21"/>
              </w:rPr>
            </w:pPr>
            <w:r>
              <w:rPr>
                <w:b/>
                <w:color w:val="auto"/>
                <w:kern w:val="144"/>
                <w:szCs w:val="21"/>
              </w:rPr>
              <w:t>表3-</w:t>
            </w:r>
            <w:r>
              <w:rPr>
                <w:rFonts w:hint="eastAsia"/>
                <w:b/>
                <w:color w:val="auto"/>
                <w:kern w:val="144"/>
                <w:szCs w:val="21"/>
                <w:lang w:val="en-US" w:eastAsia="zh-CN"/>
              </w:rPr>
              <w:t>7</w:t>
            </w:r>
            <w:r>
              <w:rPr>
                <w:b/>
                <w:color w:val="auto"/>
                <w:kern w:val="144"/>
                <w:szCs w:val="21"/>
              </w:rPr>
              <w:t xml:space="preserve"> 大气污染物</w:t>
            </w:r>
            <w:r>
              <w:rPr>
                <w:rFonts w:hint="eastAsia"/>
                <w:b/>
                <w:color w:val="auto"/>
                <w:kern w:val="144"/>
                <w:szCs w:val="21"/>
              </w:rPr>
              <w:t>厂界无组织</w:t>
            </w:r>
            <w:r>
              <w:rPr>
                <w:b/>
                <w:color w:val="auto"/>
                <w:kern w:val="144"/>
                <w:szCs w:val="21"/>
              </w:rPr>
              <w:t>排放标准  单位：mg/m</w:t>
            </w:r>
            <w:r>
              <w:rPr>
                <w:b/>
                <w:color w:val="auto"/>
                <w:kern w:val="144"/>
                <w:szCs w:val="21"/>
                <w:vertAlign w:val="superscript"/>
              </w:rPr>
              <w:t>3</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49"/>
              <w:gridCol w:w="749"/>
              <w:gridCol w:w="852"/>
              <w:gridCol w:w="1969"/>
              <w:gridCol w:w="4000"/>
            </w:tblGrid>
            <w:tr w14:paraId="539625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394" w:type="pct"/>
                  <w:vMerge w:val="restart"/>
                  <w:noWrap w:val="0"/>
                  <w:vAlign w:val="center"/>
                </w:tcPr>
                <w:p w14:paraId="01E1B1B1">
                  <w:pPr>
                    <w:jc w:val="center"/>
                    <w:rPr>
                      <w:b/>
                      <w:bCs/>
                      <w:color w:val="auto"/>
                      <w:szCs w:val="21"/>
                    </w:rPr>
                  </w:pPr>
                  <w:r>
                    <w:rPr>
                      <w:b/>
                      <w:bCs/>
                      <w:color w:val="auto"/>
                      <w:szCs w:val="21"/>
                    </w:rPr>
                    <w:t>污染源</w:t>
                  </w:r>
                </w:p>
              </w:tc>
              <w:tc>
                <w:tcPr>
                  <w:tcW w:w="455" w:type="pct"/>
                  <w:vMerge w:val="restart"/>
                  <w:noWrap w:val="0"/>
                  <w:vAlign w:val="center"/>
                </w:tcPr>
                <w:p w14:paraId="023765C2">
                  <w:pPr>
                    <w:jc w:val="center"/>
                    <w:rPr>
                      <w:b/>
                      <w:bCs/>
                      <w:color w:val="auto"/>
                      <w:szCs w:val="21"/>
                    </w:rPr>
                  </w:pPr>
                  <w:r>
                    <w:rPr>
                      <w:b/>
                      <w:bCs/>
                      <w:color w:val="auto"/>
                      <w:szCs w:val="21"/>
                    </w:rPr>
                    <w:t>污染物名称</w:t>
                  </w:r>
                </w:p>
              </w:tc>
              <w:tc>
                <w:tcPr>
                  <w:tcW w:w="1716" w:type="pct"/>
                  <w:gridSpan w:val="2"/>
                  <w:noWrap w:val="0"/>
                  <w:vAlign w:val="center"/>
                </w:tcPr>
                <w:p w14:paraId="723A2450">
                  <w:pPr>
                    <w:jc w:val="center"/>
                    <w:rPr>
                      <w:b/>
                      <w:bCs/>
                      <w:color w:val="auto"/>
                      <w:szCs w:val="21"/>
                    </w:rPr>
                  </w:pPr>
                  <w:r>
                    <w:rPr>
                      <w:b/>
                      <w:bCs/>
                      <w:color w:val="auto"/>
                      <w:szCs w:val="21"/>
                    </w:rPr>
                    <w:t>无组织排放监控浓度限值</w:t>
                  </w:r>
                </w:p>
              </w:tc>
              <w:tc>
                <w:tcPr>
                  <w:tcW w:w="2433" w:type="pct"/>
                  <w:vMerge w:val="restart"/>
                  <w:noWrap w:val="0"/>
                  <w:vAlign w:val="center"/>
                </w:tcPr>
                <w:p w14:paraId="289D556E">
                  <w:pPr>
                    <w:jc w:val="center"/>
                    <w:rPr>
                      <w:b/>
                      <w:bCs/>
                      <w:color w:val="auto"/>
                      <w:szCs w:val="21"/>
                    </w:rPr>
                  </w:pPr>
                  <w:r>
                    <w:rPr>
                      <w:b/>
                      <w:bCs/>
                      <w:color w:val="auto"/>
                      <w:szCs w:val="21"/>
                    </w:rPr>
                    <w:t>标准来源</w:t>
                  </w:r>
                </w:p>
              </w:tc>
            </w:tr>
            <w:tr w14:paraId="7C486B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394" w:type="pct"/>
                  <w:vMerge w:val="continue"/>
                  <w:noWrap w:val="0"/>
                  <w:vAlign w:val="center"/>
                </w:tcPr>
                <w:p w14:paraId="5519799F">
                  <w:pPr>
                    <w:jc w:val="center"/>
                    <w:rPr>
                      <w:b/>
                      <w:bCs/>
                      <w:color w:val="auto"/>
                      <w:szCs w:val="21"/>
                    </w:rPr>
                  </w:pPr>
                </w:p>
              </w:tc>
              <w:tc>
                <w:tcPr>
                  <w:tcW w:w="455" w:type="pct"/>
                  <w:vMerge w:val="continue"/>
                  <w:noWrap w:val="0"/>
                  <w:vAlign w:val="center"/>
                </w:tcPr>
                <w:p w14:paraId="4056A366">
                  <w:pPr>
                    <w:jc w:val="center"/>
                    <w:rPr>
                      <w:b/>
                      <w:bCs/>
                      <w:color w:val="auto"/>
                      <w:szCs w:val="21"/>
                    </w:rPr>
                  </w:pPr>
                </w:p>
              </w:tc>
              <w:tc>
                <w:tcPr>
                  <w:tcW w:w="518" w:type="pct"/>
                  <w:noWrap w:val="0"/>
                  <w:vAlign w:val="center"/>
                </w:tcPr>
                <w:p w14:paraId="08365ABE">
                  <w:pPr>
                    <w:jc w:val="center"/>
                    <w:rPr>
                      <w:b/>
                      <w:bCs/>
                      <w:color w:val="auto"/>
                      <w:szCs w:val="21"/>
                    </w:rPr>
                  </w:pPr>
                  <w:r>
                    <w:rPr>
                      <w:b/>
                      <w:bCs/>
                      <w:color w:val="auto"/>
                      <w:szCs w:val="21"/>
                    </w:rPr>
                    <w:t>监控点</w:t>
                  </w:r>
                </w:p>
              </w:tc>
              <w:tc>
                <w:tcPr>
                  <w:tcW w:w="1197" w:type="pct"/>
                  <w:noWrap w:val="0"/>
                  <w:vAlign w:val="center"/>
                </w:tcPr>
                <w:p w14:paraId="7E3296EB">
                  <w:pPr>
                    <w:jc w:val="center"/>
                    <w:rPr>
                      <w:b/>
                      <w:bCs/>
                      <w:color w:val="auto"/>
                      <w:szCs w:val="21"/>
                    </w:rPr>
                  </w:pPr>
                  <w:r>
                    <w:rPr>
                      <w:b/>
                      <w:bCs/>
                      <w:color w:val="auto"/>
                      <w:szCs w:val="21"/>
                    </w:rPr>
                    <w:t>浓度限值（mg/m</w:t>
                  </w:r>
                  <w:r>
                    <w:rPr>
                      <w:b/>
                      <w:bCs/>
                      <w:color w:val="auto"/>
                      <w:szCs w:val="21"/>
                      <w:vertAlign w:val="superscript"/>
                    </w:rPr>
                    <w:t>3</w:t>
                  </w:r>
                  <w:r>
                    <w:rPr>
                      <w:b/>
                      <w:bCs/>
                      <w:color w:val="auto"/>
                      <w:szCs w:val="21"/>
                    </w:rPr>
                    <w:t>）</w:t>
                  </w:r>
                </w:p>
              </w:tc>
              <w:tc>
                <w:tcPr>
                  <w:tcW w:w="2433" w:type="pct"/>
                  <w:vMerge w:val="continue"/>
                  <w:noWrap w:val="0"/>
                  <w:vAlign w:val="center"/>
                </w:tcPr>
                <w:p w14:paraId="6B2266D7">
                  <w:pPr>
                    <w:jc w:val="center"/>
                    <w:rPr>
                      <w:b/>
                      <w:bCs/>
                      <w:color w:val="auto"/>
                      <w:szCs w:val="21"/>
                    </w:rPr>
                  </w:pPr>
                </w:p>
              </w:tc>
            </w:tr>
            <w:tr w14:paraId="45D16A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394" w:type="pct"/>
                  <w:vMerge w:val="restart"/>
                  <w:noWrap w:val="0"/>
                  <w:vAlign w:val="center"/>
                </w:tcPr>
                <w:p w14:paraId="05373FE0">
                  <w:pPr>
                    <w:jc w:val="center"/>
                    <w:rPr>
                      <w:rFonts w:hint="eastAsia" w:eastAsia="宋体"/>
                      <w:color w:val="auto"/>
                      <w:szCs w:val="21"/>
                      <w:lang w:val="en-US" w:eastAsia="zh-CN"/>
                    </w:rPr>
                  </w:pPr>
                  <w:r>
                    <w:rPr>
                      <w:rFonts w:hint="eastAsia" w:eastAsia="宋体"/>
                      <w:color w:val="auto"/>
                      <w:szCs w:val="21"/>
                      <w:lang w:val="en-US" w:eastAsia="zh-CN"/>
                    </w:rPr>
                    <w:t>生产</w:t>
                  </w:r>
                </w:p>
                <w:p w14:paraId="0A970009">
                  <w:pPr>
                    <w:jc w:val="center"/>
                    <w:rPr>
                      <w:rFonts w:hint="default" w:eastAsia="宋体"/>
                      <w:color w:val="auto"/>
                      <w:szCs w:val="21"/>
                      <w:lang w:val="en-US" w:eastAsia="zh-CN"/>
                    </w:rPr>
                  </w:pPr>
                  <w:r>
                    <w:rPr>
                      <w:rFonts w:hint="eastAsia" w:eastAsia="宋体"/>
                      <w:color w:val="auto"/>
                      <w:szCs w:val="21"/>
                      <w:lang w:val="en-US" w:eastAsia="zh-CN"/>
                    </w:rPr>
                    <w:t>车间</w:t>
                  </w:r>
                </w:p>
              </w:tc>
              <w:tc>
                <w:tcPr>
                  <w:tcW w:w="455" w:type="pct"/>
                  <w:noWrap w:val="0"/>
                  <w:vAlign w:val="center"/>
                </w:tcPr>
                <w:p w14:paraId="0D377355">
                  <w:pPr>
                    <w:jc w:val="center"/>
                    <w:rPr>
                      <w:rFonts w:hint="default" w:eastAsia="宋体"/>
                      <w:color w:val="auto"/>
                      <w:szCs w:val="21"/>
                      <w:lang w:val="en-US" w:eastAsia="zh-CN"/>
                    </w:rPr>
                  </w:pPr>
                  <w:r>
                    <w:rPr>
                      <w:rFonts w:hint="eastAsia"/>
                      <w:bCs/>
                      <w:color w:val="auto"/>
                      <w:szCs w:val="21"/>
                      <w:lang w:val="en-US" w:eastAsia="zh-CN"/>
                    </w:rPr>
                    <w:t>非甲烷总烃</w:t>
                  </w:r>
                </w:p>
              </w:tc>
              <w:tc>
                <w:tcPr>
                  <w:tcW w:w="518" w:type="pct"/>
                  <w:vMerge w:val="restart"/>
                  <w:noWrap w:val="0"/>
                  <w:vAlign w:val="center"/>
                </w:tcPr>
                <w:p w14:paraId="139CA7F2">
                  <w:pPr>
                    <w:jc w:val="center"/>
                    <w:rPr>
                      <w:color w:val="auto"/>
                      <w:szCs w:val="21"/>
                    </w:rPr>
                  </w:pPr>
                  <w:r>
                    <w:rPr>
                      <w:color w:val="auto"/>
                      <w:szCs w:val="21"/>
                    </w:rPr>
                    <w:t>边界外浓度最高点</w:t>
                  </w:r>
                </w:p>
              </w:tc>
              <w:tc>
                <w:tcPr>
                  <w:tcW w:w="1197" w:type="pct"/>
                  <w:noWrap w:val="0"/>
                  <w:vAlign w:val="center"/>
                </w:tcPr>
                <w:p w14:paraId="55898684">
                  <w:pPr>
                    <w:jc w:val="center"/>
                    <w:rPr>
                      <w:rFonts w:hint="eastAsia" w:eastAsia="宋体"/>
                      <w:color w:val="auto"/>
                      <w:szCs w:val="21"/>
                      <w:lang w:eastAsia="zh-CN"/>
                    </w:rPr>
                  </w:pPr>
                  <w:r>
                    <w:rPr>
                      <w:rFonts w:hint="eastAsia"/>
                      <w:color w:val="auto"/>
                      <w:szCs w:val="21"/>
                      <w:lang w:val="en-US" w:eastAsia="zh-CN"/>
                    </w:rPr>
                    <w:t>4</w:t>
                  </w:r>
                </w:p>
              </w:tc>
              <w:tc>
                <w:tcPr>
                  <w:tcW w:w="2433" w:type="pct"/>
                  <w:noWrap w:val="0"/>
                  <w:vAlign w:val="center"/>
                </w:tcPr>
                <w:p w14:paraId="336A5E59">
                  <w:pPr>
                    <w:jc w:val="center"/>
                    <w:rPr>
                      <w:color w:val="auto"/>
                      <w:szCs w:val="21"/>
                    </w:rPr>
                  </w:pPr>
                  <w:r>
                    <w:rPr>
                      <w:rFonts w:hint="eastAsia"/>
                      <w:color w:val="auto"/>
                      <w:szCs w:val="21"/>
                      <w:lang w:eastAsia="zh-CN"/>
                    </w:rPr>
                    <w:t>《</w:t>
                  </w:r>
                  <w:r>
                    <w:rPr>
                      <w:rFonts w:hint="eastAsia"/>
                      <w:color w:val="auto"/>
                      <w:szCs w:val="21"/>
                    </w:rPr>
                    <w:t>合成树脂工业污染物排放标准</w:t>
                  </w:r>
                  <w:r>
                    <w:rPr>
                      <w:rFonts w:hint="eastAsia"/>
                      <w:color w:val="auto"/>
                      <w:szCs w:val="21"/>
                      <w:lang w:eastAsia="zh-CN"/>
                    </w:rPr>
                    <w:t>》</w:t>
                  </w:r>
                  <w:r>
                    <w:rPr>
                      <w:rFonts w:hint="eastAsia"/>
                      <w:color w:val="auto"/>
                      <w:szCs w:val="21"/>
                    </w:rPr>
                    <w:t>（GB 31572-2015）</w:t>
                  </w:r>
                  <w:r>
                    <w:rPr>
                      <w:rFonts w:hint="eastAsia"/>
                      <w:color w:val="auto"/>
                      <w:szCs w:val="21"/>
                      <w:lang w:val="en-US" w:eastAsia="zh-CN"/>
                    </w:rPr>
                    <w:t>及2024年修改单表9中的标准</w:t>
                  </w:r>
                </w:p>
              </w:tc>
            </w:tr>
            <w:tr w14:paraId="03DE53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394" w:type="pct"/>
                  <w:vMerge w:val="continue"/>
                  <w:noWrap w:val="0"/>
                  <w:vAlign w:val="center"/>
                </w:tcPr>
                <w:p w14:paraId="7B91E009">
                  <w:pPr>
                    <w:jc w:val="center"/>
                    <w:rPr>
                      <w:rFonts w:hint="eastAsia"/>
                      <w:color w:val="auto"/>
                      <w:szCs w:val="21"/>
                      <w:lang w:val="en-US" w:eastAsia="zh-CN"/>
                    </w:rPr>
                  </w:pPr>
                </w:p>
              </w:tc>
              <w:tc>
                <w:tcPr>
                  <w:tcW w:w="455" w:type="pct"/>
                  <w:noWrap w:val="0"/>
                  <w:vAlign w:val="center"/>
                </w:tcPr>
                <w:p w14:paraId="39EDE727">
                  <w:pPr>
                    <w:jc w:val="center"/>
                    <w:rPr>
                      <w:rFonts w:hint="default"/>
                      <w:color w:val="auto"/>
                      <w:vertAlign w:val="baseline"/>
                      <w:lang w:val="en-US" w:eastAsia="zh-CN"/>
                    </w:rPr>
                  </w:pPr>
                  <w:r>
                    <w:rPr>
                      <w:rFonts w:hint="eastAsia"/>
                      <w:color w:val="auto"/>
                      <w:vertAlign w:val="baseline"/>
                      <w:lang w:val="en-US" w:eastAsia="zh-CN"/>
                    </w:rPr>
                    <w:t>颗粒物</w:t>
                  </w:r>
                </w:p>
              </w:tc>
              <w:tc>
                <w:tcPr>
                  <w:tcW w:w="518" w:type="pct"/>
                  <w:vMerge w:val="continue"/>
                  <w:noWrap w:val="0"/>
                  <w:vAlign w:val="center"/>
                </w:tcPr>
                <w:p w14:paraId="45D3B746">
                  <w:pPr>
                    <w:jc w:val="center"/>
                    <w:rPr>
                      <w:color w:val="auto"/>
                      <w:szCs w:val="21"/>
                    </w:rPr>
                  </w:pPr>
                </w:p>
              </w:tc>
              <w:tc>
                <w:tcPr>
                  <w:tcW w:w="1197" w:type="pct"/>
                  <w:noWrap w:val="0"/>
                  <w:vAlign w:val="center"/>
                </w:tcPr>
                <w:p w14:paraId="765B0A07">
                  <w:pPr>
                    <w:jc w:val="center"/>
                    <w:rPr>
                      <w:rFonts w:hint="default"/>
                      <w:color w:val="auto"/>
                      <w:szCs w:val="21"/>
                      <w:lang w:val="en-US" w:eastAsia="zh-CN"/>
                    </w:rPr>
                  </w:pPr>
                  <w:r>
                    <w:rPr>
                      <w:rFonts w:hint="eastAsia"/>
                      <w:color w:val="auto"/>
                      <w:szCs w:val="21"/>
                      <w:lang w:val="en-US" w:eastAsia="zh-CN"/>
                    </w:rPr>
                    <w:t>0.5</w:t>
                  </w:r>
                </w:p>
              </w:tc>
              <w:tc>
                <w:tcPr>
                  <w:tcW w:w="2433" w:type="pct"/>
                  <w:noWrap w:val="0"/>
                  <w:vAlign w:val="center"/>
                </w:tcPr>
                <w:p w14:paraId="2390708A">
                  <w:pPr>
                    <w:jc w:val="center"/>
                    <w:rPr>
                      <w:color w:val="auto"/>
                      <w:kern w:val="2"/>
                      <w:sz w:val="21"/>
                      <w:szCs w:val="21"/>
                      <w:lang w:val="en-US" w:eastAsia="zh-CN" w:bidi="ar-SA"/>
                    </w:rPr>
                  </w:pPr>
                  <w:r>
                    <w:rPr>
                      <w:color w:val="auto"/>
                      <w:szCs w:val="21"/>
                    </w:rPr>
                    <w:t>《大气污染物综合排放标准》（DB32/4041-2021）表3标准</w:t>
                  </w:r>
                </w:p>
              </w:tc>
            </w:tr>
          </w:tbl>
          <w:p w14:paraId="2C532DC8">
            <w:pPr>
              <w:keepNext w:val="0"/>
              <w:keepLines w:val="0"/>
              <w:pageBreakBefore w:val="0"/>
              <w:widowControl w:val="0"/>
              <w:kinsoku/>
              <w:wordWrap/>
              <w:overflowPunct/>
              <w:topLinePunct w:val="0"/>
              <w:autoSpaceDE/>
              <w:autoSpaceDN/>
              <w:bidi w:val="0"/>
              <w:adjustRightInd w:val="0"/>
              <w:snapToGrid w:val="0"/>
              <w:spacing w:before="157" w:beforeLines="50"/>
              <w:jc w:val="center"/>
              <w:textAlignment w:val="auto"/>
              <w:rPr>
                <w:b/>
                <w:color w:val="auto"/>
                <w:szCs w:val="21"/>
              </w:rPr>
            </w:pPr>
            <w:r>
              <w:rPr>
                <w:b/>
                <w:color w:val="auto"/>
                <w:szCs w:val="21"/>
              </w:rPr>
              <w:t>表3</w:t>
            </w:r>
            <w:r>
              <w:rPr>
                <w:rFonts w:hint="eastAsia"/>
                <w:b/>
                <w:color w:val="auto"/>
                <w:szCs w:val="21"/>
                <w:lang w:val="en-US" w:eastAsia="zh-CN"/>
              </w:rPr>
              <w:t>-8</w:t>
            </w:r>
            <w:r>
              <w:rPr>
                <w:b/>
                <w:color w:val="auto"/>
                <w:szCs w:val="21"/>
              </w:rPr>
              <w:t xml:space="preserve"> 厂区内NMHC无组织排放限值   </w:t>
            </w:r>
            <w:r>
              <w:rPr>
                <w:b/>
                <w:bCs/>
                <w:color w:val="auto"/>
                <w:szCs w:val="21"/>
              </w:rPr>
              <w:t>单位：mg/m</w:t>
            </w:r>
            <w:r>
              <w:rPr>
                <w:b/>
                <w:bCs/>
                <w:color w:val="auto"/>
                <w:szCs w:val="21"/>
                <w:vertAlign w:val="superscript"/>
              </w:rPr>
              <w:t>3</w:t>
            </w:r>
          </w:p>
          <w:tbl>
            <w:tblPr>
              <w:tblStyle w:val="28"/>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803"/>
              <w:gridCol w:w="834"/>
              <w:gridCol w:w="2583"/>
              <w:gridCol w:w="1329"/>
              <w:gridCol w:w="2674"/>
            </w:tblGrid>
            <w:tr w14:paraId="006A221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488" w:type="pct"/>
                  <w:noWrap w:val="0"/>
                  <w:tcMar>
                    <w:top w:w="0" w:type="dxa"/>
                    <w:left w:w="0" w:type="dxa"/>
                    <w:bottom w:w="0" w:type="dxa"/>
                    <w:right w:w="0" w:type="dxa"/>
                  </w:tcMar>
                  <w:vAlign w:val="center"/>
                </w:tcPr>
                <w:p w14:paraId="3FC37BF3">
                  <w:pPr>
                    <w:snapToGrid w:val="0"/>
                    <w:spacing w:line="280" w:lineRule="exact"/>
                    <w:ind w:left="-105" w:leftChars="-50" w:right="-105" w:rightChars="-50"/>
                    <w:jc w:val="center"/>
                    <w:rPr>
                      <w:color w:val="auto"/>
                      <w:szCs w:val="21"/>
                    </w:rPr>
                  </w:pPr>
                  <w:r>
                    <w:rPr>
                      <w:b/>
                      <w:color w:val="auto"/>
                      <w:szCs w:val="21"/>
                    </w:rPr>
                    <w:t>污染物项目</w:t>
                  </w:r>
                </w:p>
              </w:tc>
              <w:tc>
                <w:tcPr>
                  <w:tcW w:w="507" w:type="pct"/>
                  <w:tcBorders>
                    <w:right w:val="single" w:color="auto" w:sz="4" w:space="0"/>
                  </w:tcBorders>
                  <w:noWrap w:val="0"/>
                  <w:tcMar>
                    <w:top w:w="0" w:type="dxa"/>
                    <w:left w:w="0" w:type="dxa"/>
                    <w:bottom w:w="0" w:type="dxa"/>
                    <w:right w:w="0" w:type="dxa"/>
                  </w:tcMar>
                  <w:vAlign w:val="center"/>
                </w:tcPr>
                <w:p w14:paraId="3461C9F9">
                  <w:pPr>
                    <w:snapToGrid w:val="0"/>
                    <w:spacing w:line="280" w:lineRule="exact"/>
                    <w:jc w:val="center"/>
                    <w:rPr>
                      <w:b/>
                      <w:color w:val="auto"/>
                      <w:szCs w:val="21"/>
                    </w:rPr>
                  </w:pPr>
                  <w:r>
                    <w:rPr>
                      <w:b/>
                      <w:bCs/>
                      <w:color w:val="auto"/>
                      <w:szCs w:val="21"/>
                    </w:rPr>
                    <w:t>特别排放限值</w:t>
                  </w:r>
                </w:p>
              </w:tc>
              <w:tc>
                <w:tcPr>
                  <w:tcW w:w="1570" w:type="pct"/>
                  <w:tcBorders>
                    <w:right w:val="single" w:color="auto" w:sz="4" w:space="0"/>
                  </w:tcBorders>
                  <w:noWrap w:val="0"/>
                  <w:tcMar>
                    <w:top w:w="0" w:type="dxa"/>
                    <w:left w:w="0" w:type="dxa"/>
                    <w:bottom w:w="0" w:type="dxa"/>
                    <w:right w:w="0" w:type="dxa"/>
                  </w:tcMar>
                  <w:vAlign w:val="center"/>
                </w:tcPr>
                <w:p w14:paraId="4AA8EC97">
                  <w:pPr>
                    <w:snapToGrid w:val="0"/>
                    <w:spacing w:line="280" w:lineRule="exact"/>
                    <w:jc w:val="center"/>
                    <w:rPr>
                      <w:b/>
                      <w:color w:val="auto"/>
                      <w:szCs w:val="21"/>
                    </w:rPr>
                  </w:pPr>
                  <w:r>
                    <w:rPr>
                      <w:b/>
                      <w:color w:val="auto"/>
                      <w:szCs w:val="21"/>
                    </w:rPr>
                    <w:t>限值含义</w:t>
                  </w:r>
                </w:p>
              </w:tc>
              <w:tc>
                <w:tcPr>
                  <w:tcW w:w="808" w:type="pct"/>
                  <w:tcBorders>
                    <w:right w:val="single" w:color="auto" w:sz="4" w:space="0"/>
                  </w:tcBorders>
                  <w:noWrap w:val="0"/>
                  <w:tcMar>
                    <w:top w:w="0" w:type="dxa"/>
                    <w:left w:w="0" w:type="dxa"/>
                    <w:bottom w:w="0" w:type="dxa"/>
                    <w:right w:w="0" w:type="dxa"/>
                  </w:tcMar>
                  <w:vAlign w:val="center"/>
                </w:tcPr>
                <w:p w14:paraId="575CD5CA">
                  <w:pPr>
                    <w:snapToGrid w:val="0"/>
                    <w:spacing w:line="280" w:lineRule="exact"/>
                    <w:jc w:val="center"/>
                    <w:rPr>
                      <w:b/>
                      <w:color w:val="auto"/>
                      <w:szCs w:val="21"/>
                    </w:rPr>
                  </w:pPr>
                  <w:r>
                    <w:rPr>
                      <w:b/>
                      <w:color w:val="auto"/>
                      <w:szCs w:val="21"/>
                    </w:rPr>
                    <w:t>无组织排放监控位置</w:t>
                  </w:r>
                </w:p>
              </w:tc>
              <w:tc>
                <w:tcPr>
                  <w:tcW w:w="1625" w:type="pct"/>
                  <w:tcBorders>
                    <w:left w:val="single" w:color="auto" w:sz="4" w:space="0"/>
                  </w:tcBorders>
                  <w:noWrap w:val="0"/>
                  <w:tcMar>
                    <w:top w:w="0" w:type="dxa"/>
                    <w:left w:w="0" w:type="dxa"/>
                    <w:bottom w:w="0" w:type="dxa"/>
                    <w:right w:w="0" w:type="dxa"/>
                  </w:tcMar>
                  <w:vAlign w:val="center"/>
                </w:tcPr>
                <w:p w14:paraId="18606534">
                  <w:pPr>
                    <w:snapToGrid w:val="0"/>
                    <w:spacing w:line="280" w:lineRule="exact"/>
                    <w:jc w:val="center"/>
                    <w:rPr>
                      <w:b/>
                      <w:color w:val="auto"/>
                      <w:szCs w:val="21"/>
                    </w:rPr>
                  </w:pPr>
                  <w:r>
                    <w:rPr>
                      <w:b/>
                      <w:bCs/>
                      <w:color w:val="auto"/>
                      <w:szCs w:val="21"/>
                    </w:rPr>
                    <w:t>标准来源</w:t>
                  </w:r>
                </w:p>
              </w:tc>
            </w:tr>
            <w:tr w14:paraId="59D2D43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488" w:type="pct"/>
                  <w:vMerge w:val="restart"/>
                  <w:noWrap w:val="0"/>
                  <w:tcMar>
                    <w:top w:w="0" w:type="dxa"/>
                    <w:left w:w="0" w:type="dxa"/>
                    <w:bottom w:w="0" w:type="dxa"/>
                    <w:right w:w="0" w:type="dxa"/>
                  </w:tcMar>
                  <w:vAlign w:val="center"/>
                </w:tcPr>
                <w:p w14:paraId="76EB3DF2">
                  <w:pPr>
                    <w:snapToGrid w:val="0"/>
                    <w:spacing w:line="280" w:lineRule="exact"/>
                    <w:jc w:val="center"/>
                    <w:rPr>
                      <w:color w:val="auto"/>
                      <w:szCs w:val="21"/>
                    </w:rPr>
                  </w:pPr>
                  <w:r>
                    <w:rPr>
                      <w:color w:val="auto"/>
                      <w:szCs w:val="21"/>
                    </w:rPr>
                    <w:t>NMHC</w:t>
                  </w:r>
                </w:p>
              </w:tc>
              <w:tc>
                <w:tcPr>
                  <w:tcW w:w="507" w:type="pct"/>
                  <w:tcBorders>
                    <w:right w:val="single" w:color="auto" w:sz="4" w:space="0"/>
                  </w:tcBorders>
                  <w:noWrap w:val="0"/>
                  <w:tcMar>
                    <w:top w:w="0" w:type="dxa"/>
                    <w:left w:w="0" w:type="dxa"/>
                    <w:bottom w:w="0" w:type="dxa"/>
                    <w:right w:w="0" w:type="dxa"/>
                  </w:tcMar>
                  <w:vAlign w:val="center"/>
                </w:tcPr>
                <w:p w14:paraId="2C1E0DEB">
                  <w:pPr>
                    <w:snapToGrid w:val="0"/>
                    <w:spacing w:line="280" w:lineRule="exact"/>
                    <w:jc w:val="center"/>
                    <w:rPr>
                      <w:color w:val="auto"/>
                      <w:szCs w:val="21"/>
                    </w:rPr>
                  </w:pPr>
                  <w:r>
                    <w:rPr>
                      <w:color w:val="auto"/>
                      <w:szCs w:val="21"/>
                    </w:rPr>
                    <w:t>6</w:t>
                  </w:r>
                </w:p>
              </w:tc>
              <w:tc>
                <w:tcPr>
                  <w:tcW w:w="1570" w:type="pct"/>
                  <w:tcBorders>
                    <w:right w:val="single" w:color="auto" w:sz="4" w:space="0"/>
                  </w:tcBorders>
                  <w:noWrap w:val="0"/>
                  <w:tcMar>
                    <w:top w:w="0" w:type="dxa"/>
                    <w:left w:w="0" w:type="dxa"/>
                    <w:bottom w:w="0" w:type="dxa"/>
                    <w:right w:w="0" w:type="dxa"/>
                  </w:tcMar>
                  <w:vAlign w:val="center"/>
                </w:tcPr>
                <w:p w14:paraId="70CBEE3C">
                  <w:pPr>
                    <w:jc w:val="center"/>
                    <w:rPr>
                      <w:color w:val="auto"/>
                      <w:szCs w:val="21"/>
                    </w:rPr>
                  </w:pPr>
                  <w:r>
                    <w:rPr>
                      <w:color w:val="auto"/>
                      <w:szCs w:val="21"/>
                    </w:rPr>
                    <w:t>监控点处1h平均浓度值</w:t>
                  </w:r>
                </w:p>
              </w:tc>
              <w:tc>
                <w:tcPr>
                  <w:tcW w:w="808" w:type="pct"/>
                  <w:vMerge w:val="restart"/>
                  <w:tcBorders>
                    <w:right w:val="single" w:color="auto" w:sz="4" w:space="0"/>
                  </w:tcBorders>
                  <w:noWrap w:val="0"/>
                  <w:tcMar>
                    <w:top w:w="0" w:type="dxa"/>
                    <w:left w:w="0" w:type="dxa"/>
                    <w:bottom w:w="0" w:type="dxa"/>
                    <w:right w:w="0" w:type="dxa"/>
                  </w:tcMar>
                  <w:vAlign w:val="center"/>
                </w:tcPr>
                <w:p w14:paraId="61C71038">
                  <w:pPr>
                    <w:snapToGrid w:val="0"/>
                    <w:spacing w:line="280" w:lineRule="exact"/>
                    <w:jc w:val="center"/>
                    <w:rPr>
                      <w:color w:val="auto"/>
                      <w:szCs w:val="21"/>
                    </w:rPr>
                  </w:pPr>
                  <w:r>
                    <w:rPr>
                      <w:color w:val="auto"/>
                      <w:szCs w:val="21"/>
                    </w:rPr>
                    <w:t>在厂房外设置监控点</w:t>
                  </w:r>
                </w:p>
              </w:tc>
              <w:tc>
                <w:tcPr>
                  <w:tcW w:w="1625" w:type="pct"/>
                  <w:vMerge w:val="restart"/>
                  <w:tcBorders>
                    <w:left w:val="single" w:color="auto" w:sz="4" w:space="0"/>
                  </w:tcBorders>
                  <w:noWrap w:val="0"/>
                  <w:tcMar>
                    <w:top w:w="0" w:type="dxa"/>
                    <w:left w:w="0" w:type="dxa"/>
                    <w:bottom w:w="0" w:type="dxa"/>
                    <w:right w:w="0" w:type="dxa"/>
                  </w:tcMar>
                  <w:vAlign w:val="center"/>
                </w:tcPr>
                <w:p w14:paraId="33008530">
                  <w:pPr>
                    <w:jc w:val="center"/>
                    <w:rPr>
                      <w:color w:val="auto"/>
                      <w:kern w:val="2"/>
                      <w:sz w:val="21"/>
                      <w:szCs w:val="21"/>
                      <w:lang w:val="en-US" w:eastAsia="zh-CN" w:bidi="ar-SA"/>
                    </w:rPr>
                  </w:pPr>
                  <w:r>
                    <w:rPr>
                      <w:color w:val="auto"/>
                      <w:szCs w:val="21"/>
                    </w:rPr>
                    <w:t>《大气污染物综合排放标准》（DB32/4041-2021）表</w:t>
                  </w:r>
                  <w:r>
                    <w:rPr>
                      <w:rFonts w:hint="eastAsia"/>
                      <w:color w:val="auto"/>
                      <w:szCs w:val="21"/>
                      <w:lang w:val="en-US" w:eastAsia="zh-CN"/>
                    </w:rPr>
                    <w:t>2</w:t>
                  </w:r>
                  <w:r>
                    <w:rPr>
                      <w:color w:val="auto"/>
                      <w:szCs w:val="21"/>
                    </w:rPr>
                    <w:t>标准</w:t>
                  </w:r>
                </w:p>
              </w:tc>
            </w:tr>
            <w:tr w14:paraId="5C6FD9E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488" w:type="pct"/>
                  <w:vMerge w:val="continue"/>
                  <w:noWrap w:val="0"/>
                  <w:tcMar>
                    <w:top w:w="0" w:type="dxa"/>
                    <w:left w:w="0" w:type="dxa"/>
                    <w:bottom w:w="0" w:type="dxa"/>
                    <w:right w:w="0" w:type="dxa"/>
                  </w:tcMar>
                  <w:vAlign w:val="center"/>
                </w:tcPr>
                <w:p w14:paraId="78AB5683">
                  <w:pPr>
                    <w:snapToGrid w:val="0"/>
                    <w:spacing w:line="280" w:lineRule="exact"/>
                    <w:jc w:val="center"/>
                    <w:rPr>
                      <w:color w:val="auto"/>
                      <w:szCs w:val="21"/>
                    </w:rPr>
                  </w:pPr>
                </w:p>
              </w:tc>
              <w:tc>
                <w:tcPr>
                  <w:tcW w:w="507" w:type="pct"/>
                  <w:tcBorders>
                    <w:right w:val="single" w:color="auto" w:sz="4" w:space="0"/>
                  </w:tcBorders>
                  <w:noWrap w:val="0"/>
                  <w:tcMar>
                    <w:top w:w="0" w:type="dxa"/>
                    <w:left w:w="0" w:type="dxa"/>
                    <w:bottom w:w="0" w:type="dxa"/>
                    <w:right w:w="0" w:type="dxa"/>
                  </w:tcMar>
                  <w:vAlign w:val="center"/>
                </w:tcPr>
                <w:p w14:paraId="5D13C0C7">
                  <w:pPr>
                    <w:snapToGrid w:val="0"/>
                    <w:spacing w:line="280" w:lineRule="exact"/>
                    <w:jc w:val="center"/>
                    <w:rPr>
                      <w:color w:val="auto"/>
                      <w:szCs w:val="21"/>
                    </w:rPr>
                  </w:pPr>
                  <w:r>
                    <w:rPr>
                      <w:color w:val="auto"/>
                      <w:szCs w:val="21"/>
                    </w:rPr>
                    <w:t>20</w:t>
                  </w:r>
                </w:p>
              </w:tc>
              <w:tc>
                <w:tcPr>
                  <w:tcW w:w="1570" w:type="pct"/>
                  <w:tcBorders>
                    <w:right w:val="single" w:color="auto" w:sz="4" w:space="0"/>
                  </w:tcBorders>
                  <w:noWrap w:val="0"/>
                  <w:tcMar>
                    <w:top w:w="0" w:type="dxa"/>
                    <w:left w:w="0" w:type="dxa"/>
                    <w:bottom w:w="0" w:type="dxa"/>
                    <w:right w:w="0" w:type="dxa"/>
                  </w:tcMar>
                  <w:vAlign w:val="center"/>
                </w:tcPr>
                <w:p w14:paraId="05824248">
                  <w:pPr>
                    <w:jc w:val="center"/>
                    <w:rPr>
                      <w:color w:val="auto"/>
                      <w:szCs w:val="21"/>
                    </w:rPr>
                  </w:pPr>
                  <w:r>
                    <w:rPr>
                      <w:color w:val="auto"/>
                      <w:szCs w:val="21"/>
                    </w:rPr>
                    <w:t>监控点处任意一次浓度值</w:t>
                  </w:r>
                </w:p>
              </w:tc>
              <w:tc>
                <w:tcPr>
                  <w:tcW w:w="808" w:type="pct"/>
                  <w:vMerge w:val="continue"/>
                  <w:tcBorders>
                    <w:right w:val="single" w:color="auto" w:sz="4" w:space="0"/>
                  </w:tcBorders>
                  <w:noWrap w:val="0"/>
                  <w:tcMar>
                    <w:top w:w="0" w:type="dxa"/>
                    <w:left w:w="0" w:type="dxa"/>
                    <w:bottom w:w="0" w:type="dxa"/>
                    <w:right w:w="0" w:type="dxa"/>
                  </w:tcMar>
                  <w:vAlign w:val="center"/>
                </w:tcPr>
                <w:p w14:paraId="08F6B3CE">
                  <w:pPr>
                    <w:snapToGrid w:val="0"/>
                    <w:spacing w:line="280" w:lineRule="exact"/>
                    <w:jc w:val="center"/>
                    <w:rPr>
                      <w:color w:val="auto"/>
                      <w:szCs w:val="21"/>
                    </w:rPr>
                  </w:pPr>
                </w:p>
              </w:tc>
              <w:tc>
                <w:tcPr>
                  <w:tcW w:w="1625" w:type="pct"/>
                  <w:vMerge w:val="continue"/>
                  <w:tcBorders>
                    <w:left w:val="single" w:color="auto" w:sz="4" w:space="0"/>
                  </w:tcBorders>
                  <w:noWrap w:val="0"/>
                  <w:tcMar>
                    <w:top w:w="0" w:type="dxa"/>
                    <w:left w:w="0" w:type="dxa"/>
                    <w:bottom w:w="0" w:type="dxa"/>
                    <w:right w:w="0" w:type="dxa"/>
                  </w:tcMar>
                  <w:vAlign w:val="center"/>
                </w:tcPr>
                <w:p w14:paraId="0ECCF084">
                  <w:pPr>
                    <w:snapToGrid w:val="0"/>
                    <w:spacing w:line="280" w:lineRule="exact"/>
                    <w:jc w:val="center"/>
                    <w:rPr>
                      <w:color w:val="auto"/>
                      <w:szCs w:val="21"/>
                    </w:rPr>
                  </w:pPr>
                </w:p>
              </w:tc>
            </w:tr>
          </w:tbl>
          <w:p w14:paraId="3F41202B">
            <w:pPr>
              <w:spacing w:before="120" w:beforeLines="50" w:line="360" w:lineRule="auto"/>
              <w:ind w:firstLine="422" w:firstLineChars="200"/>
              <w:rPr>
                <w:b/>
                <w:color w:val="auto"/>
                <w:szCs w:val="21"/>
              </w:rPr>
            </w:pPr>
            <w:r>
              <w:rPr>
                <w:rFonts w:hint="eastAsia"/>
                <w:b/>
                <w:color w:val="auto"/>
                <w:szCs w:val="21"/>
              </w:rPr>
              <w:t>二</w:t>
            </w:r>
            <w:r>
              <w:rPr>
                <w:b/>
                <w:color w:val="auto"/>
                <w:szCs w:val="21"/>
              </w:rPr>
              <w:t>、废水排放标准</w:t>
            </w:r>
          </w:p>
          <w:p w14:paraId="66CCBB57">
            <w:pPr>
              <w:spacing w:line="360" w:lineRule="auto"/>
              <w:ind w:firstLine="420" w:firstLineChars="200"/>
              <w:rPr>
                <w:bCs/>
                <w:color w:val="auto"/>
                <w:szCs w:val="21"/>
              </w:rPr>
            </w:pPr>
            <w:r>
              <w:rPr>
                <w:color w:val="auto"/>
                <w:szCs w:val="21"/>
              </w:rPr>
              <w:t>本项目生活污水达到常州金坛区第二污水处理有限公司接管限值和《污水排入城镇下水道水质标准》（</w:t>
            </w:r>
            <w:r>
              <w:rPr>
                <w:color w:val="auto"/>
                <w:szCs w:val="21"/>
                <w:shd w:val="clear" w:color="auto" w:fill="FFFFFF"/>
              </w:rPr>
              <w:t>GB/T31962-2015</w:t>
            </w:r>
            <w:r>
              <w:rPr>
                <w:color w:val="auto"/>
                <w:szCs w:val="21"/>
              </w:rPr>
              <w:t>）表1中B等级标准</w:t>
            </w:r>
            <w:r>
              <w:rPr>
                <w:bCs/>
                <w:color w:val="auto"/>
                <w:szCs w:val="21"/>
              </w:rPr>
              <w:t>后，接管排入市政污水管网</w:t>
            </w:r>
            <w:r>
              <w:rPr>
                <w:color w:val="auto"/>
                <w:szCs w:val="21"/>
              </w:rPr>
              <w:t>，最终排入</w:t>
            </w:r>
            <w:r>
              <w:rPr>
                <w:rFonts w:hint="eastAsia"/>
                <w:color w:val="auto"/>
                <w:szCs w:val="21"/>
              </w:rPr>
              <w:t>常州金坛区第二污水处理有限公司</w:t>
            </w:r>
            <w:r>
              <w:rPr>
                <w:color w:val="auto"/>
                <w:szCs w:val="21"/>
              </w:rPr>
              <w:t>处理达标后排放，接管要求见</w:t>
            </w:r>
            <w:r>
              <w:rPr>
                <w:rFonts w:hint="eastAsia"/>
                <w:color w:val="auto"/>
                <w:szCs w:val="21"/>
              </w:rPr>
              <w:t>下表</w:t>
            </w:r>
            <w:r>
              <w:rPr>
                <w:bCs/>
                <w:color w:val="auto"/>
                <w:szCs w:val="21"/>
              </w:rPr>
              <w:t>。</w:t>
            </w:r>
          </w:p>
          <w:p w14:paraId="04B62337">
            <w:pPr>
              <w:keepNext w:val="0"/>
              <w:keepLines w:val="0"/>
              <w:pageBreakBefore w:val="0"/>
              <w:widowControl w:val="0"/>
              <w:kinsoku/>
              <w:wordWrap/>
              <w:overflowPunct/>
              <w:topLinePunct w:val="0"/>
              <w:autoSpaceDE/>
              <w:autoSpaceDN/>
              <w:bidi w:val="0"/>
              <w:adjustRightInd/>
              <w:snapToGrid/>
              <w:jc w:val="center"/>
              <w:textAlignment w:val="auto"/>
              <w:rPr>
                <w:color w:val="auto"/>
                <w:szCs w:val="21"/>
              </w:rPr>
            </w:pPr>
            <w:r>
              <w:rPr>
                <w:b/>
                <w:bCs/>
                <w:color w:val="auto"/>
                <w:szCs w:val="21"/>
              </w:rPr>
              <w:t>表3</w:t>
            </w:r>
            <w:r>
              <w:rPr>
                <w:rFonts w:hint="eastAsia"/>
                <w:b/>
                <w:bCs/>
                <w:color w:val="auto"/>
                <w:szCs w:val="21"/>
                <w:lang w:val="en-US" w:eastAsia="zh-CN"/>
              </w:rPr>
              <w:t>-9</w:t>
            </w:r>
            <w:r>
              <w:rPr>
                <w:b/>
                <w:bCs/>
                <w:color w:val="auto"/>
                <w:szCs w:val="21"/>
              </w:rPr>
              <w:t xml:space="preserve"> </w:t>
            </w:r>
            <w:r>
              <w:rPr>
                <w:b/>
                <w:color w:val="auto"/>
                <w:szCs w:val="21"/>
              </w:rPr>
              <w:t>污水</w:t>
            </w:r>
            <w:r>
              <w:rPr>
                <w:b/>
                <w:bCs/>
                <w:color w:val="auto"/>
                <w:szCs w:val="21"/>
              </w:rPr>
              <w:t xml:space="preserve">接管限值   </w:t>
            </w:r>
            <w:r>
              <w:rPr>
                <w:b/>
                <w:bCs/>
                <w:color w:val="auto"/>
                <w:spacing w:val="-4"/>
                <w:szCs w:val="21"/>
              </w:rPr>
              <w:t>单位：mg/L，pH无量纲</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649"/>
              <w:gridCol w:w="2476"/>
              <w:gridCol w:w="3094"/>
            </w:tblGrid>
            <w:tr w14:paraId="5E53AC2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611" w:type="pct"/>
                  <w:noWrap w:val="0"/>
                  <w:tcMar>
                    <w:top w:w="0" w:type="dxa"/>
                    <w:left w:w="0" w:type="dxa"/>
                    <w:bottom w:w="0" w:type="dxa"/>
                    <w:right w:w="0" w:type="dxa"/>
                  </w:tcMar>
                  <w:vAlign w:val="center"/>
                </w:tcPr>
                <w:p w14:paraId="34B33A21">
                  <w:pPr>
                    <w:adjustRightInd w:val="0"/>
                    <w:snapToGrid w:val="0"/>
                    <w:jc w:val="center"/>
                    <w:rPr>
                      <w:rFonts w:hint="eastAsia"/>
                      <w:color w:val="auto"/>
                      <w:szCs w:val="21"/>
                    </w:rPr>
                  </w:pPr>
                  <w:r>
                    <w:rPr>
                      <w:rFonts w:hint="eastAsia"/>
                      <w:b/>
                      <w:bCs/>
                      <w:color w:val="auto"/>
                      <w:szCs w:val="21"/>
                    </w:rPr>
                    <w:t>污染物</w:t>
                  </w:r>
                </w:p>
              </w:tc>
              <w:tc>
                <w:tcPr>
                  <w:tcW w:w="1506" w:type="pct"/>
                  <w:noWrap w:val="0"/>
                  <w:tcMar>
                    <w:top w:w="0" w:type="dxa"/>
                    <w:left w:w="0" w:type="dxa"/>
                    <w:bottom w:w="0" w:type="dxa"/>
                    <w:right w:w="0" w:type="dxa"/>
                  </w:tcMar>
                  <w:vAlign w:val="center"/>
                </w:tcPr>
                <w:p w14:paraId="6589FB13">
                  <w:pPr>
                    <w:adjustRightInd w:val="0"/>
                    <w:snapToGrid w:val="0"/>
                    <w:jc w:val="center"/>
                    <w:rPr>
                      <w:color w:val="auto"/>
                      <w:szCs w:val="21"/>
                    </w:rPr>
                  </w:pPr>
                  <w:r>
                    <w:rPr>
                      <w:b/>
                      <w:bCs/>
                      <w:color w:val="auto"/>
                      <w:szCs w:val="21"/>
                    </w:rPr>
                    <w:t>接管限值浓度限值</w:t>
                  </w:r>
                </w:p>
              </w:tc>
              <w:tc>
                <w:tcPr>
                  <w:tcW w:w="1881" w:type="pct"/>
                  <w:noWrap w:val="0"/>
                  <w:tcMar>
                    <w:top w:w="0" w:type="dxa"/>
                    <w:left w:w="0" w:type="dxa"/>
                    <w:bottom w:w="0" w:type="dxa"/>
                    <w:right w:w="0" w:type="dxa"/>
                  </w:tcMar>
                  <w:vAlign w:val="center"/>
                </w:tcPr>
                <w:p w14:paraId="375825DC">
                  <w:pPr>
                    <w:spacing w:before="48" w:beforeLines="20" w:after="48" w:afterLines="20" w:line="320" w:lineRule="exact"/>
                    <w:jc w:val="center"/>
                    <w:rPr>
                      <w:rFonts w:hint="eastAsia"/>
                      <w:color w:val="auto"/>
                      <w:szCs w:val="21"/>
                    </w:rPr>
                  </w:pPr>
                  <w:r>
                    <w:rPr>
                      <w:rFonts w:hint="eastAsia"/>
                      <w:b/>
                      <w:bCs/>
                      <w:color w:val="auto"/>
                      <w:szCs w:val="21"/>
                    </w:rPr>
                    <w:t>来源</w:t>
                  </w:r>
                </w:p>
              </w:tc>
            </w:tr>
            <w:tr w14:paraId="32076C8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611" w:type="pct"/>
                  <w:noWrap w:val="0"/>
                  <w:tcMar>
                    <w:top w:w="0" w:type="dxa"/>
                    <w:left w:w="0" w:type="dxa"/>
                    <w:bottom w:w="0" w:type="dxa"/>
                    <w:right w:w="0" w:type="dxa"/>
                  </w:tcMar>
                  <w:vAlign w:val="center"/>
                </w:tcPr>
                <w:p w14:paraId="75D1E8DF">
                  <w:pPr>
                    <w:adjustRightInd w:val="0"/>
                    <w:snapToGrid w:val="0"/>
                    <w:jc w:val="center"/>
                    <w:rPr>
                      <w:color w:val="auto"/>
                      <w:kern w:val="2"/>
                      <w:sz w:val="21"/>
                      <w:szCs w:val="21"/>
                      <w:lang w:val="en-US" w:eastAsia="zh-CN" w:bidi="ar-SA"/>
                    </w:rPr>
                  </w:pPr>
                  <w:r>
                    <w:rPr>
                      <w:color w:val="auto"/>
                      <w:szCs w:val="21"/>
                    </w:rPr>
                    <w:t>pH</w:t>
                  </w:r>
                </w:p>
              </w:tc>
              <w:tc>
                <w:tcPr>
                  <w:tcW w:w="1506" w:type="pct"/>
                  <w:noWrap w:val="0"/>
                  <w:tcMar>
                    <w:top w:w="0" w:type="dxa"/>
                    <w:left w:w="0" w:type="dxa"/>
                    <w:bottom w:w="0" w:type="dxa"/>
                    <w:right w:w="0" w:type="dxa"/>
                  </w:tcMar>
                  <w:vAlign w:val="center"/>
                </w:tcPr>
                <w:p w14:paraId="30E1B0FA">
                  <w:pPr>
                    <w:adjustRightInd w:val="0"/>
                    <w:snapToGrid w:val="0"/>
                    <w:jc w:val="center"/>
                    <w:rPr>
                      <w:color w:val="auto"/>
                      <w:kern w:val="2"/>
                      <w:sz w:val="21"/>
                      <w:szCs w:val="21"/>
                      <w:lang w:val="en-US" w:eastAsia="zh-CN" w:bidi="ar-SA"/>
                    </w:rPr>
                  </w:pPr>
                  <w:r>
                    <w:rPr>
                      <w:color w:val="auto"/>
                      <w:szCs w:val="21"/>
                    </w:rPr>
                    <w:t>6~9</w:t>
                  </w:r>
                </w:p>
              </w:tc>
              <w:tc>
                <w:tcPr>
                  <w:tcW w:w="1881" w:type="pct"/>
                  <w:vMerge w:val="restart"/>
                  <w:noWrap w:val="0"/>
                  <w:tcMar>
                    <w:top w:w="0" w:type="dxa"/>
                    <w:left w:w="0" w:type="dxa"/>
                    <w:bottom w:w="0" w:type="dxa"/>
                    <w:right w:w="0" w:type="dxa"/>
                  </w:tcMar>
                  <w:vAlign w:val="center"/>
                </w:tcPr>
                <w:p w14:paraId="42900EB8">
                  <w:pPr>
                    <w:spacing w:before="48" w:beforeLines="20" w:after="48" w:afterLines="20" w:line="320" w:lineRule="exact"/>
                    <w:jc w:val="center"/>
                    <w:rPr>
                      <w:color w:val="auto"/>
                      <w:kern w:val="2"/>
                      <w:sz w:val="21"/>
                      <w:szCs w:val="21"/>
                      <w:lang w:val="en-US" w:eastAsia="zh-CN" w:bidi="ar-SA"/>
                    </w:rPr>
                  </w:pPr>
                  <w:r>
                    <w:rPr>
                      <w:color w:val="auto"/>
                      <w:szCs w:val="21"/>
                    </w:rPr>
                    <w:t>常州金坛区第二污水处理有限公司接管限值要求和《污水排入城镇下水道水质标准》（</w:t>
                  </w:r>
                  <w:r>
                    <w:rPr>
                      <w:color w:val="auto"/>
                      <w:szCs w:val="21"/>
                      <w:shd w:val="clear" w:color="auto" w:fill="FFFFFF"/>
                    </w:rPr>
                    <w:t>GB/T31962-2015</w:t>
                  </w:r>
                  <w:r>
                    <w:rPr>
                      <w:color w:val="auto"/>
                      <w:szCs w:val="21"/>
                    </w:rPr>
                    <w:t>）表1中B等级标准</w:t>
                  </w:r>
                </w:p>
              </w:tc>
            </w:tr>
            <w:tr w14:paraId="1B7507A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611" w:type="pct"/>
                  <w:noWrap w:val="0"/>
                  <w:tcMar>
                    <w:top w:w="0" w:type="dxa"/>
                    <w:left w:w="0" w:type="dxa"/>
                    <w:bottom w:w="0" w:type="dxa"/>
                    <w:right w:w="0" w:type="dxa"/>
                  </w:tcMar>
                  <w:vAlign w:val="center"/>
                </w:tcPr>
                <w:p w14:paraId="1882B6A3">
                  <w:pPr>
                    <w:adjustRightInd w:val="0"/>
                    <w:snapToGrid w:val="0"/>
                    <w:jc w:val="center"/>
                    <w:rPr>
                      <w:color w:val="auto"/>
                      <w:kern w:val="2"/>
                      <w:sz w:val="21"/>
                      <w:szCs w:val="21"/>
                      <w:lang w:val="en-US" w:eastAsia="zh-CN" w:bidi="ar-SA"/>
                    </w:rPr>
                  </w:pPr>
                  <w:r>
                    <w:rPr>
                      <w:color w:val="auto"/>
                      <w:szCs w:val="21"/>
                    </w:rPr>
                    <w:t>COD</w:t>
                  </w:r>
                </w:p>
              </w:tc>
              <w:tc>
                <w:tcPr>
                  <w:tcW w:w="1506" w:type="pct"/>
                  <w:noWrap w:val="0"/>
                  <w:tcMar>
                    <w:top w:w="0" w:type="dxa"/>
                    <w:left w:w="0" w:type="dxa"/>
                    <w:bottom w:w="0" w:type="dxa"/>
                    <w:right w:w="0" w:type="dxa"/>
                  </w:tcMar>
                  <w:vAlign w:val="center"/>
                </w:tcPr>
                <w:p w14:paraId="6CECC1CC">
                  <w:pPr>
                    <w:adjustRightInd w:val="0"/>
                    <w:snapToGrid w:val="0"/>
                    <w:jc w:val="center"/>
                    <w:rPr>
                      <w:rFonts w:hint="default"/>
                      <w:color w:val="auto"/>
                      <w:kern w:val="2"/>
                      <w:sz w:val="21"/>
                      <w:szCs w:val="21"/>
                      <w:lang w:val="en-US" w:eastAsia="zh-CN" w:bidi="ar-SA"/>
                    </w:rPr>
                  </w:pPr>
                  <w:r>
                    <w:rPr>
                      <w:color w:val="auto"/>
                      <w:szCs w:val="21"/>
                    </w:rPr>
                    <w:t>500</w:t>
                  </w:r>
                </w:p>
              </w:tc>
              <w:tc>
                <w:tcPr>
                  <w:tcW w:w="1881" w:type="pct"/>
                  <w:vMerge w:val="continue"/>
                  <w:noWrap w:val="0"/>
                  <w:tcMar>
                    <w:top w:w="0" w:type="dxa"/>
                    <w:left w:w="0" w:type="dxa"/>
                    <w:bottom w:w="0" w:type="dxa"/>
                    <w:right w:w="0" w:type="dxa"/>
                  </w:tcMar>
                  <w:vAlign w:val="center"/>
                </w:tcPr>
                <w:p w14:paraId="41676BDB">
                  <w:pPr>
                    <w:spacing w:before="48" w:beforeLines="20" w:after="48" w:afterLines="20" w:line="320" w:lineRule="exact"/>
                    <w:jc w:val="center"/>
                    <w:rPr>
                      <w:color w:val="auto"/>
                      <w:szCs w:val="21"/>
                    </w:rPr>
                  </w:pPr>
                </w:p>
              </w:tc>
            </w:tr>
            <w:tr w14:paraId="71564FE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611" w:type="pct"/>
                  <w:noWrap w:val="0"/>
                  <w:tcMar>
                    <w:top w:w="0" w:type="dxa"/>
                    <w:left w:w="0" w:type="dxa"/>
                    <w:bottom w:w="0" w:type="dxa"/>
                    <w:right w:w="0" w:type="dxa"/>
                  </w:tcMar>
                  <w:vAlign w:val="center"/>
                </w:tcPr>
                <w:p w14:paraId="2D485259">
                  <w:pPr>
                    <w:adjustRightInd w:val="0"/>
                    <w:snapToGrid w:val="0"/>
                    <w:jc w:val="center"/>
                    <w:rPr>
                      <w:color w:val="auto"/>
                      <w:kern w:val="2"/>
                      <w:sz w:val="21"/>
                      <w:szCs w:val="21"/>
                      <w:lang w:val="en-US" w:eastAsia="zh-CN" w:bidi="ar-SA"/>
                    </w:rPr>
                  </w:pPr>
                  <w:r>
                    <w:rPr>
                      <w:color w:val="auto"/>
                      <w:szCs w:val="21"/>
                    </w:rPr>
                    <w:t>SS</w:t>
                  </w:r>
                </w:p>
              </w:tc>
              <w:tc>
                <w:tcPr>
                  <w:tcW w:w="1506" w:type="pct"/>
                  <w:noWrap w:val="0"/>
                  <w:tcMar>
                    <w:top w:w="0" w:type="dxa"/>
                    <w:left w:w="0" w:type="dxa"/>
                    <w:bottom w:w="0" w:type="dxa"/>
                    <w:right w:w="0" w:type="dxa"/>
                  </w:tcMar>
                  <w:vAlign w:val="center"/>
                </w:tcPr>
                <w:p w14:paraId="7DBC1834">
                  <w:pPr>
                    <w:adjustRightInd w:val="0"/>
                    <w:snapToGrid w:val="0"/>
                    <w:jc w:val="center"/>
                    <w:rPr>
                      <w:color w:val="auto"/>
                      <w:kern w:val="2"/>
                      <w:sz w:val="21"/>
                      <w:szCs w:val="21"/>
                      <w:lang w:val="en-US" w:eastAsia="zh-CN" w:bidi="ar-SA"/>
                    </w:rPr>
                  </w:pPr>
                  <w:r>
                    <w:rPr>
                      <w:color w:val="auto"/>
                      <w:szCs w:val="21"/>
                    </w:rPr>
                    <w:t>250</w:t>
                  </w:r>
                </w:p>
              </w:tc>
              <w:tc>
                <w:tcPr>
                  <w:tcW w:w="1881" w:type="pct"/>
                  <w:vMerge w:val="continue"/>
                  <w:noWrap w:val="0"/>
                  <w:tcMar>
                    <w:top w:w="0" w:type="dxa"/>
                    <w:left w:w="0" w:type="dxa"/>
                    <w:bottom w:w="0" w:type="dxa"/>
                    <w:right w:w="0" w:type="dxa"/>
                  </w:tcMar>
                  <w:vAlign w:val="center"/>
                </w:tcPr>
                <w:p w14:paraId="656C2A77">
                  <w:pPr>
                    <w:spacing w:before="48" w:beforeLines="20" w:after="48" w:afterLines="20" w:line="320" w:lineRule="exact"/>
                    <w:jc w:val="center"/>
                    <w:rPr>
                      <w:color w:val="auto"/>
                      <w:szCs w:val="21"/>
                    </w:rPr>
                  </w:pPr>
                </w:p>
              </w:tc>
            </w:tr>
            <w:tr w14:paraId="5940A22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611" w:type="pct"/>
                  <w:noWrap w:val="0"/>
                  <w:tcMar>
                    <w:top w:w="0" w:type="dxa"/>
                    <w:left w:w="0" w:type="dxa"/>
                    <w:bottom w:w="0" w:type="dxa"/>
                    <w:right w:w="0" w:type="dxa"/>
                  </w:tcMar>
                  <w:vAlign w:val="center"/>
                </w:tcPr>
                <w:p w14:paraId="0E9CDF4F">
                  <w:pPr>
                    <w:adjustRightInd w:val="0"/>
                    <w:snapToGrid w:val="0"/>
                    <w:jc w:val="center"/>
                    <w:rPr>
                      <w:color w:val="auto"/>
                      <w:kern w:val="2"/>
                      <w:sz w:val="21"/>
                      <w:szCs w:val="21"/>
                      <w:lang w:val="en-US" w:eastAsia="zh-CN" w:bidi="ar-SA"/>
                    </w:rPr>
                  </w:pPr>
                  <w:r>
                    <w:rPr>
                      <w:color w:val="auto"/>
                      <w:szCs w:val="21"/>
                    </w:rPr>
                    <w:t>氨氮</w:t>
                  </w:r>
                </w:p>
              </w:tc>
              <w:tc>
                <w:tcPr>
                  <w:tcW w:w="1506" w:type="pct"/>
                  <w:noWrap w:val="0"/>
                  <w:tcMar>
                    <w:top w:w="0" w:type="dxa"/>
                    <w:left w:w="0" w:type="dxa"/>
                    <w:bottom w:w="0" w:type="dxa"/>
                    <w:right w:w="0" w:type="dxa"/>
                  </w:tcMar>
                  <w:vAlign w:val="center"/>
                </w:tcPr>
                <w:p w14:paraId="2021A825">
                  <w:pPr>
                    <w:adjustRightInd w:val="0"/>
                    <w:snapToGrid w:val="0"/>
                    <w:jc w:val="center"/>
                    <w:rPr>
                      <w:rFonts w:hint="default"/>
                      <w:color w:val="auto"/>
                      <w:kern w:val="2"/>
                      <w:sz w:val="21"/>
                      <w:szCs w:val="21"/>
                      <w:lang w:val="en-US" w:eastAsia="zh-CN" w:bidi="ar-SA"/>
                    </w:rPr>
                  </w:pPr>
                  <w:r>
                    <w:rPr>
                      <w:color w:val="auto"/>
                      <w:szCs w:val="21"/>
                    </w:rPr>
                    <w:t>35</w:t>
                  </w:r>
                </w:p>
              </w:tc>
              <w:tc>
                <w:tcPr>
                  <w:tcW w:w="1881" w:type="pct"/>
                  <w:vMerge w:val="continue"/>
                  <w:noWrap w:val="0"/>
                  <w:tcMar>
                    <w:top w:w="0" w:type="dxa"/>
                    <w:left w:w="0" w:type="dxa"/>
                    <w:bottom w:w="0" w:type="dxa"/>
                    <w:right w:w="0" w:type="dxa"/>
                  </w:tcMar>
                  <w:vAlign w:val="center"/>
                </w:tcPr>
                <w:p w14:paraId="1F1BB4E6">
                  <w:pPr>
                    <w:spacing w:before="48" w:beforeLines="20" w:after="48" w:afterLines="20" w:line="320" w:lineRule="exact"/>
                    <w:jc w:val="center"/>
                    <w:rPr>
                      <w:color w:val="auto"/>
                      <w:szCs w:val="21"/>
                    </w:rPr>
                  </w:pPr>
                </w:p>
              </w:tc>
            </w:tr>
            <w:tr w14:paraId="7402EA9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1611" w:type="pct"/>
                  <w:noWrap w:val="0"/>
                  <w:tcMar>
                    <w:top w:w="0" w:type="dxa"/>
                    <w:left w:w="0" w:type="dxa"/>
                    <w:bottom w:w="0" w:type="dxa"/>
                    <w:right w:w="0" w:type="dxa"/>
                  </w:tcMar>
                  <w:vAlign w:val="center"/>
                </w:tcPr>
                <w:p w14:paraId="335CB5EB">
                  <w:pPr>
                    <w:adjustRightInd w:val="0"/>
                    <w:snapToGrid w:val="0"/>
                    <w:jc w:val="center"/>
                    <w:rPr>
                      <w:color w:val="auto"/>
                      <w:kern w:val="2"/>
                      <w:sz w:val="21"/>
                      <w:szCs w:val="21"/>
                      <w:lang w:val="en-US" w:eastAsia="zh-CN" w:bidi="ar-SA"/>
                    </w:rPr>
                  </w:pPr>
                  <w:r>
                    <w:rPr>
                      <w:color w:val="auto"/>
                      <w:szCs w:val="21"/>
                    </w:rPr>
                    <w:t>TP</w:t>
                  </w:r>
                </w:p>
              </w:tc>
              <w:tc>
                <w:tcPr>
                  <w:tcW w:w="1506" w:type="pct"/>
                  <w:noWrap w:val="0"/>
                  <w:tcMar>
                    <w:top w:w="0" w:type="dxa"/>
                    <w:left w:w="0" w:type="dxa"/>
                    <w:bottom w:w="0" w:type="dxa"/>
                    <w:right w:w="0" w:type="dxa"/>
                  </w:tcMar>
                  <w:vAlign w:val="center"/>
                </w:tcPr>
                <w:p w14:paraId="2AC391FC">
                  <w:pPr>
                    <w:adjustRightInd w:val="0"/>
                    <w:snapToGrid w:val="0"/>
                    <w:jc w:val="center"/>
                    <w:rPr>
                      <w:color w:val="auto"/>
                      <w:kern w:val="2"/>
                      <w:sz w:val="21"/>
                      <w:szCs w:val="21"/>
                      <w:lang w:val="en-US" w:eastAsia="zh-CN" w:bidi="ar-SA"/>
                    </w:rPr>
                  </w:pPr>
                  <w:r>
                    <w:rPr>
                      <w:color w:val="auto"/>
                      <w:szCs w:val="21"/>
                    </w:rPr>
                    <w:t>3</w:t>
                  </w:r>
                </w:p>
              </w:tc>
              <w:tc>
                <w:tcPr>
                  <w:tcW w:w="1881" w:type="pct"/>
                  <w:vMerge w:val="continue"/>
                  <w:noWrap w:val="0"/>
                  <w:tcMar>
                    <w:top w:w="0" w:type="dxa"/>
                    <w:left w:w="0" w:type="dxa"/>
                    <w:bottom w:w="0" w:type="dxa"/>
                    <w:right w:w="0" w:type="dxa"/>
                  </w:tcMar>
                  <w:vAlign w:val="center"/>
                </w:tcPr>
                <w:p w14:paraId="746E8374">
                  <w:pPr>
                    <w:pStyle w:val="27"/>
                    <w:spacing w:before="48" w:beforeLines="20" w:after="48" w:afterLines="20" w:line="320" w:lineRule="exact"/>
                    <w:ind w:firstLine="210"/>
                    <w:jc w:val="center"/>
                    <w:rPr>
                      <w:color w:val="auto"/>
                      <w:sz w:val="21"/>
                      <w:szCs w:val="21"/>
                    </w:rPr>
                  </w:pPr>
                </w:p>
              </w:tc>
            </w:tr>
            <w:tr w14:paraId="0137B66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cantSplit/>
                <w:trHeight w:val="340" w:hRule="atLeast"/>
                <w:jc w:val="center"/>
              </w:trPr>
              <w:tc>
                <w:tcPr>
                  <w:tcW w:w="1611" w:type="pct"/>
                  <w:noWrap w:val="0"/>
                  <w:tcMar>
                    <w:top w:w="0" w:type="dxa"/>
                    <w:left w:w="0" w:type="dxa"/>
                    <w:bottom w:w="0" w:type="dxa"/>
                    <w:right w:w="0" w:type="dxa"/>
                  </w:tcMar>
                  <w:vAlign w:val="center"/>
                </w:tcPr>
                <w:p w14:paraId="3DA7F674">
                  <w:pPr>
                    <w:adjustRightInd w:val="0"/>
                    <w:snapToGrid w:val="0"/>
                    <w:jc w:val="center"/>
                    <w:rPr>
                      <w:color w:val="auto"/>
                      <w:kern w:val="2"/>
                      <w:sz w:val="21"/>
                      <w:szCs w:val="21"/>
                      <w:lang w:val="en-US" w:eastAsia="zh-CN" w:bidi="ar-SA"/>
                    </w:rPr>
                  </w:pPr>
                  <w:r>
                    <w:rPr>
                      <w:color w:val="auto"/>
                      <w:szCs w:val="21"/>
                    </w:rPr>
                    <w:t>TN</w:t>
                  </w:r>
                </w:p>
              </w:tc>
              <w:tc>
                <w:tcPr>
                  <w:tcW w:w="1506" w:type="pct"/>
                  <w:noWrap w:val="0"/>
                  <w:tcMar>
                    <w:top w:w="0" w:type="dxa"/>
                    <w:left w:w="0" w:type="dxa"/>
                    <w:bottom w:w="0" w:type="dxa"/>
                    <w:right w:w="0" w:type="dxa"/>
                  </w:tcMar>
                  <w:vAlign w:val="center"/>
                </w:tcPr>
                <w:p w14:paraId="01B78DD8">
                  <w:pPr>
                    <w:adjustRightInd w:val="0"/>
                    <w:snapToGrid w:val="0"/>
                    <w:jc w:val="center"/>
                    <w:rPr>
                      <w:rFonts w:hint="default"/>
                      <w:color w:val="auto"/>
                      <w:kern w:val="2"/>
                      <w:sz w:val="21"/>
                      <w:szCs w:val="21"/>
                      <w:lang w:val="en-US" w:eastAsia="zh-CN" w:bidi="ar-SA"/>
                    </w:rPr>
                  </w:pPr>
                  <w:r>
                    <w:rPr>
                      <w:color w:val="auto"/>
                      <w:szCs w:val="21"/>
                    </w:rPr>
                    <w:t>50</w:t>
                  </w:r>
                </w:p>
              </w:tc>
              <w:tc>
                <w:tcPr>
                  <w:tcW w:w="1881" w:type="pct"/>
                  <w:vMerge w:val="continue"/>
                  <w:noWrap w:val="0"/>
                  <w:tcMar>
                    <w:top w:w="0" w:type="dxa"/>
                    <w:left w:w="0" w:type="dxa"/>
                    <w:bottom w:w="0" w:type="dxa"/>
                    <w:right w:w="0" w:type="dxa"/>
                  </w:tcMar>
                  <w:vAlign w:val="center"/>
                </w:tcPr>
                <w:p w14:paraId="5B79B8F9">
                  <w:pPr>
                    <w:pStyle w:val="27"/>
                    <w:spacing w:before="48" w:beforeLines="20" w:after="48" w:afterLines="20" w:line="320" w:lineRule="exact"/>
                    <w:ind w:firstLine="210"/>
                    <w:jc w:val="center"/>
                    <w:rPr>
                      <w:color w:val="auto"/>
                      <w:sz w:val="21"/>
                      <w:szCs w:val="21"/>
                    </w:rPr>
                  </w:pPr>
                </w:p>
              </w:tc>
            </w:tr>
          </w:tbl>
          <w:p w14:paraId="760F1C10">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20" w:firstLineChars="200"/>
              <w:textAlignment w:val="auto"/>
              <w:rPr>
                <w:color w:val="auto"/>
                <w:szCs w:val="21"/>
              </w:rPr>
            </w:pPr>
            <w:r>
              <w:rPr>
                <w:color w:val="auto"/>
                <w:szCs w:val="21"/>
              </w:rPr>
              <w:t>常州金坛区第二污水处理有限公司尾水排放执行《太湖地区城镇污水处理厂及重点工业行业主要水污染物排放限值》（DB32/1072-2018）中表2标准及《城镇污水处理厂污染物排放标准》（GB18918-2002）中表1一级A标准；具体见表3-</w:t>
            </w:r>
            <w:r>
              <w:rPr>
                <w:rFonts w:hint="eastAsia"/>
                <w:color w:val="auto"/>
                <w:szCs w:val="21"/>
                <w:lang w:val="en-US" w:eastAsia="zh-CN"/>
              </w:rPr>
              <w:t>8</w:t>
            </w:r>
            <w:r>
              <w:rPr>
                <w:color w:val="auto"/>
                <w:szCs w:val="21"/>
              </w:rPr>
              <w:t>。</w:t>
            </w:r>
          </w:p>
          <w:p w14:paraId="2F874353">
            <w:pPr>
              <w:jc w:val="center"/>
              <w:rPr>
                <w:b/>
                <w:color w:val="auto"/>
                <w:szCs w:val="21"/>
              </w:rPr>
            </w:pPr>
            <w:r>
              <w:rPr>
                <w:b/>
                <w:color w:val="auto"/>
                <w:szCs w:val="21"/>
              </w:rPr>
              <w:t>表3-</w:t>
            </w:r>
            <w:r>
              <w:rPr>
                <w:rFonts w:hint="eastAsia"/>
                <w:b/>
                <w:color w:val="auto"/>
                <w:szCs w:val="21"/>
                <w:lang w:val="en-US" w:eastAsia="zh-CN"/>
              </w:rPr>
              <w:t>10</w:t>
            </w:r>
            <w:r>
              <w:rPr>
                <w:b/>
                <w:color w:val="auto"/>
                <w:szCs w:val="21"/>
              </w:rPr>
              <w:t xml:space="preserve"> 城镇污水处理厂污染物排放标准  单位：mg/L</w:t>
            </w:r>
            <w:r>
              <w:rPr>
                <w:b/>
                <w:bCs/>
                <w:color w:val="auto"/>
                <w:szCs w:val="21"/>
              </w:rPr>
              <w:t>，除pH外</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978"/>
              <w:gridCol w:w="1317"/>
              <w:gridCol w:w="1708"/>
              <w:gridCol w:w="4216"/>
            </w:tblGrid>
            <w:tr w14:paraId="44E4928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95" w:type="pct"/>
                  <w:noWrap w:val="0"/>
                  <w:tcMar>
                    <w:top w:w="0" w:type="dxa"/>
                    <w:left w:w="0" w:type="dxa"/>
                    <w:bottom w:w="0" w:type="dxa"/>
                    <w:right w:w="0" w:type="dxa"/>
                  </w:tcMar>
                  <w:vAlign w:val="center"/>
                </w:tcPr>
                <w:p w14:paraId="0EB570AA">
                  <w:pPr>
                    <w:adjustRightInd w:val="0"/>
                    <w:snapToGrid w:val="0"/>
                    <w:jc w:val="center"/>
                    <w:rPr>
                      <w:color w:val="auto"/>
                      <w:szCs w:val="21"/>
                    </w:rPr>
                  </w:pPr>
                  <w:r>
                    <w:rPr>
                      <w:b/>
                      <w:color w:val="auto"/>
                      <w:szCs w:val="21"/>
                    </w:rPr>
                    <w:t>序号</w:t>
                  </w:r>
                </w:p>
              </w:tc>
              <w:tc>
                <w:tcPr>
                  <w:tcW w:w="801" w:type="pct"/>
                  <w:noWrap w:val="0"/>
                  <w:tcMar>
                    <w:top w:w="0" w:type="dxa"/>
                    <w:left w:w="0" w:type="dxa"/>
                    <w:bottom w:w="0" w:type="dxa"/>
                    <w:right w:w="0" w:type="dxa"/>
                  </w:tcMar>
                  <w:vAlign w:val="center"/>
                </w:tcPr>
                <w:p w14:paraId="0098385A">
                  <w:pPr>
                    <w:adjustRightInd w:val="0"/>
                    <w:snapToGrid w:val="0"/>
                    <w:jc w:val="center"/>
                    <w:rPr>
                      <w:b/>
                      <w:color w:val="auto"/>
                      <w:szCs w:val="21"/>
                    </w:rPr>
                  </w:pPr>
                  <w:r>
                    <w:rPr>
                      <w:b/>
                      <w:color w:val="auto"/>
                      <w:szCs w:val="21"/>
                    </w:rPr>
                    <w:t>项目</w:t>
                  </w:r>
                </w:p>
              </w:tc>
              <w:tc>
                <w:tcPr>
                  <w:tcW w:w="1039" w:type="pct"/>
                  <w:noWrap w:val="0"/>
                  <w:tcMar>
                    <w:top w:w="0" w:type="dxa"/>
                    <w:left w:w="0" w:type="dxa"/>
                    <w:bottom w:w="0" w:type="dxa"/>
                    <w:right w:w="0" w:type="dxa"/>
                  </w:tcMar>
                  <w:vAlign w:val="center"/>
                </w:tcPr>
                <w:p w14:paraId="29D61AB3">
                  <w:pPr>
                    <w:adjustRightInd w:val="0"/>
                    <w:snapToGrid w:val="0"/>
                    <w:jc w:val="center"/>
                    <w:rPr>
                      <w:b/>
                      <w:color w:val="auto"/>
                      <w:szCs w:val="21"/>
                    </w:rPr>
                  </w:pPr>
                  <w:r>
                    <w:rPr>
                      <w:b/>
                      <w:color w:val="auto"/>
                      <w:szCs w:val="21"/>
                    </w:rPr>
                    <w:t>浓度（mg/L）</w:t>
                  </w:r>
                </w:p>
              </w:tc>
              <w:tc>
                <w:tcPr>
                  <w:tcW w:w="2564" w:type="pct"/>
                  <w:noWrap w:val="0"/>
                  <w:tcMar>
                    <w:top w:w="0" w:type="dxa"/>
                    <w:left w:w="0" w:type="dxa"/>
                    <w:bottom w:w="0" w:type="dxa"/>
                    <w:right w:w="0" w:type="dxa"/>
                  </w:tcMar>
                  <w:vAlign w:val="center"/>
                </w:tcPr>
                <w:p w14:paraId="72B36637">
                  <w:pPr>
                    <w:adjustRightInd w:val="0"/>
                    <w:snapToGrid w:val="0"/>
                    <w:jc w:val="center"/>
                    <w:rPr>
                      <w:b/>
                      <w:color w:val="auto"/>
                      <w:szCs w:val="21"/>
                    </w:rPr>
                  </w:pPr>
                  <w:r>
                    <w:rPr>
                      <w:b/>
                      <w:color w:val="auto"/>
                      <w:szCs w:val="21"/>
                    </w:rPr>
                    <w:t>标准来源</w:t>
                  </w:r>
                </w:p>
              </w:tc>
            </w:tr>
            <w:tr w14:paraId="4D1DEA8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95" w:type="pct"/>
                  <w:noWrap w:val="0"/>
                  <w:tcMar>
                    <w:top w:w="0" w:type="dxa"/>
                    <w:left w:w="0" w:type="dxa"/>
                    <w:bottom w:w="0" w:type="dxa"/>
                    <w:right w:w="0" w:type="dxa"/>
                  </w:tcMar>
                  <w:vAlign w:val="center"/>
                </w:tcPr>
                <w:p w14:paraId="293511AD">
                  <w:pPr>
                    <w:adjustRightInd w:val="0"/>
                    <w:snapToGrid w:val="0"/>
                    <w:jc w:val="center"/>
                    <w:rPr>
                      <w:color w:val="auto"/>
                      <w:szCs w:val="21"/>
                    </w:rPr>
                  </w:pPr>
                  <w:r>
                    <w:rPr>
                      <w:color w:val="auto"/>
                      <w:szCs w:val="21"/>
                    </w:rPr>
                    <w:t>1</w:t>
                  </w:r>
                </w:p>
              </w:tc>
              <w:tc>
                <w:tcPr>
                  <w:tcW w:w="801" w:type="pct"/>
                  <w:noWrap w:val="0"/>
                  <w:tcMar>
                    <w:top w:w="0" w:type="dxa"/>
                    <w:left w:w="0" w:type="dxa"/>
                    <w:bottom w:w="0" w:type="dxa"/>
                    <w:right w:w="0" w:type="dxa"/>
                  </w:tcMar>
                  <w:vAlign w:val="center"/>
                </w:tcPr>
                <w:p w14:paraId="2DEB4093">
                  <w:pPr>
                    <w:adjustRightInd w:val="0"/>
                    <w:snapToGrid w:val="0"/>
                    <w:jc w:val="center"/>
                    <w:rPr>
                      <w:snapToGrid w:val="0"/>
                      <w:color w:val="auto"/>
                      <w:kern w:val="18"/>
                      <w:szCs w:val="21"/>
                    </w:rPr>
                  </w:pPr>
                  <w:r>
                    <w:rPr>
                      <w:snapToGrid w:val="0"/>
                      <w:color w:val="auto"/>
                      <w:kern w:val="18"/>
                      <w:szCs w:val="21"/>
                    </w:rPr>
                    <w:t>pH</w:t>
                  </w:r>
                </w:p>
              </w:tc>
              <w:tc>
                <w:tcPr>
                  <w:tcW w:w="1039" w:type="pct"/>
                  <w:noWrap w:val="0"/>
                  <w:tcMar>
                    <w:top w:w="0" w:type="dxa"/>
                    <w:left w:w="0" w:type="dxa"/>
                    <w:bottom w:w="0" w:type="dxa"/>
                    <w:right w:w="0" w:type="dxa"/>
                  </w:tcMar>
                  <w:vAlign w:val="center"/>
                </w:tcPr>
                <w:p w14:paraId="55FCF37E">
                  <w:pPr>
                    <w:adjustRightInd w:val="0"/>
                    <w:snapToGrid w:val="0"/>
                    <w:jc w:val="center"/>
                    <w:rPr>
                      <w:color w:val="auto"/>
                      <w:szCs w:val="21"/>
                    </w:rPr>
                  </w:pPr>
                  <w:r>
                    <w:rPr>
                      <w:color w:val="auto"/>
                      <w:szCs w:val="21"/>
                    </w:rPr>
                    <w:t>6~9</w:t>
                  </w:r>
                </w:p>
              </w:tc>
              <w:tc>
                <w:tcPr>
                  <w:tcW w:w="2564" w:type="pct"/>
                  <w:vMerge w:val="restart"/>
                  <w:noWrap w:val="0"/>
                  <w:tcMar>
                    <w:top w:w="0" w:type="dxa"/>
                    <w:left w:w="0" w:type="dxa"/>
                    <w:bottom w:w="0" w:type="dxa"/>
                    <w:right w:w="0" w:type="dxa"/>
                  </w:tcMar>
                  <w:vAlign w:val="center"/>
                </w:tcPr>
                <w:p w14:paraId="321BE3F6">
                  <w:pPr>
                    <w:adjustRightInd w:val="0"/>
                    <w:snapToGrid w:val="0"/>
                    <w:jc w:val="center"/>
                    <w:rPr>
                      <w:snapToGrid w:val="0"/>
                      <w:color w:val="auto"/>
                      <w:kern w:val="18"/>
                      <w:szCs w:val="21"/>
                    </w:rPr>
                  </w:pPr>
                  <w:r>
                    <w:rPr>
                      <w:snapToGrid w:val="0"/>
                      <w:color w:val="auto"/>
                      <w:kern w:val="18"/>
                      <w:szCs w:val="21"/>
                    </w:rPr>
                    <w:t>《城镇污水处理厂污染物排放标准》</w:t>
                  </w:r>
                  <w:r>
                    <w:rPr>
                      <w:color w:val="auto"/>
                      <w:szCs w:val="21"/>
                    </w:rPr>
                    <w:t>（</w:t>
                  </w:r>
                  <w:r>
                    <w:rPr>
                      <w:snapToGrid w:val="0"/>
                      <w:color w:val="auto"/>
                      <w:kern w:val="18"/>
                      <w:szCs w:val="21"/>
                    </w:rPr>
                    <w:t>GB18918</w:t>
                  </w:r>
                  <w:r>
                    <w:rPr>
                      <w:color w:val="auto"/>
                      <w:szCs w:val="21"/>
                    </w:rPr>
                    <w:t>-2002）及其修改单中</w:t>
                  </w:r>
                  <w:r>
                    <w:rPr>
                      <w:snapToGrid w:val="0"/>
                      <w:color w:val="auto"/>
                      <w:kern w:val="18"/>
                      <w:szCs w:val="21"/>
                    </w:rPr>
                    <w:t>一级</w:t>
                  </w:r>
                  <w:r>
                    <w:rPr>
                      <w:color w:val="auto"/>
                      <w:szCs w:val="21"/>
                    </w:rPr>
                    <w:t>A标准</w:t>
                  </w:r>
                </w:p>
              </w:tc>
            </w:tr>
            <w:tr w14:paraId="4E3A130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95" w:type="pct"/>
                  <w:noWrap w:val="0"/>
                  <w:tcMar>
                    <w:top w:w="0" w:type="dxa"/>
                    <w:left w:w="0" w:type="dxa"/>
                    <w:bottom w:w="0" w:type="dxa"/>
                    <w:right w:w="0" w:type="dxa"/>
                  </w:tcMar>
                  <w:vAlign w:val="center"/>
                </w:tcPr>
                <w:p w14:paraId="14A2A328">
                  <w:pPr>
                    <w:adjustRightInd w:val="0"/>
                    <w:snapToGrid w:val="0"/>
                    <w:jc w:val="center"/>
                    <w:rPr>
                      <w:color w:val="auto"/>
                      <w:szCs w:val="21"/>
                    </w:rPr>
                  </w:pPr>
                  <w:r>
                    <w:rPr>
                      <w:color w:val="auto"/>
                      <w:szCs w:val="21"/>
                    </w:rPr>
                    <w:t>3</w:t>
                  </w:r>
                </w:p>
              </w:tc>
              <w:tc>
                <w:tcPr>
                  <w:tcW w:w="801" w:type="pct"/>
                  <w:noWrap w:val="0"/>
                  <w:tcMar>
                    <w:top w:w="0" w:type="dxa"/>
                    <w:left w:w="0" w:type="dxa"/>
                    <w:bottom w:w="0" w:type="dxa"/>
                    <w:right w:w="0" w:type="dxa"/>
                  </w:tcMar>
                  <w:vAlign w:val="center"/>
                </w:tcPr>
                <w:p w14:paraId="4421CB3F">
                  <w:pPr>
                    <w:adjustRightInd w:val="0"/>
                    <w:snapToGrid w:val="0"/>
                    <w:jc w:val="center"/>
                    <w:rPr>
                      <w:snapToGrid w:val="0"/>
                      <w:color w:val="auto"/>
                      <w:kern w:val="18"/>
                      <w:szCs w:val="21"/>
                    </w:rPr>
                  </w:pPr>
                  <w:r>
                    <w:rPr>
                      <w:snapToGrid w:val="0"/>
                      <w:color w:val="auto"/>
                      <w:kern w:val="18"/>
                      <w:szCs w:val="21"/>
                    </w:rPr>
                    <w:t>SS</w:t>
                  </w:r>
                </w:p>
              </w:tc>
              <w:tc>
                <w:tcPr>
                  <w:tcW w:w="1039" w:type="pct"/>
                  <w:noWrap w:val="0"/>
                  <w:tcMar>
                    <w:top w:w="0" w:type="dxa"/>
                    <w:left w:w="0" w:type="dxa"/>
                    <w:bottom w:w="0" w:type="dxa"/>
                    <w:right w:w="0" w:type="dxa"/>
                  </w:tcMar>
                  <w:vAlign w:val="center"/>
                </w:tcPr>
                <w:p w14:paraId="79D32E90">
                  <w:pPr>
                    <w:adjustRightInd w:val="0"/>
                    <w:snapToGrid w:val="0"/>
                    <w:jc w:val="center"/>
                    <w:rPr>
                      <w:snapToGrid w:val="0"/>
                      <w:color w:val="auto"/>
                      <w:kern w:val="18"/>
                      <w:szCs w:val="21"/>
                    </w:rPr>
                  </w:pPr>
                  <w:r>
                    <w:rPr>
                      <w:snapToGrid w:val="0"/>
                      <w:color w:val="auto"/>
                      <w:kern w:val="18"/>
                      <w:szCs w:val="21"/>
                    </w:rPr>
                    <w:t>≤10</w:t>
                  </w:r>
                </w:p>
              </w:tc>
              <w:tc>
                <w:tcPr>
                  <w:tcW w:w="2564" w:type="pct"/>
                  <w:vMerge w:val="continue"/>
                  <w:noWrap w:val="0"/>
                  <w:tcMar>
                    <w:top w:w="0" w:type="dxa"/>
                    <w:left w:w="0" w:type="dxa"/>
                    <w:bottom w:w="0" w:type="dxa"/>
                    <w:right w:w="0" w:type="dxa"/>
                  </w:tcMar>
                  <w:vAlign w:val="center"/>
                </w:tcPr>
                <w:p w14:paraId="53B32897">
                  <w:pPr>
                    <w:adjustRightInd w:val="0"/>
                    <w:snapToGrid w:val="0"/>
                    <w:jc w:val="center"/>
                    <w:rPr>
                      <w:color w:val="auto"/>
                      <w:szCs w:val="21"/>
                    </w:rPr>
                  </w:pPr>
                </w:p>
              </w:tc>
            </w:tr>
            <w:tr w14:paraId="5E754C0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95" w:type="pct"/>
                  <w:noWrap w:val="0"/>
                  <w:tcMar>
                    <w:top w:w="0" w:type="dxa"/>
                    <w:left w:w="0" w:type="dxa"/>
                    <w:bottom w:w="0" w:type="dxa"/>
                    <w:right w:w="0" w:type="dxa"/>
                  </w:tcMar>
                  <w:vAlign w:val="center"/>
                </w:tcPr>
                <w:p w14:paraId="7D9B4508">
                  <w:pPr>
                    <w:adjustRightInd w:val="0"/>
                    <w:snapToGrid w:val="0"/>
                    <w:jc w:val="center"/>
                    <w:rPr>
                      <w:color w:val="auto"/>
                      <w:szCs w:val="21"/>
                    </w:rPr>
                  </w:pPr>
                  <w:r>
                    <w:rPr>
                      <w:color w:val="auto"/>
                      <w:szCs w:val="21"/>
                    </w:rPr>
                    <w:t>4</w:t>
                  </w:r>
                </w:p>
              </w:tc>
              <w:tc>
                <w:tcPr>
                  <w:tcW w:w="801" w:type="pct"/>
                  <w:noWrap w:val="0"/>
                  <w:tcMar>
                    <w:top w:w="0" w:type="dxa"/>
                    <w:left w:w="0" w:type="dxa"/>
                    <w:bottom w:w="0" w:type="dxa"/>
                    <w:right w:w="0" w:type="dxa"/>
                  </w:tcMar>
                  <w:vAlign w:val="center"/>
                </w:tcPr>
                <w:p w14:paraId="14C31C10">
                  <w:pPr>
                    <w:adjustRightInd w:val="0"/>
                    <w:snapToGrid w:val="0"/>
                    <w:jc w:val="center"/>
                    <w:rPr>
                      <w:snapToGrid w:val="0"/>
                      <w:color w:val="auto"/>
                      <w:kern w:val="18"/>
                      <w:szCs w:val="21"/>
                    </w:rPr>
                  </w:pPr>
                  <w:r>
                    <w:rPr>
                      <w:snapToGrid w:val="0"/>
                      <w:color w:val="auto"/>
                      <w:kern w:val="18"/>
                      <w:szCs w:val="21"/>
                    </w:rPr>
                    <w:t>COD</w:t>
                  </w:r>
                </w:p>
              </w:tc>
              <w:tc>
                <w:tcPr>
                  <w:tcW w:w="1039" w:type="pct"/>
                  <w:noWrap w:val="0"/>
                  <w:tcMar>
                    <w:top w:w="0" w:type="dxa"/>
                    <w:left w:w="0" w:type="dxa"/>
                    <w:bottom w:w="0" w:type="dxa"/>
                    <w:right w:w="0" w:type="dxa"/>
                  </w:tcMar>
                  <w:vAlign w:val="center"/>
                </w:tcPr>
                <w:p w14:paraId="02854684">
                  <w:pPr>
                    <w:adjustRightInd w:val="0"/>
                    <w:snapToGrid w:val="0"/>
                    <w:jc w:val="center"/>
                    <w:rPr>
                      <w:snapToGrid w:val="0"/>
                      <w:color w:val="auto"/>
                      <w:kern w:val="18"/>
                      <w:szCs w:val="21"/>
                    </w:rPr>
                  </w:pPr>
                  <w:r>
                    <w:rPr>
                      <w:snapToGrid w:val="0"/>
                      <w:color w:val="auto"/>
                      <w:kern w:val="18"/>
                      <w:szCs w:val="21"/>
                    </w:rPr>
                    <w:t>≤50</w:t>
                  </w:r>
                </w:p>
              </w:tc>
              <w:tc>
                <w:tcPr>
                  <w:tcW w:w="2564" w:type="pct"/>
                  <w:vMerge w:val="restart"/>
                  <w:noWrap w:val="0"/>
                  <w:tcMar>
                    <w:top w:w="0" w:type="dxa"/>
                    <w:left w:w="0" w:type="dxa"/>
                    <w:bottom w:w="0" w:type="dxa"/>
                    <w:right w:w="0" w:type="dxa"/>
                  </w:tcMar>
                  <w:vAlign w:val="center"/>
                </w:tcPr>
                <w:p w14:paraId="1B80207E">
                  <w:pPr>
                    <w:adjustRightInd w:val="0"/>
                    <w:snapToGrid w:val="0"/>
                    <w:jc w:val="center"/>
                    <w:rPr>
                      <w:color w:val="auto"/>
                      <w:szCs w:val="21"/>
                    </w:rPr>
                  </w:pPr>
                  <w:r>
                    <w:rPr>
                      <w:color w:val="auto"/>
                      <w:szCs w:val="21"/>
                    </w:rPr>
                    <w:t>《太湖地区镇污水处理厂及重点工业行业主要水污染物排放限值》（DB32/1072—2018）中表2中的标准</w:t>
                  </w:r>
                </w:p>
              </w:tc>
            </w:tr>
            <w:tr w14:paraId="46040CD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95" w:type="pct"/>
                  <w:noWrap w:val="0"/>
                  <w:tcMar>
                    <w:top w:w="0" w:type="dxa"/>
                    <w:left w:w="0" w:type="dxa"/>
                    <w:bottom w:w="0" w:type="dxa"/>
                    <w:right w:w="0" w:type="dxa"/>
                  </w:tcMar>
                  <w:vAlign w:val="center"/>
                </w:tcPr>
                <w:p w14:paraId="497E13EB">
                  <w:pPr>
                    <w:adjustRightInd w:val="0"/>
                    <w:snapToGrid w:val="0"/>
                    <w:jc w:val="center"/>
                    <w:rPr>
                      <w:color w:val="auto"/>
                      <w:szCs w:val="21"/>
                    </w:rPr>
                  </w:pPr>
                  <w:r>
                    <w:rPr>
                      <w:color w:val="auto"/>
                      <w:szCs w:val="21"/>
                    </w:rPr>
                    <w:t>5</w:t>
                  </w:r>
                </w:p>
              </w:tc>
              <w:tc>
                <w:tcPr>
                  <w:tcW w:w="801" w:type="pct"/>
                  <w:noWrap w:val="0"/>
                  <w:tcMar>
                    <w:top w:w="0" w:type="dxa"/>
                    <w:left w:w="0" w:type="dxa"/>
                    <w:bottom w:w="0" w:type="dxa"/>
                    <w:right w:w="0" w:type="dxa"/>
                  </w:tcMar>
                  <w:vAlign w:val="center"/>
                </w:tcPr>
                <w:p w14:paraId="69836DAF">
                  <w:pPr>
                    <w:adjustRightInd w:val="0"/>
                    <w:snapToGrid w:val="0"/>
                    <w:jc w:val="center"/>
                    <w:rPr>
                      <w:snapToGrid w:val="0"/>
                      <w:color w:val="auto"/>
                      <w:kern w:val="18"/>
                      <w:szCs w:val="21"/>
                    </w:rPr>
                  </w:pPr>
                  <w:r>
                    <w:rPr>
                      <w:snapToGrid w:val="0"/>
                      <w:color w:val="auto"/>
                      <w:kern w:val="18"/>
                      <w:szCs w:val="21"/>
                    </w:rPr>
                    <w:t>氨氮</w:t>
                  </w:r>
                </w:p>
              </w:tc>
              <w:tc>
                <w:tcPr>
                  <w:tcW w:w="1039" w:type="pct"/>
                  <w:noWrap w:val="0"/>
                  <w:tcMar>
                    <w:top w:w="0" w:type="dxa"/>
                    <w:left w:w="0" w:type="dxa"/>
                    <w:bottom w:w="0" w:type="dxa"/>
                    <w:right w:w="0" w:type="dxa"/>
                  </w:tcMar>
                  <w:vAlign w:val="center"/>
                </w:tcPr>
                <w:p w14:paraId="5E11D809">
                  <w:pPr>
                    <w:adjustRightInd w:val="0"/>
                    <w:snapToGrid w:val="0"/>
                    <w:jc w:val="center"/>
                    <w:rPr>
                      <w:snapToGrid w:val="0"/>
                      <w:color w:val="auto"/>
                      <w:kern w:val="18"/>
                      <w:szCs w:val="21"/>
                    </w:rPr>
                  </w:pPr>
                  <w:r>
                    <w:rPr>
                      <w:snapToGrid w:val="0"/>
                      <w:color w:val="auto"/>
                      <w:kern w:val="18"/>
                      <w:szCs w:val="21"/>
                    </w:rPr>
                    <w:t>≤4（6）*</w:t>
                  </w:r>
                </w:p>
              </w:tc>
              <w:tc>
                <w:tcPr>
                  <w:tcW w:w="2564" w:type="pct"/>
                  <w:vMerge w:val="continue"/>
                  <w:noWrap w:val="0"/>
                  <w:tcMar>
                    <w:top w:w="0" w:type="dxa"/>
                    <w:left w:w="0" w:type="dxa"/>
                    <w:bottom w:w="0" w:type="dxa"/>
                    <w:right w:w="0" w:type="dxa"/>
                  </w:tcMar>
                  <w:vAlign w:val="center"/>
                </w:tcPr>
                <w:p w14:paraId="78769D9C">
                  <w:pPr>
                    <w:adjustRightInd w:val="0"/>
                    <w:snapToGrid w:val="0"/>
                    <w:rPr>
                      <w:color w:val="auto"/>
                      <w:szCs w:val="21"/>
                    </w:rPr>
                  </w:pPr>
                </w:p>
              </w:tc>
            </w:tr>
            <w:tr w14:paraId="4B38B31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95" w:type="pct"/>
                  <w:noWrap w:val="0"/>
                  <w:tcMar>
                    <w:top w:w="0" w:type="dxa"/>
                    <w:left w:w="0" w:type="dxa"/>
                    <w:bottom w:w="0" w:type="dxa"/>
                    <w:right w:w="0" w:type="dxa"/>
                  </w:tcMar>
                  <w:vAlign w:val="center"/>
                </w:tcPr>
                <w:p w14:paraId="5844C48C">
                  <w:pPr>
                    <w:adjustRightInd w:val="0"/>
                    <w:snapToGrid w:val="0"/>
                    <w:jc w:val="center"/>
                    <w:rPr>
                      <w:color w:val="auto"/>
                      <w:szCs w:val="21"/>
                    </w:rPr>
                  </w:pPr>
                  <w:r>
                    <w:rPr>
                      <w:color w:val="auto"/>
                      <w:szCs w:val="21"/>
                    </w:rPr>
                    <w:t>6</w:t>
                  </w:r>
                </w:p>
              </w:tc>
              <w:tc>
                <w:tcPr>
                  <w:tcW w:w="801" w:type="pct"/>
                  <w:noWrap w:val="0"/>
                  <w:tcMar>
                    <w:top w:w="0" w:type="dxa"/>
                    <w:left w:w="0" w:type="dxa"/>
                    <w:bottom w:w="0" w:type="dxa"/>
                    <w:right w:w="0" w:type="dxa"/>
                  </w:tcMar>
                  <w:vAlign w:val="center"/>
                </w:tcPr>
                <w:p w14:paraId="0D0EBE9F">
                  <w:pPr>
                    <w:adjustRightInd w:val="0"/>
                    <w:snapToGrid w:val="0"/>
                    <w:jc w:val="center"/>
                    <w:rPr>
                      <w:snapToGrid w:val="0"/>
                      <w:color w:val="auto"/>
                      <w:kern w:val="18"/>
                      <w:szCs w:val="21"/>
                    </w:rPr>
                  </w:pPr>
                  <w:r>
                    <w:rPr>
                      <w:snapToGrid w:val="0"/>
                      <w:color w:val="auto"/>
                      <w:kern w:val="18"/>
                      <w:szCs w:val="21"/>
                    </w:rPr>
                    <w:t>TP</w:t>
                  </w:r>
                </w:p>
              </w:tc>
              <w:tc>
                <w:tcPr>
                  <w:tcW w:w="1039" w:type="pct"/>
                  <w:noWrap w:val="0"/>
                  <w:tcMar>
                    <w:top w:w="0" w:type="dxa"/>
                    <w:left w:w="0" w:type="dxa"/>
                    <w:bottom w:w="0" w:type="dxa"/>
                    <w:right w:w="0" w:type="dxa"/>
                  </w:tcMar>
                  <w:vAlign w:val="center"/>
                </w:tcPr>
                <w:p w14:paraId="496A1CA3">
                  <w:pPr>
                    <w:adjustRightInd w:val="0"/>
                    <w:snapToGrid w:val="0"/>
                    <w:jc w:val="center"/>
                    <w:rPr>
                      <w:snapToGrid w:val="0"/>
                      <w:color w:val="auto"/>
                      <w:kern w:val="18"/>
                      <w:szCs w:val="21"/>
                    </w:rPr>
                  </w:pPr>
                  <w:r>
                    <w:rPr>
                      <w:snapToGrid w:val="0"/>
                      <w:color w:val="auto"/>
                      <w:kern w:val="18"/>
                      <w:szCs w:val="21"/>
                    </w:rPr>
                    <w:t>≤0.5</w:t>
                  </w:r>
                </w:p>
              </w:tc>
              <w:tc>
                <w:tcPr>
                  <w:tcW w:w="2564" w:type="pct"/>
                  <w:vMerge w:val="continue"/>
                  <w:noWrap w:val="0"/>
                  <w:tcMar>
                    <w:top w:w="0" w:type="dxa"/>
                    <w:left w:w="0" w:type="dxa"/>
                    <w:bottom w:w="0" w:type="dxa"/>
                    <w:right w:w="0" w:type="dxa"/>
                  </w:tcMar>
                  <w:vAlign w:val="center"/>
                </w:tcPr>
                <w:p w14:paraId="1C7B9A75">
                  <w:pPr>
                    <w:adjustRightInd w:val="0"/>
                    <w:snapToGrid w:val="0"/>
                    <w:rPr>
                      <w:color w:val="auto"/>
                      <w:szCs w:val="21"/>
                    </w:rPr>
                  </w:pPr>
                </w:p>
              </w:tc>
            </w:tr>
            <w:tr w14:paraId="510AE35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95" w:type="pct"/>
                  <w:noWrap w:val="0"/>
                  <w:tcMar>
                    <w:top w:w="0" w:type="dxa"/>
                    <w:left w:w="0" w:type="dxa"/>
                    <w:bottom w:w="0" w:type="dxa"/>
                    <w:right w:w="0" w:type="dxa"/>
                  </w:tcMar>
                  <w:vAlign w:val="center"/>
                </w:tcPr>
                <w:p w14:paraId="0A137BD3">
                  <w:pPr>
                    <w:adjustRightInd w:val="0"/>
                    <w:snapToGrid w:val="0"/>
                    <w:jc w:val="center"/>
                    <w:rPr>
                      <w:snapToGrid w:val="0"/>
                      <w:color w:val="auto"/>
                      <w:kern w:val="18"/>
                      <w:szCs w:val="21"/>
                    </w:rPr>
                  </w:pPr>
                  <w:r>
                    <w:rPr>
                      <w:color w:val="auto"/>
                      <w:szCs w:val="21"/>
                    </w:rPr>
                    <w:t>7</w:t>
                  </w:r>
                </w:p>
              </w:tc>
              <w:tc>
                <w:tcPr>
                  <w:tcW w:w="801" w:type="pct"/>
                  <w:noWrap w:val="0"/>
                  <w:tcMar>
                    <w:top w:w="0" w:type="dxa"/>
                    <w:left w:w="0" w:type="dxa"/>
                    <w:bottom w:w="0" w:type="dxa"/>
                    <w:right w:w="0" w:type="dxa"/>
                  </w:tcMar>
                  <w:vAlign w:val="center"/>
                </w:tcPr>
                <w:p w14:paraId="5A2A8CF0">
                  <w:pPr>
                    <w:adjustRightInd w:val="0"/>
                    <w:snapToGrid w:val="0"/>
                    <w:jc w:val="center"/>
                    <w:rPr>
                      <w:snapToGrid w:val="0"/>
                      <w:color w:val="auto"/>
                      <w:kern w:val="18"/>
                      <w:szCs w:val="21"/>
                    </w:rPr>
                  </w:pPr>
                  <w:r>
                    <w:rPr>
                      <w:snapToGrid w:val="0"/>
                      <w:color w:val="auto"/>
                      <w:kern w:val="18"/>
                      <w:szCs w:val="21"/>
                    </w:rPr>
                    <w:t>TN</w:t>
                  </w:r>
                </w:p>
              </w:tc>
              <w:tc>
                <w:tcPr>
                  <w:tcW w:w="1039" w:type="pct"/>
                  <w:noWrap w:val="0"/>
                  <w:tcMar>
                    <w:top w:w="0" w:type="dxa"/>
                    <w:left w:w="0" w:type="dxa"/>
                    <w:bottom w:w="0" w:type="dxa"/>
                    <w:right w:w="0" w:type="dxa"/>
                  </w:tcMar>
                  <w:vAlign w:val="center"/>
                </w:tcPr>
                <w:p w14:paraId="292D4BEB">
                  <w:pPr>
                    <w:adjustRightInd w:val="0"/>
                    <w:snapToGrid w:val="0"/>
                    <w:jc w:val="center"/>
                    <w:rPr>
                      <w:snapToGrid w:val="0"/>
                      <w:color w:val="auto"/>
                      <w:kern w:val="18"/>
                      <w:szCs w:val="21"/>
                    </w:rPr>
                  </w:pPr>
                  <w:r>
                    <w:rPr>
                      <w:snapToGrid w:val="0"/>
                      <w:color w:val="auto"/>
                      <w:kern w:val="18"/>
                      <w:szCs w:val="21"/>
                    </w:rPr>
                    <w:t>≤12（15）*</w:t>
                  </w:r>
                </w:p>
              </w:tc>
              <w:tc>
                <w:tcPr>
                  <w:tcW w:w="2564" w:type="pct"/>
                  <w:vMerge w:val="continue"/>
                  <w:noWrap w:val="0"/>
                  <w:tcMar>
                    <w:top w:w="0" w:type="dxa"/>
                    <w:left w:w="0" w:type="dxa"/>
                    <w:bottom w:w="0" w:type="dxa"/>
                    <w:right w:w="0" w:type="dxa"/>
                  </w:tcMar>
                  <w:vAlign w:val="center"/>
                </w:tcPr>
                <w:p w14:paraId="368A3AF6">
                  <w:pPr>
                    <w:adjustRightInd w:val="0"/>
                    <w:snapToGrid w:val="0"/>
                    <w:rPr>
                      <w:color w:val="auto"/>
                      <w:szCs w:val="21"/>
                    </w:rPr>
                  </w:pPr>
                </w:p>
              </w:tc>
            </w:tr>
          </w:tbl>
          <w:p w14:paraId="635D48D4">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color w:val="auto"/>
                <w:szCs w:val="21"/>
              </w:rPr>
            </w:pPr>
            <w:r>
              <w:rPr>
                <w:color w:val="auto"/>
                <w:szCs w:val="21"/>
              </w:rPr>
              <w:t>注*：括号外数值为水温＞12℃时的控制指标，括号内数值为水温≤12℃时的控制指标。</w:t>
            </w:r>
          </w:p>
          <w:p w14:paraId="126A69D8">
            <w:pPr>
              <w:adjustRightInd w:val="0"/>
              <w:snapToGrid w:val="0"/>
              <w:spacing w:line="360" w:lineRule="auto"/>
              <w:ind w:firstLine="420" w:firstLineChars="200"/>
              <w:rPr>
                <w:bCs/>
                <w:color w:val="auto"/>
              </w:rPr>
            </w:pPr>
            <w:r>
              <w:rPr>
                <w:bCs/>
                <w:color w:val="auto"/>
              </w:rPr>
              <w:t>自2026年3月28日起，</w:t>
            </w:r>
            <w:r>
              <w:rPr>
                <w:rFonts w:hint="eastAsia"/>
                <w:color w:val="auto"/>
                <w:szCs w:val="21"/>
                <w:lang w:eastAsia="zh-CN"/>
              </w:rPr>
              <w:t>常州金坛区第二污水处理有限公司</w:t>
            </w:r>
            <w:r>
              <w:rPr>
                <w:bCs/>
                <w:color w:val="auto"/>
              </w:rPr>
              <w:t>尾水排放标准执行《城镇污水处理厂污染物排放标准》（DB32/4440-2022）中表1基本控制项目（常规污染物）日均排放限值和表2四项主要常规污染物一次监测排放限值，具体见下表。</w:t>
            </w:r>
          </w:p>
          <w:p w14:paraId="6F972BC9">
            <w:pPr>
              <w:pStyle w:val="8"/>
              <w:keepNext/>
              <w:adjustRightInd w:val="0"/>
              <w:snapToGrid w:val="0"/>
              <w:jc w:val="center"/>
              <w:rPr>
                <w:rFonts w:ascii="Times New Roman" w:hAnsi="Times New Roman" w:eastAsia="宋体"/>
                <w:b/>
                <w:color w:val="auto"/>
                <w:sz w:val="21"/>
                <w:szCs w:val="21"/>
              </w:rPr>
            </w:pPr>
            <w:r>
              <w:rPr>
                <w:rFonts w:hint="eastAsia" w:ascii="Times New Roman" w:hAnsi="Times New Roman" w:eastAsia="宋体"/>
                <w:b/>
                <w:color w:val="auto"/>
                <w:sz w:val="21"/>
                <w:szCs w:val="21"/>
              </w:rPr>
              <w:t>表3-</w:t>
            </w:r>
            <w:r>
              <w:rPr>
                <w:rFonts w:hint="eastAsia" w:ascii="Times New Roman" w:hAnsi="Times New Roman"/>
                <w:b/>
                <w:color w:val="auto"/>
                <w:sz w:val="21"/>
                <w:szCs w:val="21"/>
                <w:lang w:val="en-US" w:eastAsia="zh-CN"/>
              </w:rPr>
              <w:t>11</w:t>
            </w:r>
            <w:r>
              <w:rPr>
                <w:rFonts w:hint="eastAsia" w:ascii="Times New Roman" w:hAnsi="Times New Roman" w:eastAsia="宋体"/>
                <w:b/>
                <w:color w:val="auto"/>
                <w:sz w:val="21"/>
                <w:szCs w:val="21"/>
              </w:rPr>
              <w:t xml:space="preserve"> </w:t>
            </w:r>
            <w:r>
              <w:rPr>
                <w:rFonts w:hint="eastAsia" w:ascii="Times New Roman" w:hAnsi="Times New Roman" w:eastAsia="宋体"/>
                <w:b/>
                <w:color w:val="auto"/>
                <w:sz w:val="21"/>
                <w:szCs w:val="21"/>
                <w:lang w:eastAsia="zh-CN"/>
              </w:rPr>
              <w:t>常州金坛区第二污水处理有限公司</w:t>
            </w:r>
            <w:r>
              <w:rPr>
                <w:rFonts w:ascii="Times New Roman" w:hAnsi="Times New Roman" w:eastAsia="宋体"/>
                <w:b/>
                <w:color w:val="auto"/>
                <w:sz w:val="21"/>
                <w:szCs w:val="21"/>
              </w:rPr>
              <w:t>基本控制项目（常规污染物）日均排放限值</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882"/>
              <w:gridCol w:w="2957"/>
              <w:gridCol w:w="2383"/>
            </w:tblGrid>
            <w:tr w14:paraId="4E4B15B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53" w:type="pct"/>
                  <w:tcBorders>
                    <w:tl2br w:val="nil"/>
                    <w:tr2bl w:val="nil"/>
                  </w:tcBorders>
                  <w:noWrap w:val="0"/>
                  <w:tcMar>
                    <w:top w:w="0" w:type="dxa"/>
                    <w:left w:w="0" w:type="dxa"/>
                    <w:bottom w:w="0" w:type="dxa"/>
                    <w:right w:w="0" w:type="dxa"/>
                  </w:tcMar>
                  <w:vAlign w:val="center"/>
                </w:tcPr>
                <w:p w14:paraId="3643A601">
                  <w:pPr>
                    <w:pStyle w:val="8"/>
                    <w:keepNext/>
                    <w:adjustRightInd w:val="0"/>
                    <w:snapToGrid w:val="0"/>
                    <w:jc w:val="center"/>
                    <w:rPr>
                      <w:rFonts w:ascii="Times New Roman" w:hAnsi="Times New Roman" w:eastAsia="宋体"/>
                      <w:b/>
                      <w:color w:val="auto"/>
                      <w:sz w:val="21"/>
                      <w:szCs w:val="21"/>
                    </w:rPr>
                  </w:pPr>
                  <w:r>
                    <w:rPr>
                      <w:rFonts w:ascii="Times New Roman" w:hAnsi="Times New Roman" w:eastAsia="宋体"/>
                      <w:b/>
                      <w:color w:val="auto"/>
                      <w:sz w:val="21"/>
                      <w:szCs w:val="21"/>
                    </w:rPr>
                    <w:t>污染物</w:t>
                  </w:r>
                </w:p>
              </w:tc>
              <w:tc>
                <w:tcPr>
                  <w:tcW w:w="1798" w:type="pct"/>
                  <w:tcBorders>
                    <w:tl2br w:val="nil"/>
                    <w:tr2bl w:val="nil"/>
                  </w:tcBorders>
                  <w:noWrap w:val="0"/>
                  <w:tcMar>
                    <w:top w:w="0" w:type="dxa"/>
                    <w:left w:w="0" w:type="dxa"/>
                    <w:bottom w:w="0" w:type="dxa"/>
                    <w:right w:w="0" w:type="dxa"/>
                  </w:tcMar>
                  <w:vAlign w:val="center"/>
                </w:tcPr>
                <w:p w14:paraId="20BFB769">
                  <w:pPr>
                    <w:pStyle w:val="8"/>
                    <w:keepNext/>
                    <w:adjustRightInd w:val="0"/>
                    <w:snapToGrid w:val="0"/>
                    <w:jc w:val="center"/>
                    <w:rPr>
                      <w:rFonts w:ascii="Times New Roman" w:hAnsi="Times New Roman" w:eastAsia="宋体"/>
                      <w:b/>
                      <w:color w:val="auto"/>
                      <w:sz w:val="21"/>
                      <w:szCs w:val="21"/>
                    </w:rPr>
                  </w:pPr>
                  <w:r>
                    <w:rPr>
                      <w:rFonts w:ascii="Times New Roman" w:hAnsi="Times New Roman" w:eastAsia="宋体"/>
                      <w:b/>
                      <w:color w:val="auto"/>
                      <w:sz w:val="21"/>
                      <w:szCs w:val="21"/>
                    </w:rPr>
                    <w:t>标准</w:t>
                  </w:r>
                </w:p>
              </w:tc>
              <w:tc>
                <w:tcPr>
                  <w:tcW w:w="1448" w:type="pct"/>
                  <w:tcBorders>
                    <w:tl2br w:val="nil"/>
                    <w:tr2bl w:val="nil"/>
                  </w:tcBorders>
                  <w:noWrap w:val="0"/>
                  <w:tcMar>
                    <w:top w:w="0" w:type="dxa"/>
                    <w:left w:w="0" w:type="dxa"/>
                    <w:bottom w:w="0" w:type="dxa"/>
                    <w:right w:w="0" w:type="dxa"/>
                  </w:tcMar>
                  <w:vAlign w:val="center"/>
                </w:tcPr>
                <w:p w14:paraId="00D779E8">
                  <w:pPr>
                    <w:pStyle w:val="8"/>
                    <w:keepNext/>
                    <w:adjustRightInd w:val="0"/>
                    <w:snapToGrid w:val="0"/>
                    <w:jc w:val="center"/>
                    <w:rPr>
                      <w:rFonts w:hint="eastAsia" w:ascii="Times New Roman" w:hAnsi="Times New Roman" w:eastAsia="宋体"/>
                      <w:b/>
                      <w:color w:val="auto"/>
                      <w:sz w:val="21"/>
                      <w:szCs w:val="21"/>
                      <w:lang w:val="en-US" w:eastAsia="zh-CN"/>
                    </w:rPr>
                  </w:pPr>
                  <w:r>
                    <w:rPr>
                      <w:rFonts w:ascii="Times New Roman" w:hAnsi="Times New Roman" w:eastAsia="宋体"/>
                      <w:b/>
                      <w:color w:val="auto"/>
                      <w:sz w:val="21"/>
                      <w:szCs w:val="21"/>
                    </w:rPr>
                    <w:t>污染物排放标准</w:t>
                  </w:r>
                  <w:r>
                    <w:rPr>
                      <w:rFonts w:hint="eastAsia" w:ascii="Times New Roman" w:hAnsi="Times New Roman" w:eastAsia="宋体"/>
                      <w:b/>
                      <w:color w:val="auto"/>
                      <w:sz w:val="21"/>
                      <w:szCs w:val="21"/>
                      <w:lang w:eastAsia="zh-CN"/>
                    </w:rPr>
                    <w:t>（</w:t>
                  </w:r>
                  <w:r>
                    <w:rPr>
                      <w:rFonts w:ascii="Times New Roman" w:hAnsi="Times New Roman" w:eastAsia="宋体"/>
                      <w:b/>
                      <w:color w:val="auto"/>
                      <w:sz w:val="21"/>
                      <w:szCs w:val="21"/>
                    </w:rPr>
                    <w:t>mg/L</w:t>
                  </w:r>
                  <w:r>
                    <w:rPr>
                      <w:rFonts w:hint="eastAsia" w:ascii="Times New Roman" w:hAnsi="Times New Roman" w:eastAsia="宋体"/>
                      <w:b/>
                      <w:color w:val="auto"/>
                      <w:sz w:val="21"/>
                      <w:szCs w:val="21"/>
                      <w:lang w:eastAsia="zh-CN"/>
                    </w:rPr>
                    <w:t>）</w:t>
                  </w:r>
                </w:p>
              </w:tc>
            </w:tr>
            <w:tr w14:paraId="318F3CA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53" w:type="pct"/>
                  <w:tcBorders>
                    <w:tl2br w:val="nil"/>
                    <w:tr2bl w:val="nil"/>
                  </w:tcBorders>
                  <w:noWrap w:val="0"/>
                  <w:tcMar>
                    <w:top w:w="0" w:type="dxa"/>
                    <w:left w:w="0" w:type="dxa"/>
                    <w:bottom w:w="0" w:type="dxa"/>
                    <w:right w:w="0" w:type="dxa"/>
                  </w:tcMar>
                  <w:vAlign w:val="center"/>
                </w:tcPr>
                <w:p w14:paraId="5623BE59">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COD</w:t>
                  </w:r>
                </w:p>
              </w:tc>
              <w:tc>
                <w:tcPr>
                  <w:tcW w:w="1798" w:type="pct"/>
                  <w:vMerge w:val="restart"/>
                  <w:tcBorders>
                    <w:tl2br w:val="nil"/>
                    <w:tr2bl w:val="nil"/>
                  </w:tcBorders>
                  <w:noWrap w:val="0"/>
                  <w:tcMar>
                    <w:top w:w="0" w:type="dxa"/>
                    <w:left w:w="0" w:type="dxa"/>
                    <w:bottom w:w="0" w:type="dxa"/>
                    <w:right w:w="0" w:type="dxa"/>
                  </w:tcMar>
                  <w:vAlign w:val="center"/>
                </w:tcPr>
                <w:p w14:paraId="2D6B3586">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《城镇污水处理厂污染物排放标准》（DB32/4440-2022）</w:t>
                  </w:r>
                </w:p>
              </w:tc>
              <w:tc>
                <w:tcPr>
                  <w:tcW w:w="1448" w:type="pct"/>
                  <w:tcBorders>
                    <w:tl2br w:val="nil"/>
                    <w:tr2bl w:val="nil"/>
                  </w:tcBorders>
                  <w:noWrap w:val="0"/>
                  <w:tcMar>
                    <w:top w:w="0" w:type="dxa"/>
                    <w:left w:w="0" w:type="dxa"/>
                    <w:bottom w:w="0" w:type="dxa"/>
                    <w:right w:w="0" w:type="dxa"/>
                  </w:tcMar>
                  <w:vAlign w:val="center"/>
                </w:tcPr>
                <w:p w14:paraId="0C9BD2B8">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50</w:t>
                  </w:r>
                </w:p>
              </w:tc>
            </w:tr>
            <w:tr w14:paraId="0A89B1C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53" w:type="pct"/>
                  <w:tcBorders>
                    <w:tl2br w:val="nil"/>
                    <w:tr2bl w:val="nil"/>
                  </w:tcBorders>
                  <w:noWrap w:val="0"/>
                  <w:tcMar>
                    <w:top w:w="0" w:type="dxa"/>
                    <w:left w:w="0" w:type="dxa"/>
                    <w:bottom w:w="0" w:type="dxa"/>
                    <w:right w:w="0" w:type="dxa"/>
                  </w:tcMar>
                  <w:vAlign w:val="center"/>
                </w:tcPr>
                <w:p w14:paraId="50C1820A">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NH</w:t>
                  </w:r>
                  <w:r>
                    <w:rPr>
                      <w:rFonts w:ascii="Times New Roman" w:hAnsi="Times New Roman" w:eastAsia="宋体"/>
                      <w:b w:val="0"/>
                      <w:bCs w:val="0"/>
                      <w:color w:val="auto"/>
                      <w:sz w:val="21"/>
                      <w:szCs w:val="21"/>
                      <w:vertAlign w:val="subscript"/>
                    </w:rPr>
                    <w:t>3</w:t>
                  </w:r>
                  <w:r>
                    <w:rPr>
                      <w:rFonts w:ascii="Times New Roman" w:hAnsi="Times New Roman" w:eastAsia="宋体"/>
                      <w:b w:val="0"/>
                      <w:bCs w:val="0"/>
                      <w:color w:val="auto"/>
                      <w:sz w:val="21"/>
                      <w:szCs w:val="21"/>
                    </w:rPr>
                    <w:t>-N</w:t>
                  </w:r>
                </w:p>
              </w:tc>
              <w:tc>
                <w:tcPr>
                  <w:tcW w:w="1798" w:type="pct"/>
                  <w:vMerge w:val="continue"/>
                  <w:tcBorders>
                    <w:tl2br w:val="nil"/>
                    <w:tr2bl w:val="nil"/>
                  </w:tcBorders>
                  <w:noWrap w:val="0"/>
                  <w:tcMar>
                    <w:top w:w="0" w:type="dxa"/>
                    <w:left w:w="0" w:type="dxa"/>
                    <w:bottom w:w="0" w:type="dxa"/>
                    <w:right w:w="0" w:type="dxa"/>
                  </w:tcMar>
                  <w:vAlign w:val="center"/>
                </w:tcPr>
                <w:p w14:paraId="592A3D3C">
                  <w:pPr>
                    <w:pStyle w:val="8"/>
                    <w:keepNext/>
                    <w:adjustRightInd w:val="0"/>
                    <w:snapToGrid w:val="0"/>
                    <w:jc w:val="center"/>
                    <w:rPr>
                      <w:rFonts w:ascii="Times New Roman" w:hAnsi="Times New Roman" w:eastAsia="宋体"/>
                      <w:b w:val="0"/>
                      <w:bCs w:val="0"/>
                      <w:color w:val="auto"/>
                      <w:sz w:val="21"/>
                      <w:szCs w:val="21"/>
                    </w:rPr>
                  </w:pPr>
                </w:p>
              </w:tc>
              <w:tc>
                <w:tcPr>
                  <w:tcW w:w="1448" w:type="pct"/>
                  <w:tcBorders>
                    <w:tl2br w:val="nil"/>
                    <w:tr2bl w:val="nil"/>
                  </w:tcBorders>
                  <w:noWrap w:val="0"/>
                  <w:tcMar>
                    <w:top w:w="0" w:type="dxa"/>
                    <w:left w:w="0" w:type="dxa"/>
                    <w:bottom w:w="0" w:type="dxa"/>
                    <w:right w:w="0" w:type="dxa"/>
                  </w:tcMar>
                  <w:vAlign w:val="center"/>
                </w:tcPr>
                <w:p w14:paraId="66BDD69D">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4（6）*</w:t>
                  </w:r>
                </w:p>
              </w:tc>
            </w:tr>
            <w:tr w14:paraId="46BDDF3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53" w:type="pct"/>
                  <w:tcBorders>
                    <w:tl2br w:val="nil"/>
                    <w:tr2bl w:val="nil"/>
                  </w:tcBorders>
                  <w:noWrap w:val="0"/>
                  <w:tcMar>
                    <w:top w:w="0" w:type="dxa"/>
                    <w:left w:w="0" w:type="dxa"/>
                    <w:bottom w:w="0" w:type="dxa"/>
                    <w:right w:w="0" w:type="dxa"/>
                  </w:tcMar>
                  <w:vAlign w:val="center"/>
                </w:tcPr>
                <w:p w14:paraId="32040305">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TP</w:t>
                  </w:r>
                </w:p>
              </w:tc>
              <w:tc>
                <w:tcPr>
                  <w:tcW w:w="1798" w:type="pct"/>
                  <w:vMerge w:val="continue"/>
                  <w:tcBorders>
                    <w:tl2br w:val="nil"/>
                    <w:tr2bl w:val="nil"/>
                  </w:tcBorders>
                  <w:noWrap w:val="0"/>
                  <w:tcMar>
                    <w:top w:w="0" w:type="dxa"/>
                    <w:left w:w="0" w:type="dxa"/>
                    <w:bottom w:w="0" w:type="dxa"/>
                    <w:right w:w="0" w:type="dxa"/>
                  </w:tcMar>
                  <w:vAlign w:val="center"/>
                </w:tcPr>
                <w:p w14:paraId="1C191830">
                  <w:pPr>
                    <w:pStyle w:val="8"/>
                    <w:keepNext/>
                    <w:adjustRightInd w:val="0"/>
                    <w:snapToGrid w:val="0"/>
                    <w:jc w:val="center"/>
                    <w:rPr>
                      <w:rFonts w:ascii="Times New Roman" w:hAnsi="Times New Roman" w:eastAsia="宋体"/>
                      <w:b w:val="0"/>
                      <w:bCs w:val="0"/>
                      <w:color w:val="auto"/>
                      <w:sz w:val="21"/>
                      <w:szCs w:val="21"/>
                    </w:rPr>
                  </w:pPr>
                </w:p>
              </w:tc>
              <w:tc>
                <w:tcPr>
                  <w:tcW w:w="1448" w:type="pct"/>
                  <w:tcBorders>
                    <w:tl2br w:val="nil"/>
                    <w:tr2bl w:val="nil"/>
                  </w:tcBorders>
                  <w:noWrap w:val="0"/>
                  <w:tcMar>
                    <w:top w:w="0" w:type="dxa"/>
                    <w:left w:w="0" w:type="dxa"/>
                    <w:bottom w:w="0" w:type="dxa"/>
                    <w:right w:w="0" w:type="dxa"/>
                  </w:tcMar>
                  <w:vAlign w:val="center"/>
                </w:tcPr>
                <w:p w14:paraId="554AE507">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0.5</w:t>
                  </w:r>
                </w:p>
              </w:tc>
            </w:tr>
            <w:tr w14:paraId="064DE4B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53" w:type="pct"/>
                  <w:tcBorders>
                    <w:tl2br w:val="nil"/>
                    <w:tr2bl w:val="nil"/>
                  </w:tcBorders>
                  <w:noWrap w:val="0"/>
                  <w:tcMar>
                    <w:top w:w="0" w:type="dxa"/>
                    <w:left w:w="0" w:type="dxa"/>
                    <w:bottom w:w="0" w:type="dxa"/>
                    <w:right w:w="0" w:type="dxa"/>
                  </w:tcMar>
                  <w:vAlign w:val="center"/>
                </w:tcPr>
                <w:p w14:paraId="4060F6D9">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TN</w:t>
                  </w:r>
                </w:p>
              </w:tc>
              <w:tc>
                <w:tcPr>
                  <w:tcW w:w="1798" w:type="pct"/>
                  <w:vMerge w:val="continue"/>
                  <w:tcBorders>
                    <w:tl2br w:val="nil"/>
                    <w:tr2bl w:val="nil"/>
                  </w:tcBorders>
                  <w:noWrap w:val="0"/>
                  <w:tcMar>
                    <w:top w:w="0" w:type="dxa"/>
                    <w:left w:w="0" w:type="dxa"/>
                    <w:bottom w:w="0" w:type="dxa"/>
                    <w:right w:w="0" w:type="dxa"/>
                  </w:tcMar>
                  <w:vAlign w:val="center"/>
                </w:tcPr>
                <w:p w14:paraId="5A9EE8CB">
                  <w:pPr>
                    <w:pStyle w:val="8"/>
                    <w:keepNext/>
                    <w:adjustRightInd w:val="0"/>
                    <w:snapToGrid w:val="0"/>
                    <w:jc w:val="center"/>
                    <w:rPr>
                      <w:rFonts w:ascii="Times New Roman" w:hAnsi="Times New Roman" w:eastAsia="宋体"/>
                      <w:b w:val="0"/>
                      <w:bCs w:val="0"/>
                      <w:color w:val="auto"/>
                      <w:sz w:val="21"/>
                      <w:szCs w:val="21"/>
                    </w:rPr>
                  </w:pPr>
                </w:p>
              </w:tc>
              <w:tc>
                <w:tcPr>
                  <w:tcW w:w="1448" w:type="pct"/>
                  <w:tcBorders>
                    <w:tl2br w:val="nil"/>
                    <w:tr2bl w:val="nil"/>
                  </w:tcBorders>
                  <w:noWrap w:val="0"/>
                  <w:tcMar>
                    <w:top w:w="0" w:type="dxa"/>
                    <w:left w:w="0" w:type="dxa"/>
                    <w:bottom w:w="0" w:type="dxa"/>
                    <w:right w:w="0" w:type="dxa"/>
                  </w:tcMar>
                  <w:vAlign w:val="center"/>
                </w:tcPr>
                <w:p w14:paraId="041D8304">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12（15）*</w:t>
                  </w:r>
                </w:p>
              </w:tc>
            </w:tr>
            <w:tr w14:paraId="4A9751E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53" w:type="pct"/>
                  <w:tcBorders>
                    <w:tl2br w:val="nil"/>
                    <w:tr2bl w:val="nil"/>
                  </w:tcBorders>
                  <w:noWrap w:val="0"/>
                  <w:tcMar>
                    <w:top w:w="0" w:type="dxa"/>
                    <w:left w:w="0" w:type="dxa"/>
                    <w:bottom w:w="0" w:type="dxa"/>
                    <w:right w:w="0" w:type="dxa"/>
                  </w:tcMar>
                  <w:vAlign w:val="center"/>
                </w:tcPr>
                <w:p w14:paraId="6BD7CF88">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pH值（无量纲）</w:t>
                  </w:r>
                </w:p>
              </w:tc>
              <w:tc>
                <w:tcPr>
                  <w:tcW w:w="1798" w:type="pct"/>
                  <w:vMerge w:val="continue"/>
                  <w:tcBorders>
                    <w:tl2br w:val="nil"/>
                    <w:tr2bl w:val="nil"/>
                  </w:tcBorders>
                  <w:noWrap w:val="0"/>
                  <w:tcMar>
                    <w:top w:w="0" w:type="dxa"/>
                    <w:left w:w="0" w:type="dxa"/>
                    <w:bottom w:w="0" w:type="dxa"/>
                    <w:right w:w="0" w:type="dxa"/>
                  </w:tcMar>
                  <w:vAlign w:val="center"/>
                </w:tcPr>
                <w:p w14:paraId="1F2D23B4">
                  <w:pPr>
                    <w:pStyle w:val="8"/>
                    <w:keepNext/>
                    <w:adjustRightInd w:val="0"/>
                    <w:snapToGrid w:val="0"/>
                    <w:jc w:val="center"/>
                    <w:rPr>
                      <w:rFonts w:ascii="Times New Roman" w:hAnsi="Times New Roman" w:eastAsia="宋体"/>
                      <w:b w:val="0"/>
                      <w:bCs w:val="0"/>
                      <w:color w:val="auto"/>
                      <w:sz w:val="21"/>
                      <w:szCs w:val="21"/>
                    </w:rPr>
                  </w:pPr>
                </w:p>
              </w:tc>
              <w:tc>
                <w:tcPr>
                  <w:tcW w:w="1448" w:type="pct"/>
                  <w:tcBorders>
                    <w:tl2br w:val="nil"/>
                    <w:tr2bl w:val="nil"/>
                  </w:tcBorders>
                  <w:noWrap w:val="0"/>
                  <w:tcMar>
                    <w:top w:w="0" w:type="dxa"/>
                    <w:left w:w="0" w:type="dxa"/>
                    <w:bottom w:w="0" w:type="dxa"/>
                    <w:right w:w="0" w:type="dxa"/>
                  </w:tcMar>
                  <w:vAlign w:val="center"/>
                </w:tcPr>
                <w:p w14:paraId="5E466027">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6-9</w:t>
                  </w:r>
                </w:p>
              </w:tc>
            </w:tr>
            <w:tr w14:paraId="1EEA47F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53" w:type="pct"/>
                  <w:tcBorders>
                    <w:tl2br w:val="nil"/>
                    <w:tr2bl w:val="nil"/>
                  </w:tcBorders>
                  <w:noWrap w:val="0"/>
                  <w:tcMar>
                    <w:top w:w="0" w:type="dxa"/>
                    <w:left w:w="0" w:type="dxa"/>
                    <w:bottom w:w="0" w:type="dxa"/>
                    <w:right w:w="0" w:type="dxa"/>
                  </w:tcMar>
                  <w:vAlign w:val="center"/>
                </w:tcPr>
                <w:p w14:paraId="7EFE34D2">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SS</w:t>
                  </w:r>
                </w:p>
              </w:tc>
              <w:tc>
                <w:tcPr>
                  <w:tcW w:w="1798" w:type="pct"/>
                  <w:vMerge w:val="continue"/>
                  <w:tcBorders>
                    <w:tl2br w:val="nil"/>
                    <w:tr2bl w:val="nil"/>
                  </w:tcBorders>
                  <w:noWrap w:val="0"/>
                  <w:tcMar>
                    <w:top w:w="0" w:type="dxa"/>
                    <w:left w:w="0" w:type="dxa"/>
                    <w:bottom w:w="0" w:type="dxa"/>
                    <w:right w:w="0" w:type="dxa"/>
                  </w:tcMar>
                  <w:vAlign w:val="center"/>
                </w:tcPr>
                <w:p w14:paraId="59492B5E">
                  <w:pPr>
                    <w:pStyle w:val="8"/>
                    <w:keepNext/>
                    <w:adjustRightInd w:val="0"/>
                    <w:snapToGrid w:val="0"/>
                    <w:jc w:val="center"/>
                    <w:rPr>
                      <w:rFonts w:ascii="Times New Roman" w:hAnsi="Times New Roman" w:eastAsia="宋体"/>
                      <w:b w:val="0"/>
                      <w:bCs w:val="0"/>
                      <w:color w:val="auto"/>
                      <w:sz w:val="21"/>
                      <w:szCs w:val="21"/>
                    </w:rPr>
                  </w:pPr>
                </w:p>
              </w:tc>
              <w:tc>
                <w:tcPr>
                  <w:tcW w:w="1448" w:type="pct"/>
                  <w:tcBorders>
                    <w:tl2br w:val="nil"/>
                    <w:tr2bl w:val="nil"/>
                  </w:tcBorders>
                  <w:noWrap w:val="0"/>
                  <w:tcMar>
                    <w:top w:w="0" w:type="dxa"/>
                    <w:left w:w="0" w:type="dxa"/>
                    <w:bottom w:w="0" w:type="dxa"/>
                    <w:right w:w="0" w:type="dxa"/>
                  </w:tcMar>
                  <w:vAlign w:val="center"/>
                </w:tcPr>
                <w:p w14:paraId="75ACE6F1">
                  <w:pPr>
                    <w:pStyle w:val="8"/>
                    <w:keepNext/>
                    <w:adjustRightInd w:val="0"/>
                    <w:snapToGrid w:val="0"/>
                    <w:jc w:val="center"/>
                    <w:rPr>
                      <w:rFonts w:ascii="Times New Roman" w:hAnsi="Times New Roman" w:eastAsia="宋体"/>
                      <w:b w:val="0"/>
                      <w:bCs w:val="0"/>
                      <w:color w:val="auto"/>
                      <w:sz w:val="21"/>
                      <w:szCs w:val="21"/>
                    </w:rPr>
                  </w:pPr>
                  <w:r>
                    <w:rPr>
                      <w:rFonts w:ascii="Times New Roman" w:hAnsi="Times New Roman" w:eastAsia="宋体"/>
                      <w:b w:val="0"/>
                      <w:bCs w:val="0"/>
                      <w:color w:val="auto"/>
                      <w:sz w:val="21"/>
                      <w:szCs w:val="21"/>
                    </w:rPr>
                    <w:t>10</w:t>
                  </w:r>
                </w:p>
              </w:tc>
            </w:tr>
            <w:tr w14:paraId="1907838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000" w:type="pct"/>
                  <w:gridSpan w:val="3"/>
                  <w:tcBorders>
                    <w:tl2br w:val="nil"/>
                    <w:tr2bl w:val="nil"/>
                  </w:tcBorders>
                  <w:noWrap w:val="0"/>
                  <w:tcMar>
                    <w:top w:w="0" w:type="dxa"/>
                    <w:left w:w="0" w:type="dxa"/>
                    <w:bottom w:w="0" w:type="dxa"/>
                    <w:right w:w="0" w:type="dxa"/>
                  </w:tcMar>
                  <w:vAlign w:val="center"/>
                </w:tcPr>
                <w:p w14:paraId="2ED69EC9">
                  <w:pPr>
                    <w:adjustRightInd w:val="0"/>
                    <w:snapToGrid w:val="0"/>
                    <w:rPr>
                      <w:b w:val="0"/>
                      <w:bCs/>
                      <w:color w:val="auto"/>
                    </w:rPr>
                  </w:pPr>
                  <w:r>
                    <w:rPr>
                      <w:b w:val="0"/>
                      <w:bCs/>
                      <w:color w:val="auto"/>
                    </w:rPr>
                    <w:t>注*：每年11月1日至次年3月31日执行括号内排放限值。</w:t>
                  </w:r>
                </w:p>
              </w:tc>
            </w:tr>
          </w:tbl>
          <w:p w14:paraId="70D3E7AB">
            <w:pPr>
              <w:pStyle w:val="8"/>
              <w:keepNext/>
              <w:keepLines w:val="0"/>
              <w:pageBreakBefore w:val="0"/>
              <w:widowControl/>
              <w:kinsoku/>
              <w:wordWrap/>
              <w:overflowPunct/>
              <w:topLinePunct w:val="0"/>
              <w:autoSpaceDE/>
              <w:autoSpaceDN/>
              <w:bidi w:val="0"/>
              <w:adjustRightInd w:val="0"/>
              <w:snapToGrid w:val="0"/>
              <w:spacing w:before="157" w:beforeLines="50"/>
              <w:jc w:val="center"/>
              <w:textAlignment w:val="auto"/>
              <w:rPr>
                <w:rFonts w:ascii="Times New Roman" w:hAnsi="Times New Roman" w:eastAsia="宋体"/>
                <w:b/>
                <w:color w:val="auto"/>
                <w:sz w:val="21"/>
                <w:szCs w:val="21"/>
              </w:rPr>
            </w:pPr>
            <w:r>
              <w:rPr>
                <w:rFonts w:ascii="Times New Roman" w:hAnsi="Times New Roman" w:eastAsia="宋体"/>
                <w:b/>
                <w:color w:val="auto"/>
                <w:sz w:val="21"/>
                <w:szCs w:val="21"/>
              </w:rPr>
              <w:t>表3-</w:t>
            </w:r>
            <w:r>
              <w:rPr>
                <w:rFonts w:hint="eastAsia" w:ascii="Times New Roman" w:hAnsi="Times New Roman" w:eastAsia="宋体"/>
                <w:b/>
                <w:color w:val="auto"/>
                <w:sz w:val="21"/>
                <w:szCs w:val="21"/>
                <w:lang w:val="en-US" w:eastAsia="zh-CN"/>
              </w:rPr>
              <w:t>1</w:t>
            </w:r>
            <w:r>
              <w:rPr>
                <w:rFonts w:hint="eastAsia" w:ascii="Times New Roman" w:hAnsi="Times New Roman"/>
                <w:b/>
                <w:color w:val="auto"/>
                <w:sz w:val="21"/>
                <w:szCs w:val="21"/>
                <w:lang w:val="en-US" w:eastAsia="zh-CN"/>
              </w:rPr>
              <w:t>2</w:t>
            </w:r>
            <w:r>
              <w:rPr>
                <w:rFonts w:ascii="Times New Roman" w:hAnsi="Times New Roman" w:eastAsia="宋体"/>
                <w:b/>
                <w:color w:val="auto"/>
                <w:sz w:val="21"/>
                <w:szCs w:val="21"/>
              </w:rPr>
              <w:t xml:space="preserve"> </w:t>
            </w:r>
            <w:r>
              <w:rPr>
                <w:rFonts w:hint="eastAsia" w:ascii="Times New Roman" w:hAnsi="Times New Roman" w:eastAsia="宋体"/>
                <w:b/>
                <w:color w:val="auto"/>
                <w:sz w:val="21"/>
                <w:szCs w:val="21"/>
                <w:lang w:eastAsia="zh-CN"/>
              </w:rPr>
              <w:t>常州金坛区第二污水处理有限公司</w:t>
            </w:r>
            <w:r>
              <w:rPr>
                <w:rFonts w:ascii="Times New Roman" w:hAnsi="Times New Roman" w:eastAsia="宋体"/>
                <w:b/>
                <w:color w:val="auto"/>
                <w:sz w:val="21"/>
                <w:szCs w:val="21"/>
              </w:rPr>
              <w:t>四项主要常规污染物一次监测排放限值</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882"/>
              <w:gridCol w:w="2957"/>
              <w:gridCol w:w="2383"/>
            </w:tblGrid>
            <w:tr w14:paraId="4442155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53" w:type="pct"/>
                  <w:tcBorders>
                    <w:tl2br w:val="nil"/>
                    <w:tr2bl w:val="nil"/>
                  </w:tcBorders>
                  <w:noWrap w:val="0"/>
                  <w:tcMar>
                    <w:top w:w="0" w:type="dxa"/>
                    <w:left w:w="0" w:type="dxa"/>
                    <w:bottom w:w="0" w:type="dxa"/>
                    <w:right w:w="0" w:type="dxa"/>
                  </w:tcMar>
                  <w:vAlign w:val="center"/>
                </w:tcPr>
                <w:p w14:paraId="7445EB9B">
                  <w:pPr>
                    <w:adjustRightInd w:val="0"/>
                    <w:snapToGrid w:val="0"/>
                    <w:jc w:val="center"/>
                    <w:rPr>
                      <w:b/>
                      <w:bCs/>
                      <w:color w:val="auto"/>
                    </w:rPr>
                  </w:pPr>
                  <w:r>
                    <w:rPr>
                      <w:b/>
                      <w:bCs/>
                      <w:color w:val="auto"/>
                    </w:rPr>
                    <w:t>污染物</w:t>
                  </w:r>
                </w:p>
              </w:tc>
              <w:tc>
                <w:tcPr>
                  <w:tcW w:w="1798" w:type="pct"/>
                  <w:tcBorders>
                    <w:tl2br w:val="nil"/>
                    <w:tr2bl w:val="nil"/>
                  </w:tcBorders>
                  <w:noWrap w:val="0"/>
                  <w:tcMar>
                    <w:top w:w="0" w:type="dxa"/>
                    <w:left w:w="0" w:type="dxa"/>
                    <w:bottom w:w="0" w:type="dxa"/>
                    <w:right w:w="0" w:type="dxa"/>
                  </w:tcMar>
                  <w:vAlign w:val="center"/>
                </w:tcPr>
                <w:p w14:paraId="2124AFBD">
                  <w:pPr>
                    <w:adjustRightInd w:val="0"/>
                    <w:snapToGrid w:val="0"/>
                    <w:jc w:val="center"/>
                    <w:rPr>
                      <w:b/>
                      <w:bCs/>
                      <w:color w:val="auto"/>
                    </w:rPr>
                  </w:pPr>
                  <w:r>
                    <w:rPr>
                      <w:b/>
                      <w:bCs/>
                      <w:color w:val="auto"/>
                    </w:rPr>
                    <w:t>标准</w:t>
                  </w:r>
                </w:p>
              </w:tc>
              <w:tc>
                <w:tcPr>
                  <w:tcW w:w="1448" w:type="pct"/>
                  <w:tcBorders>
                    <w:tl2br w:val="nil"/>
                    <w:tr2bl w:val="nil"/>
                  </w:tcBorders>
                  <w:noWrap w:val="0"/>
                  <w:tcMar>
                    <w:top w:w="0" w:type="dxa"/>
                    <w:left w:w="0" w:type="dxa"/>
                    <w:bottom w:w="0" w:type="dxa"/>
                    <w:right w:w="0" w:type="dxa"/>
                  </w:tcMar>
                  <w:vAlign w:val="center"/>
                </w:tcPr>
                <w:p w14:paraId="73F5A8BC">
                  <w:pPr>
                    <w:adjustRightInd w:val="0"/>
                    <w:snapToGrid w:val="0"/>
                    <w:jc w:val="center"/>
                    <w:rPr>
                      <w:rFonts w:hint="eastAsia" w:eastAsia="宋体"/>
                      <w:b/>
                      <w:bCs/>
                      <w:color w:val="auto"/>
                      <w:lang w:eastAsia="zh-CN"/>
                    </w:rPr>
                  </w:pPr>
                  <w:r>
                    <w:rPr>
                      <w:b/>
                      <w:bCs/>
                      <w:color w:val="auto"/>
                    </w:rPr>
                    <w:t>污染物排放标准</w:t>
                  </w:r>
                  <w:r>
                    <w:rPr>
                      <w:rFonts w:hint="eastAsia"/>
                      <w:b/>
                      <w:bCs/>
                      <w:color w:val="auto"/>
                      <w:lang w:eastAsia="zh-CN"/>
                    </w:rPr>
                    <w:t>（</w:t>
                  </w:r>
                  <w:r>
                    <w:rPr>
                      <w:rFonts w:ascii="Times New Roman" w:hAnsi="Times New Roman" w:eastAsia="宋体"/>
                      <w:b/>
                      <w:color w:val="auto"/>
                      <w:sz w:val="21"/>
                      <w:szCs w:val="21"/>
                    </w:rPr>
                    <w:t>mg/L</w:t>
                  </w:r>
                  <w:r>
                    <w:rPr>
                      <w:rFonts w:hint="eastAsia"/>
                      <w:b/>
                      <w:bCs/>
                      <w:color w:val="auto"/>
                      <w:lang w:eastAsia="zh-CN"/>
                    </w:rPr>
                    <w:t>）</w:t>
                  </w:r>
                </w:p>
              </w:tc>
            </w:tr>
            <w:tr w14:paraId="119775C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53" w:type="pct"/>
                  <w:tcBorders>
                    <w:tl2br w:val="nil"/>
                    <w:tr2bl w:val="nil"/>
                  </w:tcBorders>
                  <w:noWrap w:val="0"/>
                  <w:tcMar>
                    <w:top w:w="0" w:type="dxa"/>
                    <w:left w:w="0" w:type="dxa"/>
                    <w:bottom w:w="0" w:type="dxa"/>
                    <w:right w:w="0" w:type="dxa"/>
                  </w:tcMar>
                  <w:vAlign w:val="center"/>
                </w:tcPr>
                <w:p w14:paraId="73F29CB8">
                  <w:pPr>
                    <w:adjustRightInd w:val="0"/>
                    <w:snapToGrid w:val="0"/>
                    <w:jc w:val="center"/>
                    <w:rPr>
                      <w:b w:val="0"/>
                      <w:bCs w:val="0"/>
                      <w:color w:val="auto"/>
                    </w:rPr>
                  </w:pPr>
                  <w:r>
                    <w:rPr>
                      <w:b w:val="0"/>
                      <w:bCs w:val="0"/>
                      <w:color w:val="auto"/>
                    </w:rPr>
                    <w:t>COD</w:t>
                  </w:r>
                </w:p>
              </w:tc>
              <w:tc>
                <w:tcPr>
                  <w:tcW w:w="1798" w:type="pct"/>
                  <w:vMerge w:val="restart"/>
                  <w:tcBorders>
                    <w:tl2br w:val="nil"/>
                    <w:tr2bl w:val="nil"/>
                  </w:tcBorders>
                  <w:noWrap w:val="0"/>
                  <w:tcMar>
                    <w:top w:w="0" w:type="dxa"/>
                    <w:left w:w="0" w:type="dxa"/>
                    <w:bottom w:w="0" w:type="dxa"/>
                    <w:right w:w="0" w:type="dxa"/>
                  </w:tcMar>
                  <w:vAlign w:val="center"/>
                </w:tcPr>
                <w:p w14:paraId="7CC5A196">
                  <w:pPr>
                    <w:adjustRightInd w:val="0"/>
                    <w:snapToGrid w:val="0"/>
                    <w:jc w:val="center"/>
                    <w:rPr>
                      <w:b w:val="0"/>
                      <w:bCs w:val="0"/>
                      <w:color w:val="auto"/>
                    </w:rPr>
                  </w:pPr>
                  <w:r>
                    <w:rPr>
                      <w:b w:val="0"/>
                      <w:bCs w:val="0"/>
                      <w:color w:val="auto"/>
                    </w:rPr>
                    <w:t>《城镇污水处理厂污染物排放标准》（DB32/4440-2022）</w:t>
                  </w:r>
                </w:p>
              </w:tc>
              <w:tc>
                <w:tcPr>
                  <w:tcW w:w="1448" w:type="pct"/>
                  <w:tcBorders>
                    <w:tl2br w:val="nil"/>
                    <w:tr2bl w:val="nil"/>
                  </w:tcBorders>
                  <w:noWrap w:val="0"/>
                  <w:tcMar>
                    <w:top w:w="0" w:type="dxa"/>
                    <w:left w:w="0" w:type="dxa"/>
                    <w:bottom w:w="0" w:type="dxa"/>
                    <w:right w:w="0" w:type="dxa"/>
                  </w:tcMar>
                  <w:vAlign w:val="center"/>
                </w:tcPr>
                <w:p w14:paraId="7A56EA46">
                  <w:pPr>
                    <w:adjustRightInd w:val="0"/>
                    <w:snapToGrid w:val="0"/>
                    <w:jc w:val="center"/>
                    <w:rPr>
                      <w:b w:val="0"/>
                      <w:bCs w:val="0"/>
                      <w:color w:val="auto"/>
                    </w:rPr>
                  </w:pPr>
                  <w:r>
                    <w:rPr>
                      <w:b w:val="0"/>
                      <w:bCs w:val="0"/>
                      <w:color w:val="auto"/>
                    </w:rPr>
                    <w:t>75</w:t>
                  </w:r>
                </w:p>
              </w:tc>
            </w:tr>
            <w:tr w14:paraId="59BCA83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53" w:type="pct"/>
                  <w:tcBorders>
                    <w:tl2br w:val="nil"/>
                    <w:tr2bl w:val="nil"/>
                  </w:tcBorders>
                  <w:noWrap w:val="0"/>
                  <w:tcMar>
                    <w:top w:w="0" w:type="dxa"/>
                    <w:left w:w="0" w:type="dxa"/>
                    <w:bottom w:w="0" w:type="dxa"/>
                    <w:right w:w="0" w:type="dxa"/>
                  </w:tcMar>
                  <w:vAlign w:val="center"/>
                </w:tcPr>
                <w:p w14:paraId="21468929">
                  <w:pPr>
                    <w:adjustRightInd w:val="0"/>
                    <w:snapToGrid w:val="0"/>
                    <w:jc w:val="center"/>
                    <w:rPr>
                      <w:b w:val="0"/>
                      <w:bCs w:val="0"/>
                      <w:color w:val="auto"/>
                    </w:rPr>
                  </w:pPr>
                  <w:r>
                    <w:rPr>
                      <w:b w:val="0"/>
                      <w:bCs w:val="0"/>
                      <w:color w:val="auto"/>
                    </w:rPr>
                    <w:t>NH</w:t>
                  </w:r>
                  <w:r>
                    <w:rPr>
                      <w:b w:val="0"/>
                      <w:bCs w:val="0"/>
                      <w:color w:val="auto"/>
                      <w:vertAlign w:val="subscript"/>
                    </w:rPr>
                    <w:t>3</w:t>
                  </w:r>
                  <w:r>
                    <w:rPr>
                      <w:b w:val="0"/>
                      <w:bCs w:val="0"/>
                      <w:color w:val="auto"/>
                    </w:rPr>
                    <w:t>-N</w:t>
                  </w:r>
                </w:p>
              </w:tc>
              <w:tc>
                <w:tcPr>
                  <w:tcW w:w="1798" w:type="pct"/>
                  <w:vMerge w:val="continue"/>
                  <w:tcBorders>
                    <w:tl2br w:val="nil"/>
                    <w:tr2bl w:val="nil"/>
                  </w:tcBorders>
                  <w:noWrap w:val="0"/>
                  <w:tcMar>
                    <w:top w:w="0" w:type="dxa"/>
                    <w:left w:w="0" w:type="dxa"/>
                    <w:bottom w:w="0" w:type="dxa"/>
                    <w:right w:w="0" w:type="dxa"/>
                  </w:tcMar>
                  <w:vAlign w:val="center"/>
                </w:tcPr>
                <w:p w14:paraId="22BB8AA9">
                  <w:pPr>
                    <w:adjustRightInd w:val="0"/>
                    <w:snapToGrid w:val="0"/>
                    <w:jc w:val="center"/>
                    <w:rPr>
                      <w:b w:val="0"/>
                      <w:bCs w:val="0"/>
                      <w:color w:val="auto"/>
                    </w:rPr>
                  </w:pPr>
                </w:p>
              </w:tc>
              <w:tc>
                <w:tcPr>
                  <w:tcW w:w="1448" w:type="pct"/>
                  <w:tcBorders>
                    <w:tl2br w:val="nil"/>
                    <w:tr2bl w:val="nil"/>
                  </w:tcBorders>
                  <w:noWrap w:val="0"/>
                  <w:tcMar>
                    <w:top w:w="0" w:type="dxa"/>
                    <w:left w:w="0" w:type="dxa"/>
                    <w:bottom w:w="0" w:type="dxa"/>
                    <w:right w:w="0" w:type="dxa"/>
                  </w:tcMar>
                  <w:vAlign w:val="center"/>
                </w:tcPr>
                <w:p w14:paraId="3787DCF9">
                  <w:pPr>
                    <w:adjustRightInd w:val="0"/>
                    <w:snapToGrid w:val="0"/>
                    <w:jc w:val="center"/>
                    <w:rPr>
                      <w:b w:val="0"/>
                      <w:bCs w:val="0"/>
                      <w:color w:val="auto"/>
                    </w:rPr>
                  </w:pPr>
                  <w:r>
                    <w:rPr>
                      <w:b w:val="0"/>
                      <w:bCs w:val="0"/>
                      <w:color w:val="auto"/>
                    </w:rPr>
                    <w:t>8（12）*</w:t>
                  </w:r>
                </w:p>
              </w:tc>
            </w:tr>
            <w:tr w14:paraId="0F58752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53" w:type="pct"/>
                  <w:tcBorders>
                    <w:tl2br w:val="nil"/>
                    <w:tr2bl w:val="nil"/>
                  </w:tcBorders>
                  <w:noWrap w:val="0"/>
                  <w:tcMar>
                    <w:top w:w="0" w:type="dxa"/>
                    <w:left w:w="0" w:type="dxa"/>
                    <w:bottom w:w="0" w:type="dxa"/>
                    <w:right w:w="0" w:type="dxa"/>
                  </w:tcMar>
                  <w:vAlign w:val="center"/>
                </w:tcPr>
                <w:p w14:paraId="421BB96E">
                  <w:pPr>
                    <w:adjustRightInd w:val="0"/>
                    <w:snapToGrid w:val="0"/>
                    <w:jc w:val="center"/>
                    <w:rPr>
                      <w:b w:val="0"/>
                      <w:bCs w:val="0"/>
                      <w:color w:val="auto"/>
                    </w:rPr>
                  </w:pPr>
                  <w:r>
                    <w:rPr>
                      <w:b w:val="0"/>
                      <w:bCs w:val="0"/>
                      <w:color w:val="auto"/>
                    </w:rPr>
                    <w:t>TP</w:t>
                  </w:r>
                </w:p>
              </w:tc>
              <w:tc>
                <w:tcPr>
                  <w:tcW w:w="1798" w:type="pct"/>
                  <w:vMerge w:val="continue"/>
                  <w:tcBorders>
                    <w:tl2br w:val="nil"/>
                    <w:tr2bl w:val="nil"/>
                  </w:tcBorders>
                  <w:noWrap w:val="0"/>
                  <w:tcMar>
                    <w:top w:w="0" w:type="dxa"/>
                    <w:left w:w="0" w:type="dxa"/>
                    <w:bottom w:w="0" w:type="dxa"/>
                    <w:right w:w="0" w:type="dxa"/>
                  </w:tcMar>
                  <w:vAlign w:val="center"/>
                </w:tcPr>
                <w:p w14:paraId="06B640A4">
                  <w:pPr>
                    <w:adjustRightInd w:val="0"/>
                    <w:snapToGrid w:val="0"/>
                    <w:jc w:val="center"/>
                    <w:rPr>
                      <w:b w:val="0"/>
                      <w:bCs w:val="0"/>
                      <w:color w:val="auto"/>
                    </w:rPr>
                  </w:pPr>
                </w:p>
              </w:tc>
              <w:tc>
                <w:tcPr>
                  <w:tcW w:w="1448" w:type="pct"/>
                  <w:tcBorders>
                    <w:tl2br w:val="nil"/>
                    <w:tr2bl w:val="nil"/>
                  </w:tcBorders>
                  <w:noWrap w:val="0"/>
                  <w:tcMar>
                    <w:top w:w="0" w:type="dxa"/>
                    <w:left w:w="0" w:type="dxa"/>
                    <w:bottom w:w="0" w:type="dxa"/>
                    <w:right w:w="0" w:type="dxa"/>
                  </w:tcMar>
                  <w:vAlign w:val="center"/>
                </w:tcPr>
                <w:p w14:paraId="206869C4">
                  <w:pPr>
                    <w:adjustRightInd w:val="0"/>
                    <w:snapToGrid w:val="0"/>
                    <w:jc w:val="center"/>
                    <w:rPr>
                      <w:b w:val="0"/>
                      <w:bCs w:val="0"/>
                      <w:color w:val="auto"/>
                    </w:rPr>
                  </w:pPr>
                  <w:r>
                    <w:rPr>
                      <w:b w:val="0"/>
                      <w:bCs w:val="0"/>
                      <w:color w:val="auto"/>
                    </w:rPr>
                    <w:t>1</w:t>
                  </w:r>
                </w:p>
              </w:tc>
            </w:tr>
            <w:tr w14:paraId="2CEDDBB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53" w:type="pct"/>
                  <w:tcBorders>
                    <w:tl2br w:val="nil"/>
                    <w:tr2bl w:val="nil"/>
                  </w:tcBorders>
                  <w:noWrap w:val="0"/>
                  <w:tcMar>
                    <w:top w:w="0" w:type="dxa"/>
                    <w:left w:w="0" w:type="dxa"/>
                    <w:bottom w:w="0" w:type="dxa"/>
                    <w:right w:w="0" w:type="dxa"/>
                  </w:tcMar>
                  <w:vAlign w:val="center"/>
                </w:tcPr>
                <w:p w14:paraId="59919402">
                  <w:pPr>
                    <w:adjustRightInd w:val="0"/>
                    <w:snapToGrid w:val="0"/>
                    <w:jc w:val="center"/>
                    <w:rPr>
                      <w:b w:val="0"/>
                      <w:bCs w:val="0"/>
                      <w:color w:val="auto"/>
                    </w:rPr>
                  </w:pPr>
                  <w:r>
                    <w:rPr>
                      <w:b w:val="0"/>
                      <w:bCs w:val="0"/>
                      <w:color w:val="auto"/>
                    </w:rPr>
                    <w:t>TN</w:t>
                  </w:r>
                </w:p>
              </w:tc>
              <w:tc>
                <w:tcPr>
                  <w:tcW w:w="1798" w:type="pct"/>
                  <w:vMerge w:val="continue"/>
                  <w:tcBorders>
                    <w:tl2br w:val="nil"/>
                    <w:tr2bl w:val="nil"/>
                  </w:tcBorders>
                  <w:noWrap w:val="0"/>
                  <w:tcMar>
                    <w:top w:w="0" w:type="dxa"/>
                    <w:left w:w="0" w:type="dxa"/>
                    <w:bottom w:w="0" w:type="dxa"/>
                    <w:right w:w="0" w:type="dxa"/>
                  </w:tcMar>
                  <w:vAlign w:val="center"/>
                </w:tcPr>
                <w:p w14:paraId="4DF81A4A">
                  <w:pPr>
                    <w:adjustRightInd w:val="0"/>
                    <w:snapToGrid w:val="0"/>
                    <w:jc w:val="center"/>
                    <w:rPr>
                      <w:b w:val="0"/>
                      <w:bCs w:val="0"/>
                      <w:color w:val="auto"/>
                    </w:rPr>
                  </w:pPr>
                </w:p>
              </w:tc>
              <w:tc>
                <w:tcPr>
                  <w:tcW w:w="1448" w:type="pct"/>
                  <w:tcBorders>
                    <w:tl2br w:val="nil"/>
                    <w:tr2bl w:val="nil"/>
                  </w:tcBorders>
                  <w:noWrap w:val="0"/>
                  <w:tcMar>
                    <w:top w:w="0" w:type="dxa"/>
                    <w:left w:w="0" w:type="dxa"/>
                    <w:bottom w:w="0" w:type="dxa"/>
                    <w:right w:w="0" w:type="dxa"/>
                  </w:tcMar>
                  <w:vAlign w:val="center"/>
                </w:tcPr>
                <w:p w14:paraId="6A0A6CF9">
                  <w:pPr>
                    <w:adjustRightInd w:val="0"/>
                    <w:snapToGrid w:val="0"/>
                    <w:jc w:val="center"/>
                    <w:rPr>
                      <w:b w:val="0"/>
                      <w:bCs w:val="0"/>
                      <w:color w:val="auto"/>
                    </w:rPr>
                  </w:pPr>
                  <w:r>
                    <w:rPr>
                      <w:b w:val="0"/>
                      <w:bCs w:val="0"/>
                      <w:color w:val="auto"/>
                    </w:rPr>
                    <w:t>15（20）*</w:t>
                  </w:r>
                </w:p>
              </w:tc>
            </w:tr>
            <w:tr w14:paraId="56CFCE7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000" w:type="pct"/>
                  <w:gridSpan w:val="3"/>
                  <w:tcBorders>
                    <w:tl2br w:val="nil"/>
                    <w:tr2bl w:val="nil"/>
                  </w:tcBorders>
                  <w:noWrap w:val="0"/>
                  <w:tcMar>
                    <w:top w:w="0" w:type="dxa"/>
                    <w:left w:w="0" w:type="dxa"/>
                    <w:bottom w:w="0" w:type="dxa"/>
                    <w:right w:w="0" w:type="dxa"/>
                  </w:tcMar>
                  <w:vAlign w:val="center"/>
                </w:tcPr>
                <w:p w14:paraId="1B9C4CA6">
                  <w:pPr>
                    <w:adjustRightInd w:val="0"/>
                    <w:snapToGrid w:val="0"/>
                    <w:rPr>
                      <w:b w:val="0"/>
                      <w:bCs w:val="0"/>
                      <w:color w:val="auto"/>
                    </w:rPr>
                  </w:pPr>
                  <w:r>
                    <w:rPr>
                      <w:b w:val="0"/>
                      <w:bCs w:val="0"/>
                      <w:color w:val="auto"/>
                    </w:rPr>
                    <w:t>注*：每年11月1日至次年3月31日执行括号内排放限值。</w:t>
                  </w:r>
                </w:p>
              </w:tc>
            </w:tr>
          </w:tbl>
          <w:p w14:paraId="76F30EE0">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22" w:firstLineChars="200"/>
              <w:textAlignment w:val="auto"/>
              <w:rPr>
                <w:b/>
                <w:color w:val="auto"/>
                <w:szCs w:val="21"/>
              </w:rPr>
            </w:pPr>
            <w:r>
              <w:rPr>
                <w:rFonts w:hint="eastAsia"/>
                <w:b/>
                <w:color w:val="auto"/>
                <w:szCs w:val="21"/>
              </w:rPr>
              <w:t>三</w:t>
            </w:r>
            <w:r>
              <w:rPr>
                <w:b/>
                <w:color w:val="auto"/>
                <w:szCs w:val="21"/>
              </w:rPr>
              <w:t>、噪声排放标准</w:t>
            </w:r>
          </w:p>
          <w:p w14:paraId="52AABCD6">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color w:val="auto"/>
                <w:szCs w:val="21"/>
              </w:rPr>
            </w:pPr>
            <w:r>
              <w:rPr>
                <w:color w:val="auto"/>
                <w:szCs w:val="21"/>
              </w:rPr>
              <w:t>本项目</w:t>
            </w:r>
            <w:r>
              <w:rPr>
                <w:color w:val="auto"/>
                <w:spacing w:val="-6"/>
                <w:szCs w:val="21"/>
              </w:rPr>
              <w:t>运营期项目厂界执行《工业企业厂界环境噪声排放标准》（GB12348-2008）表1中</w:t>
            </w:r>
            <w:r>
              <w:rPr>
                <w:rFonts w:hint="eastAsia"/>
                <w:color w:val="auto"/>
                <w:spacing w:val="-6"/>
                <w:szCs w:val="21"/>
                <w:lang w:val="en-US" w:eastAsia="zh-CN"/>
              </w:rPr>
              <w:t>2</w:t>
            </w:r>
            <w:r>
              <w:rPr>
                <w:color w:val="auto"/>
                <w:spacing w:val="-6"/>
                <w:szCs w:val="21"/>
              </w:rPr>
              <w:t>类限值，具体限值见</w:t>
            </w:r>
            <w:r>
              <w:rPr>
                <w:rFonts w:hint="eastAsia"/>
                <w:color w:val="auto"/>
                <w:spacing w:val="-6"/>
                <w:szCs w:val="21"/>
                <w:lang w:val="en-US" w:eastAsia="zh-CN"/>
              </w:rPr>
              <w:t>下表</w:t>
            </w:r>
            <w:r>
              <w:rPr>
                <w:color w:val="auto"/>
                <w:szCs w:val="21"/>
              </w:rPr>
              <w:t>。</w:t>
            </w:r>
          </w:p>
          <w:p w14:paraId="7899A189">
            <w:pPr>
              <w:snapToGrid w:val="0"/>
              <w:ind w:firstLine="497" w:firstLineChars="250"/>
              <w:jc w:val="center"/>
              <w:rPr>
                <w:color w:val="auto"/>
                <w:spacing w:val="-6"/>
                <w:szCs w:val="21"/>
              </w:rPr>
            </w:pPr>
            <w:r>
              <w:rPr>
                <w:b/>
                <w:color w:val="auto"/>
                <w:spacing w:val="-6"/>
                <w:szCs w:val="21"/>
              </w:rPr>
              <w:t>表3-</w:t>
            </w:r>
            <w:r>
              <w:rPr>
                <w:rFonts w:hint="eastAsia"/>
                <w:b/>
                <w:color w:val="auto"/>
                <w:spacing w:val="-6"/>
                <w:szCs w:val="21"/>
                <w:lang w:val="en-US" w:eastAsia="zh-CN"/>
              </w:rPr>
              <w:t>13</w:t>
            </w:r>
            <w:r>
              <w:rPr>
                <w:b/>
                <w:color w:val="auto"/>
                <w:spacing w:val="-6"/>
                <w:szCs w:val="21"/>
              </w:rPr>
              <w:t xml:space="preserve"> 工业企业厂界噪声排放限值</w:t>
            </w:r>
            <w:r>
              <w:rPr>
                <w:color w:val="auto"/>
                <w:spacing w:val="-6"/>
                <w:szCs w:val="21"/>
              </w:rPr>
              <w:t xml:space="preserve"> </w:t>
            </w:r>
            <w:r>
              <w:rPr>
                <w:b/>
                <w:bCs/>
                <w:color w:val="auto"/>
                <w:spacing w:val="-6"/>
                <w:szCs w:val="21"/>
              </w:rPr>
              <w:t xml:space="preserve">  单位：dB（A）</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038"/>
              <w:gridCol w:w="1010"/>
              <w:gridCol w:w="886"/>
              <w:gridCol w:w="5285"/>
            </w:tblGrid>
            <w:tr w14:paraId="5B4F709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631" w:type="pct"/>
                  <w:noWrap w:val="0"/>
                  <w:vAlign w:val="center"/>
                </w:tcPr>
                <w:p w14:paraId="66741C23">
                  <w:pPr>
                    <w:jc w:val="center"/>
                    <w:rPr>
                      <w:b/>
                      <w:color w:val="auto"/>
                      <w:szCs w:val="21"/>
                    </w:rPr>
                  </w:pPr>
                  <w:r>
                    <w:rPr>
                      <w:b/>
                      <w:color w:val="auto"/>
                      <w:szCs w:val="21"/>
                    </w:rPr>
                    <w:t>评价标准</w:t>
                  </w:r>
                </w:p>
              </w:tc>
              <w:tc>
                <w:tcPr>
                  <w:tcW w:w="614" w:type="pct"/>
                  <w:noWrap w:val="0"/>
                  <w:vAlign w:val="center"/>
                </w:tcPr>
                <w:p w14:paraId="6E1851A9">
                  <w:pPr>
                    <w:jc w:val="center"/>
                    <w:rPr>
                      <w:b/>
                      <w:color w:val="auto"/>
                      <w:szCs w:val="21"/>
                    </w:rPr>
                  </w:pPr>
                  <w:r>
                    <w:rPr>
                      <w:b/>
                      <w:color w:val="auto"/>
                      <w:szCs w:val="21"/>
                    </w:rPr>
                    <w:t>昼间</w:t>
                  </w:r>
                </w:p>
              </w:tc>
              <w:tc>
                <w:tcPr>
                  <w:tcW w:w="539" w:type="pct"/>
                  <w:noWrap w:val="0"/>
                  <w:vAlign w:val="center"/>
                </w:tcPr>
                <w:p w14:paraId="6452C72D">
                  <w:pPr>
                    <w:jc w:val="center"/>
                    <w:rPr>
                      <w:rFonts w:hint="eastAsia" w:eastAsia="宋体"/>
                      <w:b/>
                      <w:color w:val="auto"/>
                      <w:szCs w:val="21"/>
                      <w:lang w:val="en-US" w:eastAsia="zh-CN"/>
                    </w:rPr>
                  </w:pPr>
                  <w:r>
                    <w:rPr>
                      <w:rFonts w:hint="eastAsia"/>
                      <w:b/>
                      <w:color w:val="auto"/>
                      <w:szCs w:val="21"/>
                      <w:lang w:val="en-US" w:eastAsia="zh-CN"/>
                    </w:rPr>
                    <w:t>夜间</w:t>
                  </w:r>
                </w:p>
              </w:tc>
              <w:tc>
                <w:tcPr>
                  <w:tcW w:w="3214" w:type="pct"/>
                  <w:noWrap w:val="0"/>
                  <w:vAlign w:val="center"/>
                </w:tcPr>
                <w:p w14:paraId="15536C82">
                  <w:pPr>
                    <w:jc w:val="center"/>
                    <w:rPr>
                      <w:b/>
                      <w:color w:val="auto"/>
                      <w:szCs w:val="21"/>
                    </w:rPr>
                  </w:pPr>
                  <w:r>
                    <w:rPr>
                      <w:b/>
                      <w:color w:val="auto"/>
                      <w:szCs w:val="21"/>
                    </w:rPr>
                    <w:t>标准来源</w:t>
                  </w:r>
                </w:p>
              </w:tc>
            </w:tr>
            <w:tr w14:paraId="4836881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631" w:type="pct"/>
                  <w:noWrap w:val="0"/>
                  <w:vAlign w:val="center"/>
                </w:tcPr>
                <w:p w14:paraId="1DDFD0DC">
                  <w:pPr>
                    <w:jc w:val="center"/>
                    <w:rPr>
                      <w:color w:val="auto"/>
                      <w:szCs w:val="21"/>
                    </w:rPr>
                  </w:pPr>
                  <w:r>
                    <w:rPr>
                      <w:rFonts w:hint="eastAsia"/>
                      <w:color w:val="auto"/>
                      <w:szCs w:val="21"/>
                      <w:lang w:val="en-US" w:eastAsia="zh-CN"/>
                    </w:rPr>
                    <w:t>2</w:t>
                  </w:r>
                  <w:r>
                    <w:rPr>
                      <w:color w:val="auto"/>
                      <w:szCs w:val="21"/>
                    </w:rPr>
                    <w:t>类</w:t>
                  </w:r>
                </w:p>
              </w:tc>
              <w:tc>
                <w:tcPr>
                  <w:tcW w:w="614" w:type="pct"/>
                  <w:noWrap w:val="0"/>
                  <w:vAlign w:val="center"/>
                </w:tcPr>
                <w:p w14:paraId="1BD98564">
                  <w:pPr>
                    <w:jc w:val="center"/>
                    <w:rPr>
                      <w:rFonts w:hint="eastAsia" w:eastAsia="宋体"/>
                      <w:color w:val="auto"/>
                      <w:szCs w:val="21"/>
                      <w:lang w:eastAsia="zh-CN"/>
                    </w:rPr>
                  </w:pPr>
                  <w:r>
                    <w:rPr>
                      <w:rFonts w:hint="eastAsia"/>
                      <w:color w:val="auto"/>
                      <w:szCs w:val="21"/>
                    </w:rPr>
                    <w:t>6</w:t>
                  </w:r>
                  <w:r>
                    <w:rPr>
                      <w:rFonts w:hint="eastAsia"/>
                      <w:color w:val="auto"/>
                      <w:szCs w:val="21"/>
                      <w:lang w:val="en-US" w:eastAsia="zh-CN"/>
                    </w:rPr>
                    <w:t>0</w:t>
                  </w:r>
                </w:p>
              </w:tc>
              <w:tc>
                <w:tcPr>
                  <w:tcW w:w="539" w:type="pct"/>
                  <w:noWrap w:val="0"/>
                  <w:vAlign w:val="center"/>
                </w:tcPr>
                <w:p w14:paraId="0EF4CB5E">
                  <w:pPr>
                    <w:jc w:val="center"/>
                    <w:rPr>
                      <w:rFonts w:hint="default" w:eastAsia="宋体"/>
                      <w:color w:val="auto"/>
                      <w:szCs w:val="21"/>
                      <w:lang w:val="en-US" w:eastAsia="zh-CN"/>
                    </w:rPr>
                  </w:pPr>
                  <w:r>
                    <w:rPr>
                      <w:rFonts w:hint="eastAsia"/>
                      <w:color w:val="auto"/>
                      <w:szCs w:val="21"/>
                      <w:lang w:val="en-US" w:eastAsia="zh-CN"/>
                    </w:rPr>
                    <w:t>55</w:t>
                  </w:r>
                </w:p>
              </w:tc>
              <w:tc>
                <w:tcPr>
                  <w:tcW w:w="3214" w:type="pct"/>
                  <w:noWrap w:val="0"/>
                  <w:vAlign w:val="center"/>
                </w:tcPr>
                <w:p w14:paraId="4734B81B">
                  <w:pPr>
                    <w:jc w:val="center"/>
                    <w:rPr>
                      <w:color w:val="auto"/>
                      <w:szCs w:val="21"/>
                    </w:rPr>
                  </w:pPr>
                  <w:r>
                    <w:rPr>
                      <w:color w:val="auto"/>
                      <w:szCs w:val="21"/>
                    </w:rPr>
                    <w:t>《工业企业厂界环境噪声排放标准</w:t>
                  </w:r>
                  <w:r>
                    <w:rPr>
                      <w:rFonts w:hint="eastAsia"/>
                      <w:color w:val="auto"/>
                      <w:szCs w:val="21"/>
                    </w:rPr>
                    <w:t>》</w:t>
                  </w:r>
                  <w:r>
                    <w:rPr>
                      <w:color w:val="auto"/>
                      <w:szCs w:val="21"/>
                    </w:rPr>
                    <w:t>（GB12348-2008）</w:t>
                  </w:r>
                </w:p>
              </w:tc>
            </w:tr>
          </w:tbl>
          <w:p w14:paraId="06982F06">
            <w:pPr>
              <w:spacing w:before="120" w:beforeLines="50" w:line="360" w:lineRule="auto"/>
              <w:ind w:firstLine="414" w:firstLineChars="200"/>
              <w:jc w:val="left"/>
              <w:textAlignment w:val="baseline"/>
              <w:rPr>
                <w:b/>
                <w:color w:val="auto"/>
                <w:spacing w:val="-2"/>
                <w:kern w:val="28"/>
                <w:szCs w:val="21"/>
              </w:rPr>
            </w:pPr>
            <w:r>
              <w:rPr>
                <w:rFonts w:hint="eastAsia"/>
                <w:b/>
                <w:color w:val="auto"/>
                <w:spacing w:val="-2"/>
                <w:kern w:val="28"/>
                <w:szCs w:val="21"/>
              </w:rPr>
              <w:t>四</w:t>
            </w:r>
            <w:r>
              <w:rPr>
                <w:b/>
                <w:color w:val="auto"/>
                <w:spacing w:val="-2"/>
                <w:kern w:val="28"/>
                <w:szCs w:val="21"/>
              </w:rPr>
              <w:t>、固体废弃物</w:t>
            </w:r>
          </w:p>
          <w:p w14:paraId="7629170C">
            <w:pPr>
              <w:adjustRightInd w:val="0"/>
              <w:snapToGrid w:val="0"/>
              <w:spacing w:line="360" w:lineRule="auto"/>
              <w:ind w:firstLine="420" w:firstLineChars="200"/>
              <w:rPr>
                <w:color w:val="auto"/>
                <w:szCs w:val="21"/>
              </w:rPr>
            </w:pPr>
            <w:r>
              <w:rPr>
                <w:color w:val="auto"/>
                <w:szCs w:val="21"/>
              </w:rPr>
              <w:t>项目产生的一般工业固体废物贮存执行《一般工业固体废物贮存和填埋污染控制标准》（GB18599-2020）要求。</w:t>
            </w:r>
          </w:p>
          <w:p w14:paraId="77EA3188">
            <w:pPr>
              <w:adjustRightInd w:val="0"/>
              <w:snapToGrid w:val="0"/>
              <w:spacing w:line="360" w:lineRule="auto"/>
              <w:ind w:firstLine="420" w:firstLineChars="200"/>
              <w:rPr>
                <w:rFonts w:hint="eastAsia"/>
                <w:color w:val="auto"/>
                <w:szCs w:val="21"/>
              </w:rPr>
            </w:pPr>
            <w:r>
              <w:rPr>
                <w:color w:val="auto"/>
                <w:szCs w:val="21"/>
              </w:rPr>
              <w:t>危险废物贮存按照</w:t>
            </w:r>
            <w:r>
              <w:rPr>
                <w:rFonts w:hint="eastAsia"/>
                <w:color w:val="auto"/>
                <w:szCs w:val="21"/>
              </w:rPr>
              <w:t>《危险废物贮存污染控制标准》（GB18597-2023）</w:t>
            </w:r>
            <w:r>
              <w:rPr>
                <w:color w:val="auto"/>
                <w:szCs w:val="21"/>
              </w:rPr>
              <w:t>、《危险废物收集储存运输技术规范》（HJ2025-2012）要求及</w:t>
            </w:r>
            <w:r>
              <w:rPr>
                <w:rFonts w:hint="eastAsia"/>
                <w:color w:val="auto"/>
              </w:rPr>
              <w:t>《危险废物识别标志设置技术规范》（HJ1276-2022）</w:t>
            </w:r>
            <w:r>
              <w:rPr>
                <w:color w:val="auto"/>
                <w:szCs w:val="21"/>
              </w:rPr>
              <w:t>要求进行危险废物的包装、贮存设施的选址、设计、运行、安全防护、监测和关闭，同时应按照《关于印发江苏省危险废物贮存规范化管理专项整治行动方案的通知》（苏环办【2019】149号）要求进行危废的暂存和处理</w:t>
            </w:r>
            <w:r>
              <w:rPr>
                <w:rFonts w:hint="eastAsia"/>
                <w:color w:val="auto"/>
                <w:szCs w:val="21"/>
              </w:rPr>
              <w:t>；落实《省生态环境厅关于印发&lt;江苏省固体废物全过程环境监管工作意见&gt;的通知》（苏环办〔2024〕16号）的要求</w:t>
            </w:r>
            <w:r>
              <w:rPr>
                <w:color w:val="auto"/>
                <w:szCs w:val="21"/>
              </w:rPr>
              <w:t>。</w:t>
            </w:r>
          </w:p>
          <w:p w14:paraId="42473865">
            <w:pPr>
              <w:adjustRightInd w:val="0"/>
              <w:snapToGrid w:val="0"/>
              <w:spacing w:line="360" w:lineRule="auto"/>
              <w:ind w:firstLine="420" w:firstLineChars="200"/>
              <w:rPr>
                <w:color w:val="auto"/>
                <w:szCs w:val="21"/>
              </w:rPr>
            </w:pPr>
            <w:r>
              <w:rPr>
                <w:color w:val="auto"/>
                <w:szCs w:val="21"/>
              </w:rPr>
              <w:t>生活垃圾处理执行《城市生活垃圾处理及污染防治技术政策》（建城[2000]120号）和《生活垃圾处理技术指南》（建城[2010]61号）以及国家、省市关于固体废物污染环境防治的法律法规。</w:t>
            </w:r>
          </w:p>
          <w:p w14:paraId="056ABB30">
            <w:pPr>
              <w:adjustRightInd w:val="0"/>
              <w:snapToGrid w:val="0"/>
              <w:spacing w:line="360" w:lineRule="auto"/>
              <w:ind w:firstLine="420" w:firstLineChars="200"/>
              <w:rPr>
                <w:color w:val="auto"/>
                <w:szCs w:val="21"/>
              </w:rPr>
            </w:pPr>
          </w:p>
          <w:p w14:paraId="45FF038D">
            <w:pPr>
              <w:adjustRightInd w:val="0"/>
              <w:snapToGrid w:val="0"/>
              <w:spacing w:line="360" w:lineRule="auto"/>
              <w:ind w:firstLine="420" w:firstLineChars="200"/>
              <w:rPr>
                <w:color w:val="auto"/>
                <w:szCs w:val="21"/>
              </w:rPr>
            </w:pPr>
          </w:p>
          <w:p w14:paraId="268BCA1B">
            <w:pPr>
              <w:adjustRightInd w:val="0"/>
              <w:snapToGrid w:val="0"/>
              <w:spacing w:line="360" w:lineRule="auto"/>
              <w:ind w:firstLine="420" w:firstLineChars="200"/>
              <w:rPr>
                <w:color w:val="auto"/>
                <w:szCs w:val="21"/>
              </w:rPr>
            </w:pPr>
          </w:p>
          <w:p w14:paraId="6D000D26">
            <w:pPr>
              <w:adjustRightInd w:val="0"/>
              <w:snapToGrid w:val="0"/>
              <w:spacing w:line="360" w:lineRule="auto"/>
              <w:ind w:firstLine="420" w:firstLineChars="200"/>
              <w:rPr>
                <w:color w:val="auto"/>
                <w:szCs w:val="21"/>
              </w:rPr>
            </w:pPr>
          </w:p>
          <w:p w14:paraId="087A514C">
            <w:pPr>
              <w:adjustRightInd w:val="0"/>
              <w:snapToGrid w:val="0"/>
              <w:spacing w:line="360" w:lineRule="auto"/>
              <w:ind w:firstLine="420" w:firstLineChars="200"/>
              <w:rPr>
                <w:color w:val="auto"/>
                <w:szCs w:val="21"/>
              </w:rPr>
            </w:pPr>
          </w:p>
          <w:p w14:paraId="08E4F944">
            <w:pPr>
              <w:pStyle w:val="6"/>
              <w:rPr>
                <w:color w:val="auto"/>
                <w:szCs w:val="21"/>
              </w:rPr>
            </w:pPr>
          </w:p>
          <w:p w14:paraId="75D8A9D3">
            <w:pPr>
              <w:rPr>
                <w:color w:val="auto"/>
                <w:szCs w:val="21"/>
              </w:rPr>
            </w:pPr>
          </w:p>
          <w:p w14:paraId="38E93EBA">
            <w:pPr>
              <w:pStyle w:val="6"/>
              <w:rPr>
                <w:color w:val="auto"/>
                <w:szCs w:val="21"/>
              </w:rPr>
            </w:pPr>
          </w:p>
          <w:p w14:paraId="20631A1E">
            <w:pPr>
              <w:rPr>
                <w:color w:val="auto"/>
                <w:szCs w:val="21"/>
              </w:rPr>
            </w:pPr>
          </w:p>
          <w:p w14:paraId="48BD0E1F">
            <w:pPr>
              <w:adjustRightInd w:val="0"/>
              <w:snapToGrid w:val="0"/>
              <w:spacing w:line="360" w:lineRule="auto"/>
              <w:rPr>
                <w:color w:val="auto"/>
                <w:kern w:val="0"/>
                <w:szCs w:val="21"/>
              </w:rPr>
            </w:pPr>
          </w:p>
        </w:tc>
      </w:tr>
    </w:tbl>
    <w:p w14:paraId="04571EA5">
      <w:pPr>
        <w:pStyle w:val="25"/>
        <w:adjustRightInd w:val="0"/>
        <w:snapToGrid w:val="0"/>
        <w:spacing w:before="0" w:beforeAutospacing="0" w:after="0" w:afterAutospacing="0"/>
        <w:outlineLvl w:val="0"/>
        <w:rPr>
          <w:rFonts w:ascii="Times New Roman" w:hAnsi="Times New Roman"/>
          <w:snapToGrid w:val="0"/>
          <w:color w:val="auto"/>
          <w:sz w:val="36"/>
          <w:szCs w:val="36"/>
        </w:rPr>
        <w:sectPr>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p>
    <w:tbl>
      <w:tblPr>
        <w:tblStyle w:val="28"/>
        <w:tblW w:w="895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2"/>
        <w:gridCol w:w="8480"/>
      </w:tblGrid>
      <w:tr w14:paraId="3E37B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2" w:type="dxa"/>
            <w:noWrap w:val="0"/>
            <w:tcMar>
              <w:top w:w="0" w:type="dxa"/>
              <w:left w:w="0" w:type="dxa"/>
              <w:bottom w:w="0" w:type="dxa"/>
              <w:right w:w="0" w:type="dxa"/>
            </w:tcMar>
            <w:vAlign w:val="center"/>
          </w:tcPr>
          <w:p w14:paraId="2651990B">
            <w:pPr>
              <w:pStyle w:val="25"/>
              <w:spacing w:before="120" w:beforeLines="50" w:beforeAutospacing="0" w:after="120" w:afterLines="50" w:afterAutospacing="0"/>
              <w:jc w:val="center"/>
              <w:outlineLvl w:val="0"/>
              <w:rPr>
                <w:rFonts w:ascii="Times New Roman" w:hAnsi="Times New Roman"/>
                <w:snapToGrid w:val="0"/>
                <w:color w:val="auto"/>
                <w:sz w:val="36"/>
                <w:szCs w:val="36"/>
              </w:rPr>
            </w:pPr>
            <w:bookmarkStart w:id="8" w:name="_Toc29883"/>
            <w:bookmarkStart w:id="9" w:name="_Toc12279"/>
            <w:bookmarkStart w:id="10" w:name="_Toc4138"/>
            <w:bookmarkStart w:id="11" w:name="_Toc3477"/>
            <w:bookmarkStart w:id="12" w:name="_Toc1602"/>
            <w:r>
              <w:rPr>
                <w:rFonts w:ascii="Times New Roman" w:hAnsi="Times New Roman"/>
                <w:color w:val="auto"/>
                <w:sz w:val="21"/>
                <w:szCs w:val="21"/>
              </w:rPr>
              <w:t>总量控制指标</w:t>
            </w:r>
            <w:bookmarkEnd w:id="8"/>
            <w:bookmarkEnd w:id="9"/>
            <w:bookmarkEnd w:id="10"/>
            <w:bookmarkEnd w:id="11"/>
            <w:bookmarkEnd w:id="12"/>
          </w:p>
        </w:tc>
        <w:tc>
          <w:tcPr>
            <w:tcW w:w="8480" w:type="dxa"/>
            <w:noWrap w:val="0"/>
            <w:vAlign w:val="top"/>
          </w:tcPr>
          <w:p w14:paraId="7367A394">
            <w:pPr>
              <w:spacing w:before="120" w:beforeLines="50" w:line="360" w:lineRule="auto"/>
              <w:ind w:firstLine="422" w:firstLineChars="200"/>
              <w:rPr>
                <w:b/>
                <w:bCs/>
                <w:color w:val="auto"/>
                <w:szCs w:val="21"/>
              </w:rPr>
            </w:pPr>
            <w:r>
              <w:rPr>
                <w:rFonts w:hint="eastAsia"/>
                <w:b/>
                <w:bCs/>
                <w:color w:val="auto"/>
                <w:szCs w:val="21"/>
              </w:rPr>
              <w:t>一</w:t>
            </w:r>
            <w:r>
              <w:rPr>
                <w:b/>
                <w:bCs/>
                <w:color w:val="auto"/>
                <w:szCs w:val="21"/>
              </w:rPr>
              <w:t>、项目污染物总量排放情况</w:t>
            </w:r>
          </w:p>
          <w:p w14:paraId="6D7B3532">
            <w:pPr>
              <w:spacing w:line="360" w:lineRule="auto"/>
              <w:ind w:firstLine="420" w:firstLineChars="200"/>
              <w:rPr>
                <w:color w:val="auto"/>
                <w:szCs w:val="21"/>
              </w:rPr>
            </w:pPr>
            <w:r>
              <w:rPr>
                <w:rFonts w:hint="eastAsia"/>
                <w:color w:val="auto"/>
                <w:szCs w:val="21"/>
              </w:rPr>
              <w:t>根据</w:t>
            </w:r>
            <w:r>
              <w:rPr>
                <w:color w:val="auto"/>
                <w:szCs w:val="21"/>
              </w:rPr>
              <w:t>项目排污特征，确定总量控制因子为：</w:t>
            </w:r>
          </w:p>
          <w:p w14:paraId="735CF684">
            <w:pPr>
              <w:spacing w:line="360" w:lineRule="auto"/>
              <w:ind w:firstLine="420" w:firstLineChars="200"/>
              <w:rPr>
                <w:color w:val="auto"/>
                <w:szCs w:val="21"/>
              </w:rPr>
            </w:pPr>
            <w:r>
              <w:rPr>
                <w:rFonts w:hint="eastAsia"/>
                <w:color w:val="auto"/>
                <w:szCs w:val="21"/>
              </w:rPr>
              <w:t>废气：总量控制因子：</w:t>
            </w:r>
            <w:r>
              <w:rPr>
                <w:rFonts w:hint="eastAsia"/>
                <w:color w:val="auto"/>
                <w:szCs w:val="21"/>
                <w:lang w:val="en-US" w:eastAsia="zh-CN"/>
              </w:rPr>
              <w:t>非甲烷总烃、</w:t>
            </w:r>
            <w:r>
              <w:rPr>
                <w:rFonts w:hint="eastAsia"/>
                <w:color w:val="auto"/>
                <w:szCs w:val="21"/>
              </w:rPr>
              <w:t>颗粒物；</w:t>
            </w:r>
          </w:p>
          <w:p w14:paraId="038D5E69">
            <w:pPr>
              <w:spacing w:line="360" w:lineRule="auto"/>
              <w:ind w:firstLine="420" w:firstLineChars="200"/>
              <w:rPr>
                <w:color w:val="auto"/>
                <w:szCs w:val="21"/>
              </w:rPr>
            </w:pPr>
            <w:r>
              <w:rPr>
                <w:color w:val="auto"/>
                <w:szCs w:val="21"/>
              </w:rPr>
              <w:t>废水：总量控制因子：COD、NH</w:t>
            </w:r>
            <w:r>
              <w:rPr>
                <w:color w:val="auto"/>
                <w:szCs w:val="21"/>
                <w:vertAlign w:val="subscript"/>
              </w:rPr>
              <w:t>3</w:t>
            </w:r>
            <w:r>
              <w:rPr>
                <w:color w:val="auto"/>
                <w:szCs w:val="21"/>
              </w:rPr>
              <w:t>-N、TP、TN；特征考核因子：SS；</w:t>
            </w:r>
          </w:p>
          <w:p w14:paraId="35E8D365">
            <w:pPr>
              <w:spacing w:line="360" w:lineRule="auto"/>
              <w:ind w:firstLine="420" w:firstLineChars="200"/>
              <w:rPr>
                <w:color w:val="auto"/>
                <w:szCs w:val="21"/>
              </w:rPr>
            </w:pPr>
            <w:r>
              <w:rPr>
                <w:color w:val="auto"/>
                <w:szCs w:val="21"/>
              </w:rPr>
              <w:t>固体废物：工业固体废物排放量。</w:t>
            </w:r>
          </w:p>
          <w:p w14:paraId="6180709B">
            <w:pPr>
              <w:spacing w:line="360" w:lineRule="auto"/>
              <w:ind w:firstLine="422" w:firstLineChars="200"/>
              <w:rPr>
                <w:b/>
                <w:bCs/>
                <w:color w:val="auto"/>
                <w:szCs w:val="21"/>
              </w:rPr>
            </w:pPr>
            <w:r>
              <w:rPr>
                <w:rFonts w:hint="eastAsia"/>
                <w:b/>
                <w:bCs/>
                <w:color w:val="auto"/>
                <w:szCs w:val="21"/>
              </w:rPr>
              <w:t>二</w:t>
            </w:r>
            <w:r>
              <w:rPr>
                <w:b/>
                <w:bCs/>
                <w:color w:val="auto"/>
                <w:szCs w:val="21"/>
              </w:rPr>
              <w:t>、污染物总量平衡方案</w:t>
            </w:r>
          </w:p>
          <w:p w14:paraId="32CC1D19">
            <w:pPr>
              <w:snapToGrid w:val="0"/>
              <w:ind w:firstLine="420" w:firstLineChars="200"/>
              <w:jc w:val="left"/>
              <w:rPr>
                <w:rFonts w:hint="eastAsia"/>
                <w:b/>
                <w:bCs/>
                <w:color w:val="auto"/>
                <w:kern w:val="0"/>
                <w:szCs w:val="21"/>
              </w:rPr>
            </w:pPr>
            <w:r>
              <w:rPr>
                <w:color w:val="auto"/>
                <w:szCs w:val="21"/>
              </w:rPr>
              <w:t>本项目新增污染物排放量总量详见下表</w:t>
            </w:r>
            <w:r>
              <w:rPr>
                <w:rFonts w:hint="eastAsia"/>
                <w:color w:val="auto"/>
                <w:szCs w:val="21"/>
              </w:rPr>
              <w:t>。</w:t>
            </w:r>
          </w:p>
          <w:p w14:paraId="61F9A18D">
            <w:pPr>
              <w:snapToGrid w:val="0"/>
              <w:spacing w:before="120" w:beforeLines="50"/>
              <w:jc w:val="center"/>
              <w:rPr>
                <w:b/>
                <w:bCs/>
                <w:color w:val="auto"/>
                <w:kern w:val="0"/>
                <w:szCs w:val="21"/>
              </w:rPr>
            </w:pPr>
            <w:r>
              <w:rPr>
                <w:b/>
                <w:bCs/>
                <w:color w:val="auto"/>
                <w:kern w:val="0"/>
                <w:szCs w:val="21"/>
              </w:rPr>
              <w:t>表3-</w:t>
            </w:r>
            <w:r>
              <w:rPr>
                <w:rFonts w:hint="eastAsia"/>
                <w:b/>
                <w:bCs/>
                <w:color w:val="auto"/>
                <w:kern w:val="0"/>
                <w:szCs w:val="21"/>
              </w:rPr>
              <w:t>1</w:t>
            </w:r>
            <w:r>
              <w:rPr>
                <w:rFonts w:hint="eastAsia"/>
                <w:b/>
                <w:bCs/>
                <w:color w:val="auto"/>
                <w:kern w:val="0"/>
                <w:szCs w:val="21"/>
                <w:lang w:val="en-US" w:eastAsia="zh-CN"/>
              </w:rPr>
              <w:t>4</w:t>
            </w:r>
            <w:r>
              <w:rPr>
                <w:b/>
                <w:bCs/>
                <w:color w:val="auto"/>
                <w:kern w:val="0"/>
                <w:szCs w:val="21"/>
              </w:rPr>
              <w:t xml:space="preserve"> 污染物排放总量控制建议指标  单位：t/a</w:t>
            </w:r>
          </w:p>
          <w:tbl>
            <w:tblPr>
              <w:tblStyle w:val="28"/>
              <w:tblW w:w="492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19"/>
              <w:gridCol w:w="485"/>
              <w:gridCol w:w="687"/>
              <w:gridCol w:w="671"/>
              <w:gridCol w:w="647"/>
              <w:gridCol w:w="639"/>
              <w:gridCol w:w="627"/>
              <w:gridCol w:w="1000"/>
              <w:gridCol w:w="713"/>
              <w:gridCol w:w="660"/>
              <w:gridCol w:w="893"/>
              <w:gridCol w:w="701"/>
            </w:tblGrid>
            <w:tr w14:paraId="3AE6E2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restart"/>
                  <w:noWrap w:val="0"/>
                  <w:tcMar>
                    <w:top w:w="0" w:type="dxa"/>
                    <w:left w:w="0" w:type="dxa"/>
                    <w:bottom w:w="0" w:type="dxa"/>
                    <w:right w:w="0" w:type="dxa"/>
                  </w:tcMar>
                  <w:vAlign w:val="center"/>
                </w:tcPr>
                <w:p w14:paraId="28BDA176">
                  <w:pPr>
                    <w:jc w:val="center"/>
                    <w:rPr>
                      <w:b/>
                      <w:color w:val="auto"/>
                      <w:sz w:val="21"/>
                      <w:szCs w:val="21"/>
                    </w:rPr>
                  </w:pPr>
                  <w:r>
                    <w:rPr>
                      <w:b/>
                      <w:color w:val="auto"/>
                      <w:sz w:val="21"/>
                      <w:szCs w:val="21"/>
                    </w:rPr>
                    <w:t>种类</w:t>
                  </w:r>
                </w:p>
              </w:tc>
              <w:tc>
                <w:tcPr>
                  <w:tcW w:w="719" w:type="pct"/>
                  <w:gridSpan w:val="2"/>
                  <w:vMerge w:val="restart"/>
                  <w:noWrap w:val="0"/>
                  <w:tcMar>
                    <w:top w:w="0" w:type="dxa"/>
                    <w:left w:w="0" w:type="dxa"/>
                    <w:bottom w:w="0" w:type="dxa"/>
                    <w:right w:w="0" w:type="dxa"/>
                  </w:tcMar>
                  <w:vAlign w:val="center"/>
                </w:tcPr>
                <w:p w14:paraId="5D878460">
                  <w:pPr>
                    <w:jc w:val="center"/>
                    <w:rPr>
                      <w:b/>
                      <w:color w:val="auto"/>
                      <w:sz w:val="21"/>
                      <w:szCs w:val="21"/>
                    </w:rPr>
                  </w:pPr>
                  <w:r>
                    <w:rPr>
                      <w:b/>
                      <w:color w:val="auto"/>
                      <w:sz w:val="21"/>
                      <w:szCs w:val="21"/>
                    </w:rPr>
                    <w:t>污染物名称</w:t>
                  </w:r>
                </w:p>
              </w:tc>
              <w:tc>
                <w:tcPr>
                  <w:tcW w:w="412" w:type="pct"/>
                  <w:vMerge w:val="restart"/>
                  <w:noWrap w:val="0"/>
                  <w:tcMar>
                    <w:top w:w="0" w:type="dxa"/>
                    <w:left w:w="0" w:type="dxa"/>
                    <w:bottom w:w="0" w:type="dxa"/>
                    <w:right w:w="0" w:type="dxa"/>
                  </w:tcMar>
                  <w:vAlign w:val="center"/>
                </w:tcPr>
                <w:p w14:paraId="3B45E576">
                  <w:pPr>
                    <w:jc w:val="center"/>
                    <w:rPr>
                      <w:b/>
                      <w:color w:val="auto"/>
                      <w:sz w:val="21"/>
                      <w:szCs w:val="21"/>
                    </w:rPr>
                  </w:pPr>
                  <w:r>
                    <w:rPr>
                      <w:rFonts w:hint="eastAsia"/>
                      <w:b/>
                      <w:color w:val="auto"/>
                      <w:sz w:val="21"/>
                      <w:szCs w:val="21"/>
                    </w:rPr>
                    <w:t>现有项目环评批复量</w:t>
                  </w:r>
                </w:p>
              </w:tc>
              <w:tc>
                <w:tcPr>
                  <w:tcW w:w="1174" w:type="pct"/>
                  <w:gridSpan w:val="3"/>
                  <w:noWrap w:val="0"/>
                  <w:tcMar>
                    <w:top w:w="0" w:type="dxa"/>
                    <w:left w:w="0" w:type="dxa"/>
                    <w:bottom w:w="0" w:type="dxa"/>
                    <w:right w:w="0" w:type="dxa"/>
                  </w:tcMar>
                  <w:vAlign w:val="center"/>
                </w:tcPr>
                <w:p w14:paraId="351F03F8">
                  <w:pPr>
                    <w:jc w:val="center"/>
                    <w:rPr>
                      <w:b/>
                      <w:color w:val="auto"/>
                      <w:sz w:val="21"/>
                      <w:szCs w:val="21"/>
                    </w:rPr>
                  </w:pPr>
                  <w:r>
                    <w:rPr>
                      <w:b/>
                      <w:color w:val="auto"/>
                      <w:sz w:val="21"/>
                      <w:szCs w:val="21"/>
                    </w:rPr>
                    <w:t>本项目</w:t>
                  </w:r>
                </w:p>
              </w:tc>
              <w:tc>
                <w:tcPr>
                  <w:tcW w:w="2005" w:type="pct"/>
                  <w:gridSpan w:val="4"/>
                  <w:noWrap w:val="0"/>
                  <w:tcMar>
                    <w:top w:w="0" w:type="dxa"/>
                    <w:left w:w="0" w:type="dxa"/>
                    <w:bottom w:w="0" w:type="dxa"/>
                    <w:right w:w="0" w:type="dxa"/>
                  </w:tcMar>
                  <w:vAlign w:val="center"/>
                </w:tcPr>
                <w:p w14:paraId="105C510B">
                  <w:pPr>
                    <w:jc w:val="center"/>
                    <w:rPr>
                      <w:b/>
                      <w:color w:val="auto"/>
                      <w:sz w:val="21"/>
                      <w:szCs w:val="21"/>
                    </w:rPr>
                  </w:pPr>
                  <w:r>
                    <w:rPr>
                      <w:b/>
                      <w:color w:val="auto"/>
                      <w:sz w:val="21"/>
                      <w:szCs w:val="21"/>
                    </w:rPr>
                    <w:t>全厂</w:t>
                  </w:r>
                </w:p>
              </w:tc>
              <w:tc>
                <w:tcPr>
                  <w:tcW w:w="430" w:type="pct"/>
                  <w:vMerge w:val="restart"/>
                  <w:noWrap w:val="0"/>
                  <w:tcMar>
                    <w:top w:w="0" w:type="dxa"/>
                    <w:left w:w="0" w:type="dxa"/>
                    <w:bottom w:w="0" w:type="dxa"/>
                    <w:right w:w="0" w:type="dxa"/>
                  </w:tcMar>
                  <w:vAlign w:val="center"/>
                </w:tcPr>
                <w:p w14:paraId="15EAE627">
                  <w:pPr>
                    <w:jc w:val="center"/>
                    <w:rPr>
                      <w:b/>
                      <w:color w:val="auto"/>
                      <w:sz w:val="21"/>
                      <w:szCs w:val="21"/>
                    </w:rPr>
                  </w:pPr>
                  <w:r>
                    <w:rPr>
                      <w:b/>
                      <w:color w:val="auto"/>
                      <w:sz w:val="21"/>
                      <w:szCs w:val="21"/>
                    </w:rPr>
                    <w:t>本项目申请量</w:t>
                  </w:r>
                </w:p>
              </w:tc>
            </w:tr>
            <w:tr w14:paraId="7C532C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7" w:type="pct"/>
                  <w:vMerge w:val="continue"/>
                  <w:noWrap w:val="0"/>
                  <w:tcMar>
                    <w:top w:w="0" w:type="dxa"/>
                    <w:left w:w="0" w:type="dxa"/>
                    <w:bottom w:w="0" w:type="dxa"/>
                    <w:right w:w="0" w:type="dxa"/>
                  </w:tcMar>
                  <w:vAlign w:val="center"/>
                </w:tcPr>
                <w:p w14:paraId="7052689C">
                  <w:pPr>
                    <w:jc w:val="center"/>
                    <w:rPr>
                      <w:color w:val="auto"/>
                      <w:sz w:val="21"/>
                      <w:szCs w:val="21"/>
                    </w:rPr>
                  </w:pPr>
                </w:p>
              </w:tc>
              <w:tc>
                <w:tcPr>
                  <w:tcW w:w="719" w:type="pct"/>
                  <w:gridSpan w:val="2"/>
                  <w:vMerge w:val="continue"/>
                  <w:noWrap w:val="0"/>
                  <w:tcMar>
                    <w:top w:w="0" w:type="dxa"/>
                    <w:left w:w="0" w:type="dxa"/>
                    <w:bottom w:w="0" w:type="dxa"/>
                    <w:right w:w="0" w:type="dxa"/>
                  </w:tcMar>
                  <w:vAlign w:val="center"/>
                </w:tcPr>
                <w:p w14:paraId="4D57A3DB">
                  <w:pPr>
                    <w:jc w:val="center"/>
                    <w:rPr>
                      <w:b/>
                      <w:color w:val="auto"/>
                      <w:sz w:val="21"/>
                      <w:szCs w:val="21"/>
                    </w:rPr>
                  </w:pPr>
                </w:p>
              </w:tc>
              <w:tc>
                <w:tcPr>
                  <w:tcW w:w="412" w:type="pct"/>
                  <w:vMerge w:val="continue"/>
                  <w:noWrap w:val="0"/>
                  <w:tcMar>
                    <w:top w:w="0" w:type="dxa"/>
                    <w:left w:w="0" w:type="dxa"/>
                    <w:bottom w:w="0" w:type="dxa"/>
                    <w:right w:w="0" w:type="dxa"/>
                  </w:tcMar>
                  <w:vAlign w:val="center"/>
                </w:tcPr>
                <w:p w14:paraId="14F1D5B9">
                  <w:pPr>
                    <w:jc w:val="center"/>
                    <w:rPr>
                      <w:b/>
                      <w:color w:val="auto"/>
                      <w:sz w:val="21"/>
                      <w:szCs w:val="21"/>
                    </w:rPr>
                  </w:pPr>
                </w:p>
              </w:tc>
              <w:tc>
                <w:tcPr>
                  <w:tcW w:w="397" w:type="pct"/>
                  <w:tcBorders>
                    <w:left w:val="single" w:color="000000" w:sz="6" w:space="0"/>
                  </w:tcBorders>
                  <w:noWrap w:val="0"/>
                  <w:tcMar>
                    <w:top w:w="0" w:type="dxa"/>
                    <w:left w:w="0" w:type="dxa"/>
                    <w:bottom w:w="0" w:type="dxa"/>
                    <w:right w:w="0" w:type="dxa"/>
                  </w:tcMar>
                  <w:vAlign w:val="center"/>
                </w:tcPr>
                <w:p w14:paraId="393105FA">
                  <w:pPr>
                    <w:jc w:val="center"/>
                    <w:rPr>
                      <w:b/>
                      <w:color w:val="auto"/>
                      <w:sz w:val="21"/>
                      <w:szCs w:val="21"/>
                    </w:rPr>
                  </w:pPr>
                  <w:r>
                    <w:rPr>
                      <w:b/>
                      <w:color w:val="auto"/>
                      <w:sz w:val="21"/>
                      <w:szCs w:val="21"/>
                    </w:rPr>
                    <w:t>产生量</w:t>
                  </w:r>
                </w:p>
              </w:tc>
              <w:tc>
                <w:tcPr>
                  <w:tcW w:w="392" w:type="pct"/>
                  <w:noWrap w:val="0"/>
                  <w:tcMar>
                    <w:top w:w="0" w:type="dxa"/>
                    <w:left w:w="0" w:type="dxa"/>
                    <w:bottom w:w="0" w:type="dxa"/>
                    <w:right w:w="0" w:type="dxa"/>
                  </w:tcMar>
                  <w:vAlign w:val="center"/>
                </w:tcPr>
                <w:p w14:paraId="6FD0C398">
                  <w:pPr>
                    <w:jc w:val="center"/>
                    <w:rPr>
                      <w:b/>
                      <w:color w:val="auto"/>
                      <w:sz w:val="21"/>
                      <w:szCs w:val="21"/>
                    </w:rPr>
                  </w:pPr>
                  <w:r>
                    <w:rPr>
                      <w:b/>
                      <w:color w:val="auto"/>
                      <w:sz w:val="21"/>
                      <w:szCs w:val="21"/>
                    </w:rPr>
                    <w:t>削减量</w:t>
                  </w:r>
                </w:p>
              </w:tc>
              <w:tc>
                <w:tcPr>
                  <w:tcW w:w="385" w:type="pct"/>
                  <w:noWrap w:val="0"/>
                  <w:tcMar>
                    <w:top w:w="0" w:type="dxa"/>
                    <w:left w:w="0" w:type="dxa"/>
                    <w:bottom w:w="0" w:type="dxa"/>
                    <w:right w:w="0" w:type="dxa"/>
                  </w:tcMar>
                  <w:vAlign w:val="center"/>
                </w:tcPr>
                <w:p w14:paraId="06CF4B5A">
                  <w:pPr>
                    <w:jc w:val="center"/>
                    <w:rPr>
                      <w:b/>
                      <w:color w:val="auto"/>
                      <w:sz w:val="21"/>
                      <w:szCs w:val="21"/>
                    </w:rPr>
                  </w:pPr>
                  <w:r>
                    <w:rPr>
                      <w:b/>
                      <w:color w:val="auto"/>
                      <w:sz w:val="21"/>
                      <w:szCs w:val="21"/>
                    </w:rPr>
                    <w:t>排放量</w:t>
                  </w:r>
                </w:p>
              </w:tc>
              <w:tc>
                <w:tcPr>
                  <w:tcW w:w="614" w:type="pct"/>
                  <w:noWrap w:val="0"/>
                  <w:tcMar>
                    <w:top w:w="0" w:type="dxa"/>
                    <w:left w:w="0" w:type="dxa"/>
                    <w:bottom w:w="0" w:type="dxa"/>
                    <w:right w:w="0" w:type="dxa"/>
                  </w:tcMar>
                  <w:vAlign w:val="center"/>
                </w:tcPr>
                <w:p w14:paraId="3AD1BB48">
                  <w:pPr>
                    <w:jc w:val="center"/>
                    <w:rPr>
                      <w:b/>
                      <w:color w:val="auto"/>
                      <w:sz w:val="21"/>
                      <w:szCs w:val="21"/>
                    </w:rPr>
                  </w:pPr>
                  <w:r>
                    <w:rPr>
                      <w:b/>
                      <w:color w:val="auto"/>
                      <w:sz w:val="21"/>
                      <w:szCs w:val="21"/>
                    </w:rPr>
                    <w:t>“以新带老”削减量</w:t>
                  </w:r>
                </w:p>
              </w:tc>
              <w:tc>
                <w:tcPr>
                  <w:tcW w:w="437" w:type="pct"/>
                  <w:noWrap w:val="0"/>
                  <w:tcMar>
                    <w:top w:w="0" w:type="dxa"/>
                    <w:left w:w="0" w:type="dxa"/>
                    <w:bottom w:w="0" w:type="dxa"/>
                    <w:right w:w="0" w:type="dxa"/>
                  </w:tcMar>
                  <w:vAlign w:val="center"/>
                </w:tcPr>
                <w:p w14:paraId="27A1AD15">
                  <w:pPr>
                    <w:jc w:val="center"/>
                    <w:rPr>
                      <w:b/>
                      <w:color w:val="auto"/>
                      <w:sz w:val="21"/>
                      <w:szCs w:val="21"/>
                    </w:rPr>
                  </w:pPr>
                  <w:r>
                    <w:rPr>
                      <w:b/>
                      <w:color w:val="auto"/>
                      <w:sz w:val="21"/>
                      <w:szCs w:val="21"/>
                    </w:rPr>
                    <w:t>全厂排放总量</w:t>
                  </w:r>
                </w:p>
              </w:tc>
              <w:tc>
                <w:tcPr>
                  <w:tcW w:w="405" w:type="pct"/>
                  <w:noWrap w:val="0"/>
                  <w:tcMar>
                    <w:top w:w="0" w:type="dxa"/>
                    <w:left w:w="0" w:type="dxa"/>
                    <w:bottom w:w="0" w:type="dxa"/>
                    <w:right w:w="0" w:type="dxa"/>
                  </w:tcMar>
                  <w:vAlign w:val="center"/>
                </w:tcPr>
                <w:p w14:paraId="4005D96B">
                  <w:pPr>
                    <w:jc w:val="center"/>
                    <w:rPr>
                      <w:b/>
                      <w:color w:val="auto"/>
                      <w:sz w:val="21"/>
                      <w:szCs w:val="21"/>
                    </w:rPr>
                  </w:pPr>
                  <w:r>
                    <w:rPr>
                      <w:b/>
                      <w:color w:val="auto"/>
                      <w:sz w:val="21"/>
                      <w:szCs w:val="21"/>
                    </w:rPr>
                    <w:t>排放增减量</w:t>
                  </w:r>
                </w:p>
              </w:tc>
              <w:tc>
                <w:tcPr>
                  <w:tcW w:w="548" w:type="pct"/>
                  <w:noWrap w:val="0"/>
                  <w:tcMar>
                    <w:top w:w="0" w:type="dxa"/>
                    <w:left w:w="0" w:type="dxa"/>
                    <w:bottom w:w="0" w:type="dxa"/>
                    <w:right w:w="0" w:type="dxa"/>
                  </w:tcMar>
                  <w:vAlign w:val="center"/>
                </w:tcPr>
                <w:p w14:paraId="7E6480AC">
                  <w:pPr>
                    <w:jc w:val="center"/>
                    <w:rPr>
                      <w:b/>
                      <w:color w:val="auto"/>
                      <w:sz w:val="21"/>
                      <w:szCs w:val="21"/>
                    </w:rPr>
                  </w:pPr>
                  <w:r>
                    <w:rPr>
                      <w:b/>
                      <w:color w:val="auto"/>
                      <w:sz w:val="21"/>
                      <w:szCs w:val="21"/>
                    </w:rPr>
                    <w:t>排入外环境总量</w:t>
                  </w:r>
                </w:p>
              </w:tc>
              <w:tc>
                <w:tcPr>
                  <w:tcW w:w="430" w:type="pct"/>
                  <w:vMerge w:val="continue"/>
                  <w:noWrap w:val="0"/>
                  <w:tcMar>
                    <w:top w:w="0" w:type="dxa"/>
                    <w:left w:w="0" w:type="dxa"/>
                    <w:bottom w:w="0" w:type="dxa"/>
                    <w:right w:w="0" w:type="dxa"/>
                  </w:tcMar>
                  <w:vAlign w:val="center"/>
                </w:tcPr>
                <w:p w14:paraId="28EA836F">
                  <w:pPr>
                    <w:jc w:val="center"/>
                    <w:rPr>
                      <w:b/>
                      <w:color w:val="auto"/>
                      <w:sz w:val="21"/>
                      <w:szCs w:val="21"/>
                    </w:rPr>
                  </w:pPr>
                </w:p>
              </w:tc>
            </w:tr>
            <w:tr w14:paraId="74E649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restart"/>
                  <w:shd w:val="clear" w:color="auto" w:fill="auto"/>
                  <w:noWrap w:val="0"/>
                  <w:tcMar>
                    <w:top w:w="0" w:type="dxa"/>
                    <w:left w:w="0" w:type="dxa"/>
                    <w:bottom w:w="0" w:type="dxa"/>
                    <w:right w:w="0" w:type="dxa"/>
                  </w:tcMar>
                  <w:vAlign w:val="center"/>
                </w:tcPr>
                <w:p w14:paraId="70A006B0">
                  <w:pPr>
                    <w:jc w:val="center"/>
                    <w:rPr>
                      <w:rFonts w:hint="default"/>
                      <w:color w:val="auto"/>
                      <w:sz w:val="21"/>
                      <w:szCs w:val="21"/>
                      <w:lang w:val="en-US" w:eastAsia="zh-CN"/>
                    </w:rPr>
                  </w:pPr>
                  <w:r>
                    <w:rPr>
                      <w:rFonts w:hint="eastAsia"/>
                      <w:color w:val="auto"/>
                      <w:sz w:val="21"/>
                      <w:szCs w:val="21"/>
                      <w:lang w:val="en-US" w:eastAsia="zh-CN"/>
                    </w:rPr>
                    <w:t>废气</w:t>
                  </w:r>
                </w:p>
              </w:tc>
              <w:tc>
                <w:tcPr>
                  <w:tcW w:w="297" w:type="pct"/>
                  <w:vMerge w:val="restart"/>
                  <w:shd w:val="clear" w:color="auto" w:fill="auto"/>
                  <w:noWrap w:val="0"/>
                  <w:tcMar>
                    <w:top w:w="0" w:type="dxa"/>
                    <w:left w:w="0" w:type="dxa"/>
                    <w:bottom w:w="0" w:type="dxa"/>
                    <w:right w:w="0" w:type="dxa"/>
                  </w:tcMar>
                  <w:vAlign w:val="center"/>
                </w:tcPr>
                <w:p w14:paraId="4F330607">
                  <w:pPr>
                    <w:pStyle w:val="49"/>
                    <w:ind w:firstLine="0" w:firstLineChars="0"/>
                    <w:jc w:val="center"/>
                    <w:rPr>
                      <w:rFonts w:hint="eastAsia" w:ascii="Times New Roman" w:hAnsi="Times New Roman" w:eastAsia="宋体"/>
                      <w:b w:val="0"/>
                      <w:bCs/>
                      <w:snapToGrid w:val="0"/>
                      <w:color w:val="auto"/>
                      <w:kern w:val="21"/>
                      <w:sz w:val="21"/>
                      <w:szCs w:val="21"/>
                      <w:lang w:val="en-US" w:eastAsia="zh-CN"/>
                    </w:rPr>
                  </w:pPr>
                  <w:r>
                    <w:rPr>
                      <w:rFonts w:hint="eastAsia" w:ascii="Times New Roman" w:hAnsi="Times New Roman" w:eastAsia="宋体"/>
                      <w:b w:val="0"/>
                      <w:bCs/>
                      <w:snapToGrid w:val="0"/>
                      <w:color w:val="auto"/>
                      <w:kern w:val="21"/>
                      <w:sz w:val="21"/>
                      <w:szCs w:val="21"/>
                      <w:lang w:val="en-US" w:eastAsia="zh-CN"/>
                    </w:rPr>
                    <w:t>非甲烷总烃</w:t>
                  </w:r>
                </w:p>
              </w:tc>
              <w:tc>
                <w:tcPr>
                  <w:tcW w:w="421" w:type="pct"/>
                  <w:shd w:val="clear" w:color="auto" w:fill="auto"/>
                  <w:noWrap w:val="0"/>
                  <w:tcMar>
                    <w:top w:w="0" w:type="dxa"/>
                    <w:left w:w="0" w:type="dxa"/>
                    <w:bottom w:w="0" w:type="dxa"/>
                    <w:right w:w="0" w:type="dxa"/>
                  </w:tcMar>
                  <w:vAlign w:val="center"/>
                </w:tcPr>
                <w:p w14:paraId="5380015B">
                  <w:pPr>
                    <w:pStyle w:val="49"/>
                    <w:ind w:firstLine="0" w:firstLineChars="0"/>
                    <w:jc w:val="center"/>
                    <w:rPr>
                      <w:rFonts w:hint="default" w:ascii="Times New Roman" w:hAnsi="Times New Roman" w:eastAsia="宋体"/>
                      <w:b w:val="0"/>
                      <w:bCs/>
                      <w:snapToGrid w:val="0"/>
                      <w:color w:val="auto"/>
                      <w:kern w:val="21"/>
                      <w:sz w:val="21"/>
                      <w:szCs w:val="21"/>
                      <w:lang w:val="en-US" w:eastAsia="zh-CN"/>
                    </w:rPr>
                  </w:pPr>
                  <w:r>
                    <w:rPr>
                      <w:rFonts w:hint="eastAsia" w:ascii="Times New Roman" w:hAnsi="Times New Roman" w:eastAsia="宋体"/>
                      <w:b w:val="0"/>
                      <w:bCs/>
                      <w:snapToGrid w:val="0"/>
                      <w:color w:val="auto"/>
                      <w:kern w:val="21"/>
                      <w:sz w:val="21"/>
                      <w:szCs w:val="21"/>
                      <w:lang w:val="en-US" w:eastAsia="zh-CN"/>
                    </w:rPr>
                    <w:t>有组织</w:t>
                  </w:r>
                </w:p>
              </w:tc>
              <w:tc>
                <w:tcPr>
                  <w:tcW w:w="412" w:type="pct"/>
                  <w:shd w:val="clear" w:color="auto" w:fill="auto"/>
                  <w:noWrap w:val="0"/>
                  <w:tcMar>
                    <w:top w:w="0" w:type="dxa"/>
                    <w:left w:w="0" w:type="dxa"/>
                    <w:bottom w:w="0" w:type="dxa"/>
                    <w:right w:w="0" w:type="dxa"/>
                  </w:tcMar>
                  <w:vAlign w:val="center"/>
                </w:tcPr>
                <w:p w14:paraId="2425E39E">
                  <w:pPr>
                    <w:jc w:val="center"/>
                    <w:rPr>
                      <w:rFonts w:hint="default" w:ascii="Times New Roman" w:hAnsi="Times New Roman" w:eastAsia="宋体" w:cs="Times New Roman"/>
                      <w:i w:val="0"/>
                      <w:iCs w:val="0"/>
                      <w:color w:val="auto"/>
                      <w:kern w:val="0"/>
                      <w:sz w:val="21"/>
                      <w:szCs w:val="21"/>
                      <w:u w:val="none"/>
                      <w:lang w:val="en-US" w:eastAsia="zh-CN" w:bidi="ar"/>
                    </w:rPr>
                  </w:pPr>
                  <w:r>
                    <w:rPr>
                      <w:rFonts w:ascii="Times New Roman" w:hAnsi="Times New Roman"/>
                      <w:color w:val="auto"/>
                      <w:szCs w:val="21"/>
                    </w:rPr>
                    <w:t>0.054</w:t>
                  </w:r>
                </w:p>
              </w:tc>
              <w:tc>
                <w:tcPr>
                  <w:tcW w:w="397" w:type="pct"/>
                  <w:shd w:val="clear" w:color="auto" w:fill="auto"/>
                  <w:noWrap w:val="0"/>
                  <w:tcMar>
                    <w:top w:w="0" w:type="dxa"/>
                    <w:left w:w="0" w:type="dxa"/>
                    <w:bottom w:w="0" w:type="dxa"/>
                    <w:right w:w="0" w:type="dxa"/>
                  </w:tcMar>
                  <w:vAlign w:val="center"/>
                </w:tcPr>
                <w:p w14:paraId="66E4A6E7">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szCs w:val="21"/>
                      <w:lang w:val="en-US" w:eastAsia="zh-CN"/>
                    </w:rPr>
                    <w:t>0.2885</w:t>
                  </w:r>
                </w:p>
              </w:tc>
              <w:tc>
                <w:tcPr>
                  <w:tcW w:w="392" w:type="pct"/>
                  <w:shd w:val="clear" w:color="auto" w:fill="auto"/>
                  <w:noWrap w:val="0"/>
                  <w:tcMar>
                    <w:top w:w="0" w:type="dxa"/>
                    <w:left w:w="0" w:type="dxa"/>
                    <w:bottom w:w="0" w:type="dxa"/>
                    <w:right w:w="0" w:type="dxa"/>
                  </w:tcMar>
                  <w:vAlign w:val="center"/>
                </w:tcPr>
                <w:p w14:paraId="6C88A565">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0.2596</w:t>
                  </w:r>
                </w:p>
              </w:tc>
              <w:tc>
                <w:tcPr>
                  <w:tcW w:w="385" w:type="pct"/>
                  <w:shd w:val="clear" w:color="auto" w:fill="auto"/>
                  <w:noWrap w:val="0"/>
                  <w:tcMar>
                    <w:top w:w="0" w:type="dxa"/>
                    <w:left w:w="0" w:type="dxa"/>
                    <w:bottom w:w="0" w:type="dxa"/>
                    <w:right w:w="0" w:type="dxa"/>
                  </w:tcMar>
                  <w:vAlign w:val="center"/>
                </w:tcPr>
                <w:p w14:paraId="712DFA51">
                  <w:pPr>
                    <w:keepNext w:val="0"/>
                    <w:keepLines w:val="0"/>
                    <w:suppressLineNumbers w:val="0"/>
                    <w:spacing w:before="0" w:beforeAutospacing="0" w:after="0" w:afterAutospacing="0"/>
                    <w:ind w:left="0" w:leftChars="0" w:right="0" w:rightChars="0"/>
                    <w:contextualSpacing/>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color w:val="auto"/>
                      <w:szCs w:val="21"/>
                      <w:lang w:val="en-US" w:eastAsia="zh-CN"/>
                    </w:rPr>
                    <w:t>0.0289</w:t>
                  </w:r>
                </w:p>
              </w:tc>
              <w:tc>
                <w:tcPr>
                  <w:tcW w:w="614" w:type="pct"/>
                  <w:shd w:val="clear" w:color="auto" w:fill="auto"/>
                  <w:noWrap w:val="0"/>
                  <w:tcMar>
                    <w:top w:w="0" w:type="dxa"/>
                    <w:left w:w="0" w:type="dxa"/>
                    <w:bottom w:w="0" w:type="dxa"/>
                    <w:right w:w="0" w:type="dxa"/>
                  </w:tcMar>
                  <w:vAlign w:val="center"/>
                </w:tcPr>
                <w:p w14:paraId="17A0384C">
                  <w:pPr>
                    <w:jc w:val="center"/>
                    <w:rPr>
                      <w:rFonts w:hint="eastAsia" w:ascii="Times New Roman" w:hAnsi="Times New Roman" w:eastAsia="宋体" w:cs="Times New Roman"/>
                      <w:color w:val="auto"/>
                      <w:kern w:val="2"/>
                      <w:sz w:val="21"/>
                      <w:szCs w:val="21"/>
                      <w:lang w:val="en-US" w:eastAsia="zh-CN" w:bidi="ar-SA"/>
                    </w:rPr>
                  </w:pPr>
                  <w:r>
                    <w:rPr>
                      <w:rFonts w:ascii="Times New Roman" w:hAnsi="Times New Roman"/>
                      <w:color w:val="auto"/>
                      <w:szCs w:val="21"/>
                    </w:rPr>
                    <w:t>0.054</w:t>
                  </w:r>
                </w:p>
              </w:tc>
              <w:tc>
                <w:tcPr>
                  <w:tcW w:w="437" w:type="pct"/>
                  <w:shd w:val="clear" w:color="auto" w:fill="auto"/>
                  <w:noWrap w:val="0"/>
                  <w:tcMar>
                    <w:top w:w="0" w:type="dxa"/>
                    <w:left w:w="0" w:type="dxa"/>
                    <w:bottom w:w="0" w:type="dxa"/>
                    <w:right w:w="0" w:type="dxa"/>
                  </w:tcMar>
                  <w:vAlign w:val="center"/>
                </w:tcPr>
                <w:p w14:paraId="1985DC09">
                  <w:pPr>
                    <w:keepNext w:val="0"/>
                    <w:keepLines w:val="0"/>
                    <w:suppressLineNumbers w:val="0"/>
                    <w:spacing w:before="0" w:beforeAutospacing="0" w:after="0" w:afterAutospacing="0"/>
                    <w:ind w:left="0" w:leftChars="0" w:right="0" w:rightChars="0"/>
                    <w:contextualSpacing/>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color w:val="auto"/>
                      <w:szCs w:val="21"/>
                      <w:lang w:val="en-US" w:eastAsia="zh-CN"/>
                    </w:rPr>
                    <w:t>0.0289</w:t>
                  </w:r>
                </w:p>
              </w:tc>
              <w:tc>
                <w:tcPr>
                  <w:tcW w:w="405" w:type="pct"/>
                  <w:shd w:val="clear" w:color="auto" w:fill="auto"/>
                  <w:noWrap w:val="0"/>
                  <w:tcMar>
                    <w:top w:w="0" w:type="dxa"/>
                    <w:left w:w="0" w:type="dxa"/>
                    <w:bottom w:w="0" w:type="dxa"/>
                    <w:right w:w="0" w:type="dxa"/>
                  </w:tcMar>
                  <w:vAlign w:val="center"/>
                </w:tcPr>
                <w:p w14:paraId="333E851D">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-0.0251</w:t>
                  </w:r>
                </w:p>
              </w:tc>
              <w:tc>
                <w:tcPr>
                  <w:tcW w:w="548" w:type="pct"/>
                  <w:shd w:val="clear" w:color="auto" w:fill="auto"/>
                  <w:noWrap w:val="0"/>
                  <w:tcMar>
                    <w:top w:w="0" w:type="dxa"/>
                    <w:left w:w="0" w:type="dxa"/>
                    <w:bottom w:w="0" w:type="dxa"/>
                    <w:right w:w="0" w:type="dxa"/>
                  </w:tcMar>
                  <w:vAlign w:val="center"/>
                </w:tcPr>
                <w:p w14:paraId="467494C9">
                  <w:pPr>
                    <w:keepNext w:val="0"/>
                    <w:keepLines w:val="0"/>
                    <w:suppressLineNumbers w:val="0"/>
                    <w:spacing w:before="0" w:beforeAutospacing="0" w:after="0" w:afterAutospacing="0"/>
                    <w:ind w:left="0" w:leftChars="0" w:right="0" w:rightChars="0"/>
                    <w:contextualSpacing/>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color w:val="auto"/>
                      <w:szCs w:val="21"/>
                      <w:lang w:val="en-US" w:eastAsia="zh-CN"/>
                    </w:rPr>
                    <w:t>0.0289</w:t>
                  </w:r>
                </w:p>
              </w:tc>
              <w:tc>
                <w:tcPr>
                  <w:tcW w:w="430" w:type="pct"/>
                  <w:noWrap w:val="0"/>
                  <w:tcMar>
                    <w:top w:w="0" w:type="dxa"/>
                    <w:left w:w="0" w:type="dxa"/>
                    <w:bottom w:w="0" w:type="dxa"/>
                    <w:right w:w="0" w:type="dxa"/>
                  </w:tcMar>
                  <w:vAlign w:val="center"/>
                </w:tcPr>
                <w:p w14:paraId="34EF6952">
                  <w:pPr>
                    <w:keepNext w:val="0"/>
                    <w:keepLines w:val="0"/>
                    <w:widowControl/>
                    <w:suppressLineNumbers w:val="0"/>
                    <w:jc w:val="center"/>
                    <w:textAlignment w:val="center"/>
                    <w:rPr>
                      <w:rFonts w:hint="eastAsia"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w:t>
                  </w:r>
                </w:p>
              </w:tc>
            </w:tr>
            <w:tr w14:paraId="32E0A6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continue"/>
                  <w:shd w:val="clear" w:color="auto" w:fill="auto"/>
                  <w:noWrap w:val="0"/>
                  <w:tcMar>
                    <w:top w:w="0" w:type="dxa"/>
                    <w:left w:w="0" w:type="dxa"/>
                    <w:bottom w:w="0" w:type="dxa"/>
                    <w:right w:w="0" w:type="dxa"/>
                  </w:tcMar>
                  <w:vAlign w:val="center"/>
                </w:tcPr>
                <w:p w14:paraId="2AEAC8A1">
                  <w:pPr>
                    <w:jc w:val="center"/>
                    <w:rPr>
                      <w:rFonts w:hint="eastAsia"/>
                      <w:color w:val="auto"/>
                      <w:sz w:val="21"/>
                      <w:szCs w:val="21"/>
                      <w:lang w:val="en-US" w:eastAsia="zh-CN"/>
                    </w:rPr>
                  </w:pPr>
                </w:p>
              </w:tc>
              <w:tc>
                <w:tcPr>
                  <w:tcW w:w="297" w:type="pct"/>
                  <w:vMerge w:val="continue"/>
                  <w:shd w:val="clear" w:color="auto" w:fill="auto"/>
                  <w:noWrap w:val="0"/>
                  <w:tcMar>
                    <w:top w:w="0" w:type="dxa"/>
                    <w:left w:w="0" w:type="dxa"/>
                    <w:bottom w:w="0" w:type="dxa"/>
                    <w:right w:w="0" w:type="dxa"/>
                  </w:tcMar>
                  <w:vAlign w:val="center"/>
                </w:tcPr>
                <w:p w14:paraId="502BDBF2">
                  <w:pPr>
                    <w:pStyle w:val="49"/>
                    <w:ind w:firstLine="0" w:firstLineChars="0"/>
                    <w:jc w:val="center"/>
                    <w:rPr>
                      <w:rFonts w:hint="eastAsia" w:ascii="Times New Roman" w:hAnsi="Times New Roman" w:eastAsia="宋体"/>
                      <w:b w:val="0"/>
                      <w:bCs/>
                      <w:snapToGrid w:val="0"/>
                      <w:color w:val="auto"/>
                      <w:kern w:val="21"/>
                      <w:sz w:val="21"/>
                      <w:szCs w:val="21"/>
                      <w:lang w:val="en-US" w:eastAsia="zh-CN"/>
                    </w:rPr>
                  </w:pPr>
                </w:p>
              </w:tc>
              <w:tc>
                <w:tcPr>
                  <w:tcW w:w="421" w:type="pct"/>
                  <w:shd w:val="clear" w:color="auto" w:fill="auto"/>
                  <w:noWrap w:val="0"/>
                  <w:tcMar>
                    <w:top w:w="0" w:type="dxa"/>
                    <w:left w:w="0" w:type="dxa"/>
                    <w:bottom w:w="0" w:type="dxa"/>
                    <w:right w:w="0" w:type="dxa"/>
                  </w:tcMar>
                  <w:vAlign w:val="center"/>
                </w:tcPr>
                <w:p w14:paraId="7AD8F861">
                  <w:pPr>
                    <w:pStyle w:val="49"/>
                    <w:ind w:firstLine="0" w:firstLineChars="0"/>
                    <w:jc w:val="center"/>
                    <w:rPr>
                      <w:rFonts w:hint="default" w:ascii="Times New Roman" w:hAnsi="Times New Roman" w:eastAsia="宋体"/>
                      <w:b w:val="0"/>
                      <w:bCs/>
                      <w:snapToGrid w:val="0"/>
                      <w:color w:val="auto"/>
                      <w:kern w:val="21"/>
                      <w:sz w:val="21"/>
                      <w:szCs w:val="21"/>
                      <w:lang w:val="en-US" w:eastAsia="zh-CN"/>
                    </w:rPr>
                  </w:pPr>
                  <w:r>
                    <w:rPr>
                      <w:rFonts w:hint="eastAsia" w:ascii="Times New Roman" w:hAnsi="Times New Roman" w:eastAsia="宋体"/>
                      <w:b w:val="0"/>
                      <w:bCs/>
                      <w:snapToGrid w:val="0"/>
                      <w:color w:val="auto"/>
                      <w:kern w:val="21"/>
                      <w:sz w:val="21"/>
                      <w:szCs w:val="21"/>
                      <w:lang w:val="en-US" w:eastAsia="zh-CN"/>
                    </w:rPr>
                    <w:t>无组织</w:t>
                  </w:r>
                </w:p>
              </w:tc>
              <w:tc>
                <w:tcPr>
                  <w:tcW w:w="412" w:type="pct"/>
                  <w:shd w:val="clear" w:color="auto" w:fill="auto"/>
                  <w:noWrap w:val="0"/>
                  <w:tcMar>
                    <w:top w:w="0" w:type="dxa"/>
                    <w:left w:w="0" w:type="dxa"/>
                    <w:bottom w:w="0" w:type="dxa"/>
                    <w:right w:w="0" w:type="dxa"/>
                  </w:tcMar>
                  <w:vAlign w:val="center"/>
                </w:tcPr>
                <w:p w14:paraId="5775B91F">
                  <w:pPr>
                    <w:pStyle w:val="49"/>
                    <w:ind w:firstLine="0" w:firstLineChars="0"/>
                    <w:jc w:val="center"/>
                    <w:rPr>
                      <w:rFonts w:hint="eastAsia" w:ascii="Times New Roman" w:hAnsi="Times New Roman" w:eastAsia="宋体" w:cs="Times New Roman"/>
                      <w:i w:val="0"/>
                      <w:iCs w:val="0"/>
                      <w:color w:val="auto"/>
                      <w:kern w:val="0"/>
                      <w:sz w:val="21"/>
                      <w:szCs w:val="21"/>
                      <w:u w:val="none"/>
                      <w:lang w:val="en-US" w:eastAsia="zh-CN" w:bidi="ar"/>
                    </w:rPr>
                  </w:pPr>
                  <w:r>
                    <w:rPr>
                      <w:rFonts w:ascii="Times New Roman" w:hAnsi="Times New Roman" w:eastAsia="宋体"/>
                      <w:color w:val="auto"/>
                    </w:rPr>
                    <w:t>0.064</w:t>
                  </w:r>
                </w:p>
              </w:tc>
              <w:tc>
                <w:tcPr>
                  <w:tcW w:w="397" w:type="pct"/>
                  <w:shd w:val="clear" w:color="auto" w:fill="auto"/>
                  <w:noWrap w:val="0"/>
                  <w:tcMar>
                    <w:top w:w="0" w:type="dxa"/>
                    <w:left w:w="0" w:type="dxa"/>
                    <w:bottom w:w="0" w:type="dxa"/>
                    <w:right w:w="0" w:type="dxa"/>
                  </w:tcMar>
                  <w:vAlign w:val="center"/>
                </w:tcPr>
                <w:p w14:paraId="413658FC">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szCs w:val="21"/>
                      <w:lang w:val="en-US" w:eastAsia="zh-CN"/>
                    </w:rPr>
                    <w:t>0.032</w:t>
                  </w:r>
                </w:p>
              </w:tc>
              <w:tc>
                <w:tcPr>
                  <w:tcW w:w="392" w:type="pct"/>
                  <w:shd w:val="clear" w:color="auto" w:fill="auto"/>
                  <w:noWrap w:val="0"/>
                  <w:tcMar>
                    <w:top w:w="0" w:type="dxa"/>
                    <w:left w:w="0" w:type="dxa"/>
                    <w:bottom w:w="0" w:type="dxa"/>
                    <w:right w:w="0" w:type="dxa"/>
                  </w:tcMar>
                  <w:vAlign w:val="center"/>
                </w:tcPr>
                <w:p w14:paraId="7025932A">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w:t>
                  </w:r>
                </w:p>
              </w:tc>
              <w:tc>
                <w:tcPr>
                  <w:tcW w:w="385" w:type="pct"/>
                  <w:shd w:val="clear" w:color="auto" w:fill="auto"/>
                  <w:noWrap w:val="0"/>
                  <w:tcMar>
                    <w:top w:w="0" w:type="dxa"/>
                    <w:left w:w="0" w:type="dxa"/>
                    <w:bottom w:w="0" w:type="dxa"/>
                    <w:right w:w="0" w:type="dxa"/>
                  </w:tcMar>
                  <w:vAlign w:val="center"/>
                </w:tcPr>
                <w:p w14:paraId="3B1CD6D2">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szCs w:val="21"/>
                      <w:lang w:val="en-US" w:eastAsia="zh-CN"/>
                    </w:rPr>
                    <w:t>0.032</w:t>
                  </w:r>
                </w:p>
              </w:tc>
              <w:tc>
                <w:tcPr>
                  <w:tcW w:w="614" w:type="pct"/>
                  <w:shd w:val="clear" w:color="auto" w:fill="auto"/>
                  <w:noWrap w:val="0"/>
                  <w:tcMar>
                    <w:top w:w="0" w:type="dxa"/>
                    <w:left w:w="0" w:type="dxa"/>
                    <w:bottom w:w="0" w:type="dxa"/>
                    <w:right w:w="0" w:type="dxa"/>
                  </w:tcMar>
                  <w:vAlign w:val="center"/>
                </w:tcPr>
                <w:p w14:paraId="1DE1A138">
                  <w:pPr>
                    <w:pStyle w:val="49"/>
                    <w:ind w:firstLine="0" w:firstLineChars="0"/>
                    <w:jc w:val="center"/>
                    <w:rPr>
                      <w:rFonts w:hint="eastAsia" w:ascii="Times New Roman" w:hAnsi="Times New Roman" w:eastAsia="宋体" w:cs="Times New Roman"/>
                      <w:color w:val="auto"/>
                      <w:kern w:val="2"/>
                      <w:sz w:val="21"/>
                      <w:szCs w:val="21"/>
                      <w:lang w:val="en-US" w:eastAsia="zh-CN" w:bidi="ar-SA"/>
                    </w:rPr>
                  </w:pPr>
                  <w:r>
                    <w:rPr>
                      <w:rFonts w:ascii="Times New Roman" w:hAnsi="Times New Roman" w:eastAsia="宋体"/>
                      <w:color w:val="auto"/>
                    </w:rPr>
                    <w:t>0.064</w:t>
                  </w:r>
                </w:p>
              </w:tc>
              <w:tc>
                <w:tcPr>
                  <w:tcW w:w="437" w:type="pct"/>
                  <w:shd w:val="clear" w:color="auto" w:fill="auto"/>
                  <w:noWrap w:val="0"/>
                  <w:tcMar>
                    <w:top w:w="0" w:type="dxa"/>
                    <w:left w:w="0" w:type="dxa"/>
                    <w:bottom w:w="0" w:type="dxa"/>
                    <w:right w:w="0" w:type="dxa"/>
                  </w:tcMar>
                  <w:vAlign w:val="center"/>
                </w:tcPr>
                <w:p w14:paraId="32AEDDFC">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szCs w:val="21"/>
                      <w:lang w:val="en-US" w:eastAsia="zh-CN"/>
                    </w:rPr>
                    <w:t>0.032</w:t>
                  </w:r>
                </w:p>
              </w:tc>
              <w:tc>
                <w:tcPr>
                  <w:tcW w:w="405" w:type="pct"/>
                  <w:shd w:val="clear" w:color="auto" w:fill="auto"/>
                  <w:noWrap w:val="0"/>
                  <w:tcMar>
                    <w:top w:w="0" w:type="dxa"/>
                    <w:left w:w="0" w:type="dxa"/>
                    <w:bottom w:w="0" w:type="dxa"/>
                    <w:right w:w="0" w:type="dxa"/>
                  </w:tcMar>
                  <w:vAlign w:val="center"/>
                </w:tcPr>
                <w:p w14:paraId="544F8FFD">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-0.032</w:t>
                  </w:r>
                </w:p>
              </w:tc>
              <w:tc>
                <w:tcPr>
                  <w:tcW w:w="548" w:type="pct"/>
                  <w:shd w:val="clear" w:color="auto" w:fill="auto"/>
                  <w:noWrap w:val="0"/>
                  <w:tcMar>
                    <w:top w:w="0" w:type="dxa"/>
                    <w:left w:w="0" w:type="dxa"/>
                    <w:bottom w:w="0" w:type="dxa"/>
                    <w:right w:w="0" w:type="dxa"/>
                  </w:tcMar>
                  <w:vAlign w:val="center"/>
                </w:tcPr>
                <w:p w14:paraId="6082072F">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szCs w:val="21"/>
                      <w:lang w:val="en-US" w:eastAsia="zh-CN"/>
                    </w:rPr>
                    <w:t>0.032</w:t>
                  </w:r>
                </w:p>
              </w:tc>
              <w:tc>
                <w:tcPr>
                  <w:tcW w:w="430" w:type="pct"/>
                  <w:noWrap w:val="0"/>
                  <w:tcMar>
                    <w:top w:w="0" w:type="dxa"/>
                    <w:left w:w="0" w:type="dxa"/>
                    <w:bottom w:w="0" w:type="dxa"/>
                    <w:right w:w="0" w:type="dxa"/>
                  </w:tcMar>
                  <w:vAlign w:val="center"/>
                </w:tcPr>
                <w:p w14:paraId="537CF4F5">
                  <w:pPr>
                    <w:keepNext w:val="0"/>
                    <w:keepLines w:val="0"/>
                    <w:widowControl/>
                    <w:suppressLineNumbers w:val="0"/>
                    <w:jc w:val="center"/>
                    <w:textAlignment w:val="center"/>
                    <w:rPr>
                      <w:rFonts w:hint="eastAsia"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w:t>
                  </w:r>
                </w:p>
              </w:tc>
            </w:tr>
            <w:tr w14:paraId="15A437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continue"/>
                  <w:shd w:val="clear" w:color="auto" w:fill="auto"/>
                  <w:noWrap w:val="0"/>
                  <w:tcMar>
                    <w:top w:w="0" w:type="dxa"/>
                    <w:left w:w="0" w:type="dxa"/>
                    <w:bottom w:w="0" w:type="dxa"/>
                    <w:right w:w="0" w:type="dxa"/>
                  </w:tcMar>
                  <w:vAlign w:val="center"/>
                </w:tcPr>
                <w:p w14:paraId="7E0784B4">
                  <w:pPr>
                    <w:jc w:val="center"/>
                    <w:rPr>
                      <w:rFonts w:hint="eastAsia"/>
                      <w:color w:val="auto"/>
                      <w:sz w:val="21"/>
                      <w:szCs w:val="21"/>
                      <w:lang w:val="en-US" w:eastAsia="zh-CN"/>
                    </w:rPr>
                  </w:pPr>
                </w:p>
              </w:tc>
              <w:tc>
                <w:tcPr>
                  <w:tcW w:w="297" w:type="pct"/>
                  <w:vMerge w:val="restart"/>
                  <w:shd w:val="clear" w:color="auto" w:fill="auto"/>
                  <w:noWrap w:val="0"/>
                  <w:tcMar>
                    <w:top w:w="0" w:type="dxa"/>
                    <w:left w:w="0" w:type="dxa"/>
                    <w:bottom w:w="0" w:type="dxa"/>
                    <w:right w:w="0" w:type="dxa"/>
                  </w:tcMar>
                  <w:vAlign w:val="center"/>
                </w:tcPr>
                <w:p w14:paraId="44EA9924">
                  <w:pPr>
                    <w:pStyle w:val="49"/>
                    <w:ind w:firstLine="0" w:firstLineChars="0"/>
                    <w:jc w:val="center"/>
                    <w:rPr>
                      <w:rFonts w:hint="default" w:ascii="Times New Roman" w:hAnsi="Times New Roman" w:eastAsia="宋体"/>
                      <w:b w:val="0"/>
                      <w:bCs/>
                      <w:snapToGrid w:val="0"/>
                      <w:color w:val="auto"/>
                      <w:kern w:val="21"/>
                      <w:sz w:val="21"/>
                      <w:szCs w:val="21"/>
                      <w:lang w:val="en-US" w:eastAsia="zh-CN"/>
                    </w:rPr>
                  </w:pPr>
                  <w:r>
                    <w:rPr>
                      <w:rFonts w:hint="eastAsia" w:ascii="Times New Roman" w:hAnsi="Times New Roman" w:eastAsia="宋体"/>
                      <w:b w:val="0"/>
                      <w:bCs/>
                      <w:snapToGrid w:val="0"/>
                      <w:color w:val="auto"/>
                      <w:kern w:val="21"/>
                      <w:sz w:val="21"/>
                      <w:szCs w:val="21"/>
                      <w:lang w:val="en-US" w:eastAsia="zh-CN"/>
                    </w:rPr>
                    <w:t>颗粒物</w:t>
                  </w:r>
                </w:p>
              </w:tc>
              <w:tc>
                <w:tcPr>
                  <w:tcW w:w="421" w:type="pct"/>
                  <w:shd w:val="clear" w:color="auto" w:fill="auto"/>
                  <w:noWrap w:val="0"/>
                  <w:tcMar>
                    <w:top w:w="0" w:type="dxa"/>
                    <w:left w:w="0" w:type="dxa"/>
                    <w:bottom w:w="0" w:type="dxa"/>
                    <w:right w:w="0" w:type="dxa"/>
                  </w:tcMar>
                  <w:vAlign w:val="center"/>
                </w:tcPr>
                <w:p w14:paraId="20771B74">
                  <w:pPr>
                    <w:pStyle w:val="49"/>
                    <w:ind w:firstLine="0" w:firstLineChars="0"/>
                    <w:jc w:val="center"/>
                    <w:rPr>
                      <w:rFonts w:hint="eastAsia" w:ascii="Times New Roman" w:hAnsi="Times New Roman" w:eastAsia="宋体" w:cs="Times New Roman"/>
                      <w:b w:val="0"/>
                      <w:bCs/>
                      <w:snapToGrid w:val="0"/>
                      <w:color w:val="auto"/>
                      <w:kern w:val="21"/>
                      <w:sz w:val="21"/>
                      <w:szCs w:val="21"/>
                      <w:lang w:val="en-US" w:eastAsia="zh-CN" w:bidi="ar-SA"/>
                    </w:rPr>
                  </w:pPr>
                  <w:r>
                    <w:rPr>
                      <w:rFonts w:hint="eastAsia" w:ascii="Times New Roman" w:hAnsi="Times New Roman" w:eastAsia="宋体"/>
                      <w:b w:val="0"/>
                      <w:bCs/>
                      <w:snapToGrid w:val="0"/>
                      <w:color w:val="auto"/>
                      <w:kern w:val="21"/>
                      <w:sz w:val="21"/>
                      <w:szCs w:val="21"/>
                      <w:lang w:val="en-US" w:eastAsia="zh-CN"/>
                    </w:rPr>
                    <w:t>有组织</w:t>
                  </w:r>
                </w:p>
              </w:tc>
              <w:tc>
                <w:tcPr>
                  <w:tcW w:w="412" w:type="pct"/>
                  <w:shd w:val="clear" w:color="auto" w:fill="auto"/>
                  <w:noWrap w:val="0"/>
                  <w:tcMar>
                    <w:top w:w="0" w:type="dxa"/>
                    <w:left w:w="0" w:type="dxa"/>
                    <w:bottom w:w="0" w:type="dxa"/>
                    <w:right w:w="0" w:type="dxa"/>
                  </w:tcMar>
                  <w:vAlign w:val="center"/>
                </w:tcPr>
                <w:p w14:paraId="77455661">
                  <w:pPr>
                    <w:pStyle w:val="49"/>
                    <w:ind w:firstLine="0" w:firstLineChars="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0.0619</w:t>
                  </w:r>
                </w:p>
              </w:tc>
              <w:tc>
                <w:tcPr>
                  <w:tcW w:w="397" w:type="pct"/>
                  <w:shd w:val="clear" w:color="auto" w:fill="auto"/>
                  <w:noWrap w:val="0"/>
                  <w:tcMar>
                    <w:top w:w="0" w:type="dxa"/>
                    <w:left w:w="0" w:type="dxa"/>
                    <w:bottom w:w="0" w:type="dxa"/>
                    <w:right w:w="0" w:type="dxa"/>
                  </w:tcMar>
                  <w:vAlign w:val="center"/>
                </w:tcPr>
                <w:p w14:paraId="6A774254">
                  <w:pPr>
                    <w:pStyle w:val="49"/>
                    <w:ind w:firstLine="0" w:firstLineChars="0"/>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0.7326</w:t>
                  </w:r>
                </w:p>
              </w:tc>
              <w:tc>
                <w:tcPr>
                  <w:tcW w:w="392" w:type="pct"/>
                  <w:shd w:val="clear" w:color="auto" w:fill="auto"/>
                  <w:noWrap w:val="0"/>
                  <w:tcMar>
                    <w:top w:w="0" w:type="dxa"/>
                    <w:left w:w="0" w:type="dxa"/>
                    <w:bottom w:w="0" w:type="dxa"/>
                    <w:right w:w="0" w:type="dxa"/>
                  </w:tcMar>
                  <w:vAlign w:val="center"/>
                </w:tcPr>
                <w:p w14:paraId="03242FCC">
                  <w:pPr>
                    <w:pStyle w:val="49"/>
                    <w:ind w:firstLine="0" w:firstLineChars="0"/>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0.6317</w:t>
                  </w:r>
                </w:p>
              </w:tc>
              <w:tc>
                <w:tcPr>
                  <w:tcW w:w="385" w:type="pct"/>
                  <w:shd w:val="clear" w:color="auto" w:fill="auto"/>
                  <w:noWrap w:val="0"/>
                  <w:tcMar>
                    <w:top w:w="0" w:type="dxa"/>
                    <w:left w:w="0" w:type="dxa"/>
                    <w:bottom w:w="0" w:type="dxa"/>
                    <w:right w:w="0" w:type="dxa"/>
                  </w:tcMar>
                  <w:vAlign w:val="center"/>
                </w:tcPr>
                <w:p w14:paraId="5827E0AB">
                  <w:pPr>
                    <w:pStyle w:val="49"/>
                    <w:ind w:firstLine="0" w:firstLineChars="0"/>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0.1009</w:t>
                  </w:r>
                </w:p>
              </w:tc>
              <w:tc>
                <w:tcPr>
                  <w:tcW w:w="614" w:type="pct"/>
                  <w:shd w:val="clear" w:color="auto" w:fill="auto"/>
                  <w:noWrap w:val="0"/>
                  <w:tcMar>
                    <w:top w:w="0" w:type="dxa"/>
                    <w:left w:w="0" w:type="dxa"/>
                    <w:bottom w:w="0" w:type="dxa"/>
                    <w:right w:w="0" w:type="dxa"/>
                  </w:tcMar>
                  <w:vAlign w:val="center"/>
                </w:tcPr>
                <w:p w14:paraId="618EE5F0">
                  <w:pPr>
                    <w:pStyle w:val="49"/>
                    <w:ind w:firstLine="0" w:firstLineChars="0"/>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0.0619</w:t>
                  </w:r>
                </w:p>
              </w:tc>
              <w:tc>
                <w:tcPr>
                  <w:tcW w:w="437" w:type="pct"/>
                  <w:shd w:val="clear" w:color="auto" w:fill="auto"/>
                  <w:noWrap w:val="0"/>
                  <w:tcMar>
                    <w:top w:w="0" w:type="dxa"/>
                    <w:left w:w="0" w:type="dxa"/>
                    <w:bottom w:w="0" w:type="dxa"/>
                    <w:right w:w="0" w:type="dxa"/>
                  </w:tcMar>
                  <w:vAlign w:val="center"/>
                </w:tcPr>
                <w:p w14:paraId="4623B74E">
                  <w:pPr>
                    <w:pStyle w:val="49"/>
                    <w:ind w:firstLine="0" w:firstLineChars="0"/>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0.1009</w:t>
                  </w:r>
                </w:p>
              </w:tc>
              <w:tc>
                <w:tcPr>
                  <w:tcW w:w="405" w:type="pct"/>
                  <w:shd w:val="clear" w:color="auto" w:fill="auto"/>
                  <w:noWrap w:val="0"/>
                  <w:tcMar>
                    <w:top w:w="0" w:type="dxa"/>
                    <w:left w:w="0" w:type="dxa"/>
                    <w:bottom w:w="0" w:type="dxa"/>
                    <w:right w:w="0" w:type="dxa"/>
                  </w:tcMar>
                  <w:vAlign w:val="center"/>
                </w:tcPr>
                <w:p w14:paraId="6A8C99DE">
                  <w:pPr>
                    <w:pStyle w:val="49"/>
                    <w:ind w:firstLine="0" w:firstLineChars="0"/>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0.039</w:t>
                  </w:r>
                </w:p>
              </w:tc>
              <w:tc>
                <w:tcPr>
                  <w:tcW w:w="548" w:type="pct"/>
                  <w:shd w:val="clear" w:color="auto" w:fill="auto"/>
                  <w:noWrap w:val="0"/>
                  <w:tcMar>
                    <w:top w:w="0" w:type="dxa"/>
                    <w:left w:w="0" w:type="dxa"/>
                    <w:bottom w:w="0" w:type="dxa"/>
                    <w:right w:w="0" w:type="dxa"/>
                  </w:tcMar>
                  <w:vAlign w:val="center"/>
                </w:tcPr>
                <w:p w14:paraId="410656AE">
                  <w:pPr>
                    <w:pStyle w:val="49"/>
                    <w:ind w:firstLine="0" w:firstLineChars="0"/>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0.1009</w:t>
                  </w:r>
                </w:p>
              </w:tc>
              <w:tc>
                <w:tcPr>
                  <w:tcW w:w="430" w:type="pct"/>
                  <w:vMerge w:val="restart"/>
                  <w:noWrap w:val="0"/>
                  <w:tcMar>
                    <w:top w:w="0" w:type="dxa"/>
                    <w:left w:w="0" w:type="dxa"/>
                    <w:bottom w:w="0" w:type="dxa"/>
                    <w:right w:w="0" w:type="dxa"/>
                  </w:tcMar>
                  <w:vAlign w:val="center"/>
                </w:tcPr>
                <w:p w14:paraId="371D6859">
                  <w:pPr>
                    <w:keepNext w:val="0"/>
                    <w:keepLines w:val="0"/>
                    <w:widowControl/>
                    <w:suppressLineNumbers w:val="0"/>
                    <w:jc w:val="center"/>
                    <w:textAlignment w:val="center"/>
                    <w:rPr>
                      <w:rFonts w:hint="default"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+0.0238</w:t>
                  </w:r>
                </w:p>
              </w:tc>
            </w:tr>
            <w:tr w14:paraId="15E80D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continue"/>
                  <w:shd w:val="clear" w:color="auto" w:fill="auto"/>
                  <w:noWrap w:val="0"/>
                  <w:tcMar>
                    <w:top w:w="0" w:type="dxa"/>
                    <w:left w:w="0" w:type="dxa"/>
                    <w:bottom w:w="0" w:type="dxa"/>
                    <w:right w:w="0" w:type="dxa"/>
                  </w:tcMar>
                  <w:vAlign w:val="center"/>
                </w:tcPr>
                <w:p w14:paraId="635373FB">
                  <w:pPr>
                    <w:jc w:val="center"/>
                    <w:rPr>
                      <w:rFonts w:hint="eastAsia"/>
                      <w:color w:val="auto"/>
                      <w:sz w:val="21"/>
                      <w:szCs w:val="21"/>
                      <w:lang w:val="en-US" w:eastAsia="zh-CN"/>
                    </w:rPr>
                  </w:pPr>
                </w:p>
              </w:tc>
              <w:tc>
                <w:tcPr>
                  <w:tcW w:w="297" w:type="pct"/>
                  <w:vMerge w:val="continue"/>
                  <w:shd w:val="clear" w:color="auto" w:fill="auto"/>
                  <w:noWrap w:val="0"/>
                  <w:tcMar>
                    <w:top w:w="0" w:type="dxa"/>
                    <w:left w:w="0" w:type="dxa"/>
                    <w:bottom w:w="0" w:type="dxa"/>
                    <w:right w:w="0" w:type="dxa"/>
                  </w:tcMar>
                  <w:vAlign w:val="center"/>
                </w:tcPr>
                <w:p w14:paraId="2C9126B0">
                  <w:pPr>
                    <w:pStyle w:val="49"/>
                    <w:ind w:firstLine="0" w:firstLineChars="0"/>
                    <w:jc w:val="center"/>
                    <w:rPr>
                      <w:rFonts w:hint="eastAsia" w:ascii="Times New Roman" w:hAnsi="Times New Roman" w:eastAsia="宋体"/>
                      <w:b w:val="0"/>
                      <w:bCs/>
                      <w:snapToGrid w:val="0"/>
                      <w:color w:val="auto"/>
                      <w:kern w:val="21"/>
                      <w:sz w:val="21"/>
                      <w:szCs w:val="21"/>
                      <w:lang w:val="en-US" w:eastAsia="zh-CN"/>
                    </w:rPr>
                  </w:pPr>
                </w:p>
              </w:tc>
              <w:tc>
                <w:tcPr>
                  <w:tcW w:w="421" w:type="pct"/>
                  <w:shd w:val="clear" w:color="auto" w:fill="auto"/>
                  <w:noWrap w:val="0"/>
                  <w:tcMar>
                    <w:top w:w="0" w:type="dxa"/>
                    <w:left w:w="0" w:type="dxa"/>
                    <w:bottom w:w="0" w:type="dxa"/>
                    <w:right w:w="0" w:type="dxa"/>
                  </w:tcMar>
                  <w:vAlign w:val="center"/>
                </w:tcPr>
                <w:p w14:paraId="3F5CD05A">
                  <w:pPr>
                    <w:pStyle w:val="49"/>
                    <w:ind w:firstLine="0" w:firstLineChars="0"/>
                    <w:jc w:val="center"/>
                    <w:rPr>
                      <w:rFonts w:hint="eastAsia" w:ascii="Times New Roman" w:hAnsi="Times New Roman" w:eastAsia="宋体" w:cs="Times New Roman"/>
                      <w:b w:val="0"/>
                      <w:bCs/>
                      <w:snapToGrid w:val="0"/>
                      <w:color w:val="auto"/>
                      <w:kern w:val="21"/>
                      <w:sz w:val="21"/>
                      <w:szCs w:val="21"/>
                      <w:lang w:val="en-US" w:eastAsia="zh-CN" w:bidi="ar-SA"/>
                    </w:rPr>
                  </w:pPr>
                  <w:r>
                    <w:rPr>
                      <w:rFonts w:hint="eastAsia" w:ascii="Times New Roman" w:hAnsi="Times New Roman" w:eastAsia="宋体"/>
                      <w:b w:val="0"/>
                      <w:bCs/>
                      <w:snapToGrid w:val="0"/>
                      <w:color w:val="auto"/>
                      <w:kern w:val="21"/>
                      <w:sz w:val="21"/>
                      <w:szCs w:val="21"/>
                      <w:lang w:val="en-US" w:eastAsia="zh-CN"/>
                    </w:rPr>
                    <w:t>无组织</w:t>
                  </w:r>
                </w:p>
              </w:tc>
              <w:tc>
                <w:tcPr>
                  <w:tcW w:w="412" w:type="pct"/>
                  <w:shd w:val="clear" w:color="auto" w:fill="auto"/>
                  <w:noWrap w:val="0"/>
                  <w:tcMar>
                    <w:top w:w="0" w:type="dxa"/>
                    <w:left w:w="0" w:type="dxa"/>
                    <w:bottom w:w="0" w:type="dxa"/>
                    <w:right w:w="0" w:type="dxa"/>
                  </w:tcMar>
                  <w:vAlign w:val="center"/>
                </w:tcPr>
                <w:p w14:paraId="73DC8D8F">
                  <w:pPr>
                    <w:pStyle w:val="49"/>
                    <w:ind w:firstLine="0" w:firstLineChars="0"/>
                    <w:jc w:val="center"/>
                    <w:rPr>
                      <w:rFonts w:hint="eastAsia" w:ascii="Times New Roman" w:hAnsi="Times New Roman" w:eastAsia="宋体" w:cs="Times New Roman"/>
                      <w:i w:val="0"/>
                      <w:iCs w:val="0"/>
                      <w:color w:val="auto"/>
                      <w:kern w:val="0"/>
                      <w:sz w:val="21"/>
                      <w:szCs w:val="21"/>
                      <w:u w:val="none"/>
                      <w:lang w:val="en-US" w:eastAsia="zh-CN" w:bidi="ar"/>
                    </w:rPr>
                  </w:pPr>
                  <w:r>
                    <w:rPr>
                      <w:rFonts w:ascii="Times New Roman" w:hAnsi="Times New Roman" w:eastAsia="宋体"/>
                      <w:color w:val="auto"/>
                    </w:rPr>
                    <w:t>0.0966</w:t>
                  </w:r>
                </w:p>
              </w:tc>
              <w:tc>
                <w:tcPr>
                  <w:tcW w:w="397" w:type="pct"/>
                  <w:shd w:val="clear" w:color="auto" w:fill="auto"/>
                  <w:noWrap w:val="0"/>
                  <w:tcMar>
                    <w:top w:w="0" w:type="dxa"/>
                    <w:left w:w="0" w:type="dxa"/>
                    <w:bottom w:w="0" w:type="dxa"/>
                    <w:right w:w="0" w:type="dxa"/>
                  </w:tcMar>
                  <w:vAlign w:val="center"/>
                </w:tcPr>
                <w:p w14:paraId="6998E40E">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kern w:val="2"/>
                      <w:sz w:val="21"/>
                      <w:szCs w:val="21"/>
                      <w:lang w:val="en-US" w:eastAsia="zh-CN"/>
                    </w:rPr>
                    <w:t>0.0814</w:t>
                  </w:r>
                </w:p>
              </w:tc>
              <w:tc>
                <w:tcPr>
                  <w:tcW w:w="392" w:type="pct"/>
                  <w:shd w:val="clear" w:color="auto" w:fill="auto"/>
                  <w:noWrap w:val="0"/>
                  <w:tcMar>
                    <w:top w:w="0" w:type="dxa"/>
                    <w:left w:w="0" w:type="dxa"/>
                    <w:bottom w:w="0" w:type="dxa"/>
                    <w:right w:w="0" w:type="dxa"/>
                  </w:tcMar>
                  <w:vAlign w:val="center"/>
                </w:tcPr>
                <w:p w14:paraId="125F96AF">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w:t>
                  </w:r>
                </w:p>
              </w:tc>
              <w:tc>
                <w:tcPr>
                  <w:tcW w:w="385" w:type="pct"/>
                  <w:shd w:val="clear" w:color="auto" w:fill="auto"/>
                  <w:noWrap w:val="0"/>
                  <w:tcMar>
                    <w:top w:w="0" w:type="dxa"/>
                    <w:left w:w="0" w:type="dxa"/>
                    <w:bottom w:w="0" w:type="dxa"/>
                    <w:right w:w="0" w:type="dxa"/>
                  </w:tcMar>
                  <w:vAlign w:val="center"/>
                </w:tcPr>
                <w:p w14:paraId="28A5E8C3">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kern w:val="2"/>
                      <w:sz w:val="21"/>
                      <w:szCs w:val="21"/>
                      <w:lang w:val="en-US" w:eastAsia="zh-CN"/>
                    </w:rPr>
                    <w:t>0.0814</w:t>
                  </w:r>
                </w:p>
              </w:tc>
              <w:tc>
                <w:tcPr>
                  <w:tcW w:w="614" w:type="pct"/>
                  <w:shd w:val="clear" w:color="auto" w:fill="auto"/>
                  <w:noWrap w:val="0"/>
                  <w:tcMar>
                    <w:top w:w="0" w:type="dxa"/>
                    <w:left w:w="0" w:type="dxa"/>
                    <w:bottom w:w="0" w:type="dxa"/>
                    <w:right w:w="0" w:type="dxa"/>
                  </w:tcMar>
                  <w:vAlign w:val="center"/>
                </w:tcPr>
                <w:p w14:paraId="108E842E">
                  <w:pPr>
                    <w:pStyle w:val="49"/>
                    <w:ind w:firstLine="0" w:firstLineChars="0"/>
                    <w:jc w:val="center"/>
                    <w:rPr>
                      <w:rFonts w:hint="eastAsia" w:ascii="Times New Roman" w:hAnsi="Times New Roman" w:eastAsia="宋体" w:cs="Times New Roman"/>
                      <w:color w:val="auto"/>
                      <w:kern w:val="2"/>
                      <w:sz w:val="21"/>
                      <w:szCs w:val="21"/>
                      <w:lang w:val="en-US" w:eastAsia="zh-CN" w:bidi="ar-SA"/>
                    </w:rPr>
                  </w:pPr>
                  <w:r>
                    <w:rPr>
                      <w:rFonts w:ascii="Times New Roman" w:hAnsi="Times New Roman" w:eastAsia="宋体"/>
                      <w:color w:val="auto"/>
                    </w:rPr>
                    <w:t>0.0966</w:t>
                  </w:r>
                </w:p>
              </w:tc>
              <w:tc>
                <w:tcPr>
                  <w:tcW w:w="437" w:type="pct"/>
                  <w:shd w:val="clear" w:color="auto" w:fill="auto"/>
                  <w:noWrap w:val="0"/>
                  <w:tcMar>
                    <w:top w:w="0" w:type="dxa"/>
                    <w:left w:w="0" w:type="dxa"/>
                    <w:bottom w:w="0" w:type="dxa"/>
                    <w:right w:w="0" w:type="dxa"/>
                  </w:tcMar>
                  <w:vAlign w:val="center"/>
                </w:tcPr>
                <w:p w14:paraId="117DB88C">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kern w:val="2"/>
                      <w:sz w:val="21"/>
                      <w:szCs w:val="21"/>
                      <w:lang w:val="en-US" w:eastAsia="zh-CN"/>
                    </w:rPr>
                    <w:t>0.0814</w:t>
                  </w:r>
                </w:p>
              </w:tc>
              <w:tc>
                <w:tcPr>
                  <w:tcW w:w="405" w:type="pct"/>
                  <w:shd w:val="clear" w:color="auto" w:fill="auto"/>
                  <w:noWrap w:val="0"/>
                  <w:tcMar>
                    <w:top w:w="0" w:type="dxa"/>
                    <w:left w:w="0" w:type="dxa"/>
                    <w:bottom w:w="0" w:type="dxa"/>
                    <w:right w:w="0" w:type="dxa"/>
                  </w:tcMar>
                  <w:vAlign w:val="center"/>
                </w:tcPr>
                <w:p w14:paraId="4FC94000">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-0.0152</w:t>
                  </w:r>
                </w:p>
              </w:tc>
              <w:tc>
                <w:tcPr>
                  <w:tcW w:w="548" w:type="pct"/>
                  <w:shd w:val="clear" w:color="auto" w:fill="auto"/>
                  <w:noWrap w:val="0"/>
                  <w:tcMar>
                    <w:top w:w="0" w:type="dxa"/>
                    <w:left w:w="0" w:type="dxa"/>
                    <w:bottom w:w="0" w:type="dxa"/>
                    <w:right w:w="0" w:type="dxa"/>
                  </w:tcMar>
                  <w:vAlign w:val="center"/>
                </w:tcPr>
                <w:p w14:paraId="6C4C9813">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kern w:val="2"/>
                      <w:sz w:val="21"/>
                      <w:szCs w:val="21"/>
                      <w:lang w:val="en-US" w:eastAsia="zh-CN"/>
                    </w:rPr>
                    <w:t>0.0814</w:t>
                  </w:r>
                </w:p>
              </w:tc>
              <w:tc>
                <w:tcPr>
                  <w:tcW w:w="430" w:type="pct"/>
                  <w:vMerge w:val="continue"/>
                  <w:noWrap w:val="0"/>
                  <w:tcMar>
                    <w:top w:w="0" w:type="dxa"/>
                    <w:left w:w="0" w:type="dxa"/>
                    <w:bottom w:w="0" w:type="dxa"/>
                    <w:right w:w="0" w:type="dxa"/>
                  </w:tcMar>
                  <w:vAlign w:val="center"/>
                </w:tcPr>
                <w:p w14:paraId="4C7A9450">
                  <w:pPr>
                    <w:keepNext w:val="0"/>
                    <w:keepLines w:val="0"/>
                    <w:widowControl/>
                    <w:suppressLineNumbers w:val="0"/>
                    <w:jc w:val="center"/>
                    <w:textAlignment w:val="center"/>
                    <w:rPr>
                      <w:rFonts w:hint="eastAsia" w:cs="Times New Roman"/>
                      <w:i w:val="0"/>
                      <w:iCs w:val="0"/>
                      <w:color w:val="auto"/>
                      <w:kern w:val="0"/>
                      <w:sz w:val="21"/>
                      <w:szCs w:val="21"/>
                      <w:u w:val="none"/>
                      <w:lang w:val="en-US" w:eastAsia="zh-CN" w:bidi="ar"/>
                    </w:rPr>
                  </w:pPr>
                </w:p>
              </w:tc>
            </w:tr>
            <w:tr w14:paraId="154E12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restart"/>
                  <w:noWrap w:val="0"/>
                  <w:tcMar>
                    <w:top w:w="0" w:type="dxa"/>
                    <w:left w:w="0" w:type="dxa"/>
                    <w:bottom w:w="0" w:type="dxa"/>
                    <w:right w:w="0" w:type="dxa"/>
                  </w:tcMar>
                  <w:vAlign w:val="center"/>
                </w:tcPr>
                <w:p w14:paraId="4B13605F">
                  <w:pPr>
                    <w:jc w:val="center"/>
                    <w:rPr>
                      <w:color w:val="auto"/>
                      <w:sz w:val="21"/>
                      <w:szCs w:val="21"/>
                    </w:rPr>
                  </w:pPr>
                  <w:r>
                    <w:rPr>
                      <w:color w:val="auto"/>
                      <w:sz w:val="21"/>
                      <w:szCs w:val="21"/>
                    </w:rPr>
                    <w:t>废水</w:t>
                  </w:r>
                </w:p>
              </w:tc>
              <w:tc>
                <w:tcPr>
                  <w:tcW w:w="719" w:type="pct"/>
                  <w:gridSpan w:val="2"/>
                  <w:tcBorders>
                    <w:top w:val="single" w:color="auto" w:sz="4" w:space="0"/>
                  </w:tcBorders>
                  <w:noWrap w:val="0"/>
                  <w:tcMar>
                    <w:top w:w="0" w:type="dxa"/>
                    <w:left w:w="0" w:type="dxa"/>
                    <w:bottom w:w="0" w:type="dxa"/>
                    <w:right w:w="0" w:type="dxa"/>
                  </w:tcMar>
                  <w:vAlign w:val="center"/>
                </w:tcPr>
                <w:p w14:paraId="2B78E261">
                  <w:pPr>
                    <w:adjustRightInd w:val="0"/>
                    <w:snapToGrid w:val="0"/>
                    <w:jc w:val="center"/>
                    <w:rPr>
                      <w:color w:val="auto"/>
                      <w:sz w:val="21"/>
                      <w:szCs w:val="21"/>
                    </w:rPr>
                  </w:pPr>
                  <w:r>
                    <w:rPr>
                      <w:color w:val="auto"/>
                      <w:sz w:val="21"/>
                      <w:szCs w:val="21"/>
                    </w:rPr>
                    <w:t>废水量</w:t>
                  </w:r>
                </w:p>
              </w:tc>
              <w:tc>
                <w:tcPr>
                  <w:tcW w:w="412" w:type="pct"/>
                  <w:tcBorders>
                    <w:top w:val="single" w:color="auto" w:sz="4" w:space="0"/>
                  </w:tcBorders>
                  <w:shd w:val="clear" w:color="auto" w:fill="auto"/>
                  <w:noWrap w:val="0"/>
                  <w:tcMar>
                    <w:top w:w="0" w:type="dxa"/>
                    <w:left w:w="0" w:type="dxa"/>
                    <w:bottom w:w="0" w:type="dxa"/>
                    <w:right w:w="0" w:type="dxa"/>
                  </w:tcMar>
                  <w:vAlign w:val="center"/>
                </w:tcPr>
                <w:p w14:paraId="1E89DDE2">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olor w:val="auto"/>
                      <w:sz w:val="21"/>
                      <w:szCs w:val="21"/>
                      <w:lang w:val="en-US" w:eastAsia="zh-CN"/>
                    </w:rPr>
                    <w:t>107.52</w:t>
                  </w:r>
                </w:p>
              </w:tc>
              <w:tc>
                <w:tcPr>
                  <w:tcW w:w="397" w:type="pct"/>
                  <w:tcBorders>
                    <w:top w:val="single" w:color="auto" w:sz="4" w:space="0"/>
                  </w:tcBorders>
                  <w:noWrap w:val="0"/>
                  <w:tcMar>
                    <w:top w:w="0" w:type="dxa"/>
                    <w:left w:w="0" w:type="dxa"/>
                    <w:bottom w:w="0" w:type="dxa"/>
                    <w:right w:w="0" w:type="dxa"/>
                  </w:tcMar>
                  <w:vAlign w:val="center"/>
                </w:tcPr>
                <w:p w14:paraId="3CE9A6D1">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eastAsia" w:cs="Times New Roman"/>
                      <w:i w:val="0"/>
                      <w:iCs w:val="0"/>
                      <w:color w:val="auto"/>
                      <w:kern w:val="0"/>
                      <w:sz w:val="21"/>
                      <w:szCs w:val="21"/>
                      <w:u w:val="none"/>
                      <w:lang w:val="en-US" w:eastAsia="zh-CN" w:bidi="ar"/>
                    </w:rPr>
                    <w:t>144</w:t>
                  </w:r>
                </w:p>
              </w:tc>
              <w:tc>
                <w:tcPr>
                  <w:tcW w:w="392" w:type="pct"/>
                  <w:tcBorders>
                    <w:top w:val="single" w:color="auto" w:sz="4" w:space="0"/>
                  </w:tcBorders>
                  <w:noWrap w:val="0"/>
                  <w:tcMar>
                    <w:top w:w="0" w:type="dxa"/>
                    <w:left w:w="0" w:type="dxa"/>
                    <w:bottom w:w="0" w:type="dxa"/>
                    <w:right w:w="0" w:type="dxa"/>
                  </w:tcMar>
                  <w:vAlign w:val="center"/>
                </w:tcPr>
                <w:p w14:paraId="54958099">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385" w:type="pct"/>
                  <w:tcBorders>
                    <w:top w:val="single" w:color="auto" w:sz="4" w:space="0"/>
                  </w:tcBorders>
                  <w:shd w:val="clear" w:color="auto" w:fill="auto"/>
                  <w:noWrap w:val="0"/>
                  <w:tcMar>
                    <w:top w:w="0" w:type="dxa"/>
                    <w:left w:w="0" w:type="dxa"/>
                    <w:bottom w:w="0" w:type="dxa"/>
                    <w:right w:w="0" w:type="dxa"/>
                  </w:tcMar>
                  <w:vAlign w:val="center"/>
                </w:tcPr>
                <w:p w14:paraId="6E3FAC3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i w:val="0"/>
                      <w:iCs w:val="0"/>
                      <w:color w:val="auto"/>
                      <w:kern w:val="0"/>
                      <w:sz w:val="21"/>
                      <w:szCs w:val="21"/>
                      <w:u w:val="none"/>
                      <w:lang w:val="en-US" w:eastAsia="zh-CN" w:bidi="ar"/>
                    </w:rPr>
                    <w:t>144</w:t>
                  </w:r>
                </w:p>
              </w:tc>
              <w:tc>
                <w:tcPr>
                  <w:tcW w:w="614" w:type="pct"/>
                  <w:tcBorders>
                    <w:top w:val="single" w:color="auto" w:sz="4" w:space="0"/>
                  </w:tcBorders>
                  <w:shd w:val="clear" w:color="auto" w:fill="auto"/>
                  <w:noWrap w:val="0"/>
                  <w:tcMar>
                    <w:top w:w="0" w:type="dxa"/>
                    <w:left w:w="0" w:type="dxa"/>
                    <w:bottom w:w="0" w:type="dxa"/>
                    <w:right w:w="0" w:type="dxa"/>
                  </w:tcMar>
                  <w:vAlign w:val="center"/>
                </w:tcPr>
                <w:p w14:paraId="770C0760">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color w:val="auto"/>
                      <w:sz w:val="21"/>
                      <w:szCs w:val="21"/>
                      <w:lang w:val="en-US" w:eastAsia="zh-CN"/>
                    </w:rPr>
                    <w:t>107.52</w:t>
                  </w:r>
                </w:p>
              </w:tc>
              <w:tc>
                <w:tcPr>
                  <w:tcW w:w="437" w:type="pct"/>
                  <w:tcBorders>
                    <w:top w:val="single" w:color="auto" w:sz="4" w:space="0"/>
                  </w:tcBorders>
                  <w:shd w:val="clear" w:color="auto" w:fill="auto"/>
                  <w:noWrap w:val="0"/>
                  <w:tcMar>
                    <w:top w:w="0" w:type="dxa"/>
                    <w:left w:w="0" w:type="dxa"/>
                    <w:bottom w:w="0" w:type="dxa"/>
                    <w:right w:w="0" w:type="dxa"/>
                  </w:tcMar>
                  <w:vAlign w:val="center"/>
                </w:tcPr>
                <w:p w14:paraId="15FDBE1A">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i w:val="0"/>
                      <w:iCs w:val="0"/>
                      <w:color w:val="auto"/>
                      <w:kern w:val="0"/>
                      <w:sz w:val="21"/>
                      <w:szCs w:val="21"/>
                      <w:u w:val="none"/>
                      <w:lang w:val="en-US" w:eastAsia="zh-CN" w:bidi="ar"/>
                    </w:rPr>
                    <w:t>144</w:t>
                  </w:r>
                </w:p>
              </w:tc>
              <w:tc>
                <w:tcPr>
                  <w:tcW w:w="405" w:type="pct"/>
                  <w:tcBorders>
                    <w:top w:val="single" w:color="auto" w:sz="4" w:space="0"/>
                  </w:tcBorders>
                  <w:noWrap w:val="0"/>
                  <w:tcMar>
                    <w:top w:w="0" w:type="dxa"/>
                    <w:left w:w="0" w:type="dxa"/>
                    <w:bottom w:w="0" w:type="dxa"/>
                    <w:right w:w="0" w:type="dxa"/>
                  </w:tcMar>
                  <w:vAlign w:val="center"/>
                </w:tcPr>
                <w:p w14:paraId="1AAA2657">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36.48</w:t>
                  </w:r>
                </w:p>
              </w:tc>
              <w:tc>
                <w:tcPr>
                  <w:tcW w:w="548" w:type="pct"/>
                  <w:tcBorders>
                    <w:top w:val="single" w:color="auto" w:sz="4" w:space="0"/>
                  </w:tcBorders>
                  <w:noWrap w:val="0"/>
                  <w:tcMar>
                    <w:top w:w="0" w:type="dxa"/>
                    <w:left w:w="0" w:type="dxa"/>
                    <w:bottom w:w="0" w:type="dxa"/>
                    <w:right w:w="0" w:type="dxa"/>
                  </w:tcMar>
                  <w:vAlign w:val="center"/>
                </w:tcPr>
                <w:p w14:paraId="3B5AAEB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144</w:t>
                  </w:r>
                </w:p>
              </w:tc>
              <w:tc>
                <w:tcPr>
                  <w:tcW w:w="430" w:type="pct"/>
                  <w:tcBorders>
                    <w:top w:val="single" w:color="auto" w:sz="4" w:space="0"/>
                  </w:tcBorders>
                  <w:shd w:val="clear" w:color="auto" w:fill="auto"/>
                  <w:noWrap w:val="0"/>
                  <w:tcMar>
                    <w:top w:w="0" w:type="dxa"/>
                    <w:left w:w="0" w:type="dxa"/>
                    <w:bottom w:w="0" w:type="dxa"/>
                    <w:right w:w="0" w:type="dxa"/>
                  </w:tcMar>
                  <w:vAlign w:val="center"/>
                </w:tcPr>
                <w:p w14:paraId="29BA5AF3">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+36.48</w:t>
                  </w:r>
                </w:p>
              </w:tc>
            </w:tr>
            <w:tr w14:paraId="2659AF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continue"/>
                  <w:noWrap w:val="0"/>
                  <w:tcMar>
                    <w:top w:w="0" w:type="dxa"/>
                    <w:left w:w="0" w:type="dxa"/>
                    <w:bottom w:w="0" w:type="dxa"/>
                    <w:right w:w="0" w:type="dxa"/>
                  </w:tcMar>
                  <w:vAlign w:val="center"/>
                </w:tcPr>
                <w:p w14:paraId="22941AFC">
                  <w:pPr>
                    <w:jc w:val="center"/>
                    <w:rPr>
                      <w:color w:val="auto"/>
                      <w:sz w:val="21"/>
                      <w:szCs w:val="21"/>
                    </w:rPr>
                  </w:pPr>
                </w:p>
              </w:tc>
              <w:tc>
                <w:tcPr>
                  <w:tcW w:w="719" w:type="pct"/>
                  <w:gridSpan w:val="2"/>
                  <w:noWrap w:val="0"/>
                  <w:tcMar>
                    <w:top w:w="0" w:type="dxa"/>
                    <w:left w:w="0" w:type="dxa"/>
                    <w:bottom w:w="0" w:type="dxa"/>
                    <w:right w:w="0" w:type="dxa"/>
                  </w:tcMar>
                  <w:vAlign w:val="center"/>
                </w:tcPr>
                <w:p w14:paraId="02B38635">
                  <w:pPr>
                    <w:adjustRightInd w:val="0"/>
                    <w:snapToGrid w:val="0"/>
                    <w:jc w:val="center"/>
                    <w:rPr>
                      <w:color w:val="auto"/>
                      <w:sz w:val="21"/>
                      <w:szCs w:val="21"/>
                    </w:rPr>
                  </w:pPr>
                  <w:r>
                    <w:rPr>
                      <w:color w:val="auto"/>
                      <w:sz w:val="21"/>
                      <w:szCs w:val="21"/>
                    </w:rPr>
                    <w:t>COD</w:t>
                  </w:r>
                </w:p>
              </w:tc>
              <w:tc>
                <w:tcPr>
                  <w:tcW w:w="412" w:type="pct"/>
                  <w:shd w:val="clear" w:color="auto" w:fill="auto"/>
                  <w:noWrap w:val="0"/>
                  <w:tcMar>
                    <w:top w:w="0" w:type="dxa"/>
                    <w:left w:w="0" w:type="dxa"/>
                    <w:bottom w:w="0" w:type="dxa"/>
                    <w:right w:w="0" w:type="dxa"/>
                  </w:tcMar>
                  <w:vAlign w:val="center"/>
                </w:tcPr>
                <w:p w14:paraId="6455C5A6">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0.043</w:t>
                  </w:r>
                </w:p>
              </w:tc>
              <w:tc>
                <w:tcPr>
                  <w:tcW w:w="397" w:type="pct"/>
                  <w:noWrap w:val="0"/>
                  <w:tcMar>
                    <w:top w:w="0" w:type="dxa"/>
                    <w:left w:w="0" w:type="dxa"/>
                    <w:bottom w:w="0" w:type="dxa"/>
                    <w:right w:w="0" w:type="dxa"/>
                  </w:tcMar>
                  <w:vAlign w:val="center"/>
                </w:tcPr>
                <w:p w14:paraId="02FB9C61">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0.0576</w:t>
                  </w:r>
                </w:p>
              </w:tc>
              <w:tc>
                <w:tcPr>
                  <w:tcW w:w="392" w:type="pct"/>
                  <w:noWrap w:val="0"/>
                  <w:tcMar>
                    <w:top w:w="0" w:type="dxa"/>
                    <w:left w:w="0" w:type="dxa"/>
                    <w:bottom w:w="0" w:type="dxa"/>
                    <w:right w:w="0" w:type="dxa"/>
                  </w:tcMar>
                  <w:vAlign w:val="center"/>
                </w:tcPr>
                <w:p w14:paraId="4FEA14B2">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385" w:type="pct"/>
                  <w:shd w:val="clear" w:color="auto" w:fill="auto"/>
                  <w:noWrap w:val="0"/>
                  <w:tcMar>
                    <w:top w:w="0" w:type="dxa"/>
                    <w:left w:w="0" w:type="dxa"/>
                    <w:bottom w:w="0" w:type="dxa"/>
                    <w:right w:w="0" w:type="dxa"/>
                  </w:tcMar>
                  <w:vAlign w:val="center"/>
                </w:tcPr>
                <w:p w14:paraId="3B3CE45D">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0.0576</w:t>
                  </w:r>
                </w:p>
              </w:tc>
              <w:tc>
                <w:tcPr>
                  <w:tcW w:w="614" w:type="pct"/>
                  <w:shd w:val="clear" w:color="auto" w:fill="auto"/>
                  <w:noWrap w:val="0"/>
                  <w:tcMar>
                    <w:top w:w="0" w:type="dxa"/>
                    <w:left w:w="0" w:type="dxa"/>
                    <w:bottom w:w="0" w:type="dxa"/>
                    <w:right w:w="0" w:type="dxa"/>
                  </w:tcMar>
                  <w:vAlign w:val="center"/>
                </w:tcPr>
                <w:p w14:paraId="72C8A69E">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0.043</w:t>
                  </w:r>
                </w:p>
              </w:tc>
              <w:tc>
                <w:tcPr>
                  <w:tcW w:w="437" w:type="pct"/>
                  <w:shd w:val="clear" w:color="auto" w:fill="auto"/>
                  <w:noWrap w:val="0"/>
                  <w:tcMar>
                    <w:top w:w="0" w:type="dxa"/>
                    <w:left w:w="0" w:type="dxa"/>
                    <w:bottom w:w="0" w:type="dxa"/>
                    <w:right w:w="0" w:type="dxa"/>
                  </w:tcMar>
                  <w:vAlign w:val="center"/>
                </w:tcPr>
                <w:p w14:paraId="0AD439B4">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0.0576</w:t>
                  </w:r>
                </w:p>
              </w:tc>
              <w:tc>
                <w:tcPr>
                  <w:tcW w:w="405" w:type="pct"/>
                  <w:noWrap w:val="0"/>
                  <w:tcMar>
                    <w:top w:w="0" w:type="dxa"/>
                    <w:left w:w="0" w:type="dxa"/>
                    <w:bottom w:w="0" w:type="dxa"/>
                    <w:right w:w="0" w:type="dxa"/>
                  </w:tcMar>
                  <w:vAlign w:val="center"/>
                </w:tcPr>
                <w:p w14:paraId="78A42E08">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0.0146</w:t>
                  </w:r>
                </w:p>
              </w:tc>
              <w:tc>
                <w:tcPr>
                  <w:tcW w:w="548" w:type="pct"/>
                  <w:noWrap w:val="0"/>
                  <w:tcMar>
                    <w:top w:w="0" w:type="dxa"/>
                    <w:left w:w="0" w:type="dxa"/>
                    <w:bottom w:w="0" w:type="dxa"/>
                    <w:right w:w="0" w:type="dxa"/>
                  </w:tcMar>
                  <w:vAlign w:val="center"/>
                </w:tcPr>
                <w:p w14:paraId="5B229DA7">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Cs w:val="21"/>
                      <w:lang w:val="en-US" w:eastAsia="zh-CN"/>
                    </w:rPr>
                    <w:t>0.0072</w:t>
                  </w:r>
                </w:p>
              </w:tc>
              <w:tc>
                <w:tcPr>
                  <w:tcW w:w="430" w:type="pct"/>
                  <w:shd w:val="clear" w:color="auto" w:fill="auto"/>
                  <w:noWrap w:val="0"/>
                  <w:tcMar>
                    <w:top w:w="0" w:type="dxa"/>
                    <w:left w:w="0" w:type="dxa"/>
                    <w:bottom w:w="0" w:type="dxa"/>
                    <w:right w:w="0" w:type="dxa"/>
                  </w:tcMar>
                  <w:vAlign w:val="center"/>
                </w:tcPr>
                <w:p w14:paraId="11C4989C">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+0.0146</w:t>
                  </w:r>
                </w:p>
              </w:tc>
            </w:tr>
            <w:tr w14:paraId="65B9BB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continue"/>
                  <w:noWrap w:val="0"/>
                  <w:tcMar>
                    <w:top w:w="0" w:type="dxa"/>
                    <w:left w:w="0" w:type="dxa"/>
                    <w:bottom w:w="0" w:type="dxa"/>
                    <w:right w:w="0" w:type="dxa"/>
                  </w:tcMar>
                  <w:vAlign w:val="center"/>
                </w:tcPr>
                <w:p w14:paraId="7D896735">
                  <w:pPr>
                    <w:jc w:val="center"/>
                    <w:rPr>
                      <w:color w:val="auto"/>
                      <w:sz w:val="21"/>
                      <w:szCs w:val="21"/>
                    </w:rPr>
                  </w:pPr>
                </w:p>
              </w:tc>
              <w:tc>
                <w:tcPr>
                  <w:tcW w:w="719" w:type="pct"/>
                  <w:gridSpan w:val="2"/>
                  <w:noWrap w:val="0"/>
                  <w:tcMar>
                    <w:top w:w="0" w:type="dxa"/>
                    <w:left w:w="0" w:type="dxa"/>
                    <w:bottom w:w="0" w:type="dxa"/>
                    <w:right w:w="0" w:type="dxa"/>
                  </w:tcMar>
                  <w:vAlign w:val="center"/>
                </w:tcPr>
                <w:p w14:paraId="0F4F1994">
                  <w:pPr>
                    <w:adjustRightInd w:val="0"/>
                    <w:snapToGrid w:val="0"/>
                    <w:jc w:val="center"/>
                    <w:rPr>
                      <w:color w:val="auto"/>
                      <w:sz w:val="21"/>
                      <w:szCs w:val="21"/>
                    </w:rPr>
                  </w:pPr>
                  <w:r>
                    <w:rPr>
                      <w:color w:val="auto"/>
                      <w:sz w:val="21"/>
                      <w:szCs w:val="21"/>
                    </w:rPr>
                    <w:t>SS</w:t>
                  </w:r>
                </w:p>
              </w:tc>
              <w:tc>
                <w:tcPr>
                  <w:tcW w:w="412" w:type="pct"/>
                  <w:shd w:val="clear" w:color="auto" w:fill="auto"/>
                  <w:noWrap w:val="0"/>
                  <w:tcMar>
                    <w:top w:w="0" w:type="dxa"/>
                    <w:left w:w="0" w:type="dxa"/>
                    <w:bottom w:w="0" w:type="dxa"/>
                    <w:right w:w="0" w:type="dxa"/>
                  </w:tcMar>
                  <w:vAlign w:val="center"/>
                </w:tcPr>
                <w:p w14:paraId="1A8DFF4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0.0215</w:t>
                  </w:r>
                </w:p>
              </w:tc>
              <w:tc>
                <w:tcPr>
                  <w:tcW w:w="397" w:type="pct"/>
                  <w:noWrap w:val="0"/>
                  <w:tcMar>
                    <w:top w:w="0" w:type="dxa"/>
                    <w:left w:w="0" w:type="dxa"/>
                    <w:bottom w:w="0" w:type="dxa"/>
                    <w:right w:w="0" w:type="dxa"/>
                  </w:tcMar>
                  <w:vAlign w:val="center"/>
                </w:tcPr>
                <w:p w14:paraId="308F111D">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0.0288</w:t>
                  </w:r>
                </w:p>
              </w:tc>
              <w:tc>
                <w:tcPr>
                  <w:tcW w:w="392" w:type="pct"/>
                  <w:noWrap w:val="0"/>
                  <w:tcMar>
                    <w:top w:w="0" w:type="dxa"/>
                    <w:left w:w="0" w:type="dxa"/>
                    <w:bottom w:w="0" w:type="dxa"/>
                    <w:right w:w="0" w:type="dxa"/>
                  </w:tcMar>
                  <w:vAlign w:val="center"/>
                </w:tcPr>
                <w:p w14:paraId="284C74C6">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385" w:type="pct"/>
                  <w:shd w:val="clear" w:color="auto" w:fill="auto"/>
                  <w:noWrap w:val="0"/>
                  <w:tcMar>
                    <w:top w:w="0" w:type="dxa"/>
                    <w:left w:w="0" w:type="dxa"/>
                    <w:bottom w:w="0" w:type="dxa"/>
                    <w:right w:w="0" w:type="dxa"/>
                  </w:tcMar>
                  <w:vAlign w:val="center"/>
                </w:tcPr>
                <w:p w14:paraId="210C2A2E">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0.0288</w:t>
                  </w:r>
                </w:p>
              </w:tc>
              <w:tc>
                <w:tcPr>
                  <w:tcW w:w="614" w:type="pct"/>
                  <w:shd w:val="clear" w:color="auto" w:fill="auto"/>
                  <w:noWrap w:val="0"/>
                  <w:tcMar>
                    <w:top w:w="0" w:type="dxa"/>
                    <w:left w:w="0" w:type="dxa"/>
                    <w:bottom w:w="0" w:type="dxa"/>
                    <w:right w:w="0" w:type="dxa"/>
                  </w:tcMar>
                  <w:vAlign w:val="center"/>
                </w:tcPr>
                <w:p w14:paraId="03020BC9">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0.0215</w:t>
                  </w:r>
                </w:p>
              </w:tc>
              <w:tc>
                <w:tcPr>
                  <w:tcW w:w="437" w:type="pct"/>
                  <w:shd w:val="clear" w:color="auto" w:fill="auto"/>
                  <w:noWrap w:val="0"/>
                  <w:tcMar>
                    <w:top w:w="0" w:type="dxa"/>
                    <w:left w:w="0" w:type="dxa"/>
                    <w:bottom w:w="0" w:type="dxa"/>
                    <w:right w:w="0" w:type="dxa"/>
                  </w:tcMar>
                  <w:vAlign w:val="center"/>
                </w:tcPr>
                <w:p w14:paraId="5B88EF12">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0.0288</w:t>
                  </w:r>
                </w:p>
              </w:tc>
              <w:tc>
                <w:tcPr>
                  <w:tcW w:w="405" w:type="pct"/>
                  <w:noWrap w:val="0"/>
                  <w:tcMar>
                    <w:top w:w="0" w:type="dxa"/>
                    <w:left w:w="0" w:type="dxa"/>
                    <w:bottom w:w="0" w:type="dxa"/>
                    <w:right w:w="0" w:type="dxa"/>
                  </w:tcMar>
                  <w:vAlign w:val="center"/>
                </w:tcPr>
                <w:p w14:paraId="0DAB5A2A">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0.0073</w:t>
                  </w:r>
                </w:p>
              </w:tc>
              <w:tc>
                <w:tcPr>
                  <w:tcW w:w="548" w:type="pct"/>
                  <w:noWrap w:val="0"/>
                  <w:tcMar>
                    <w:top w:w="0" w:type="dxa"/>
                    <w:left w:w="0" w:type="dxa"/>
                    <w:bottom w:w="0" w:type="dxa"/>
                    <w:right w:w="0" w:type="dxa"/>
                  </w:tcMar>
                  <w:vAlign w:val="center"/>
                </w:tcPr>
                <w:p w14:paraId="40147E1D">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Cs w:val="21"/>
                      <w:lang w:val="en-US" w:eastAsia="zh-CN"/>
                    </w:rPr>
                    <w:t>0.0014</w:t>
                  </w:r>
                </w:p>
              </w:tc>
              <w:tc>
                <w:tcPr>
                  <w:tcW w:w="430" w:type="pct"/>
                  <w:shd w:val="clear" w:color="auto" w:fill="auto"/>
                  <w:noWrap w:val="0"/>
                  <w:tcMar>
                    <w:top w:w="0" w:type="dxa"/>
                    <w:left w:w="0" w:type="dxa"/>
                    <w:bottom w:w="0" w:type="dxa"/>
                    <w:right w:w="0" w:type="dxa"/>
                  </w:tcMar>
                  <w:vAlign w:val="center"/>
                </w:tcPr>
                <w:p w14:paraId="2C7BA74F">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+0.0073</w:t>
                  </w:r>
                </w:p>
              </w:tc>
            </w:tr>
            <w:tr w14:paraId="307C57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continue"/>
                  <w:noWrap w:val="0"/>
                  <w:tcMar>
                    <w:top w:w="0" w:type="dxa"/>
                    <w:left w:w="0" w:type="dxa"/>
                    <w:bottom w:w="0" w:type="dxa"/>
                    <w:right w:w="0" w:type="dxa"/>
                  </w:tcMar>
                  <w:vAlign w:val="center"/>
                </w:tcPr>
                <w:p w14:paraId="481502CE">
                  <w:pPr>
                    <w:jc w:val="center"/>
                    <w:rPr>
                      <w:color w:val="auto"/>
                      <w:sz w:val="21"/>
                      <w:szCs w:val="21"/>
                    </w:rPr>
                  </w:pPr>
                </w:p>
              </w:tc>
              <w:tc>
                <w:tcPr>
                  <w:tcW w:w="719" w:type="pct"/>
                  <w:gridSpan w:val="2"/>
                  <w:noWrap w:val="0"/>
                  <w:tcMar>
                    <w:top w:w="0" w:type="dxa"/>
                    <w:left w:w="0" w:type="dxa"/>
                    <w:bottom w:w="0" w:type="dxa"/>
                    <w:right w:w="0" w:type="dxa"/>
                  </w:tcMar>
                  <w:vAlign w:val="center"/>
                </w:tcPr>
                <w:p w14:paraId="64A6053E">
                  <w:pPr>
                    <w:adjustRightInd w:val="0"/>
                    <w:snapToGrid w:val="0"/>
                    <w:jc w:val="center"/>
                    <w:rPr>
                      <w:color w:val="auto"/>
                      <w:sz w:val="21"/>
                      <w:szCs w:val="21"/>
                    </w:rPr>
                  </w:pPr>
                  <w:r>
                    <w:rPr>
                      <w:color w:val="auto"/>
                      <w:sz w:val="21"/>
                      <w:szCs w:val="21"/>
                    </w:rPr>
                    <w:t>NH</w:t>
                  </w:r>
                  <w:r>
                    <w:rPr>
                      <w:color w:val="auto"/>
                      <w:sz w:val="21"/>
                      <w:szCs w:val="21"/>
                      <w:vertAlign w:val="subscript"/>
                    </w:rPr>
                    <w:t>3</w:t>
                  </w:r>
                  <w:r>
                    <w:rPr>
                      <w:color w:val="auto"/>
                      <w:sz w:val="21"/>
                      <w:szCs w:val="21"/>
                    </w:rPr>
                    <w:t>-N</w:t>
                  </w:r>
                </w:p>
              </w:tc>
              <w:tc>
                <w:tcPr>
                  <w:tcW w:w="412" w:type="pct"/>
                  <w:shd w:val="clear" w:color="auto" w:fill="auto"/>
                  <w:noWrap w:val="0"/>
                  <w:tcMar>
                    <w:top w:w="0" w:type="dxa"/>
                    <w:left w:w="0" w:type="dxa"/>
                    <w:bottom w:w="0" w:type="dxa"/>
                    <w:right w:w="0" w:type="dxa"/>
                  </w:tcMar>
                  <w:vAlign w:val="center"/>
                </w:tcPr>
                <w:p w14:paraId="78530B6E">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0.0038</w:t>
                  </w:r>
                </w:p>
              </w:tc>
              <w:tc>
                <w:tcPr>
                  <w:tcW w:w="397" w:type="pct"/>
                  <w:noWrap w:val="0"/>
                  <w:tcMar>
                    <w:top w:w="0" w:type="dxa"/>
                    <w:left w:w="0" w:type="dxa"/>
                    <w:bottom w:w="0" w:type="dxa"/>
                    <w:right w:w="0" w:type="dxa"/>
                  </w:tcMar>
                  <w:vAlign w:val="center"/>
                </w:tcPr>
                <w:p w14:paraId="0D8ED4A4">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0.0043</w:t>
                  </w:r>
                </w:p>
              </w:tc>
              <w:tc>
                <w:tcPr>
                  <w:tcW w:w="392" w:type="pct"/>
                  <w:noWrap w:val="0"/>
                  <w:tcMar>
                    <w:top w:w="0" w:type="dxa"/>
                    <w:left w:w="0" w:type="dxa"/>
                    <w:bottom w:w="0" w:type="dxa"/>
                    <w:right w:w="0" w:type="dxa"/>
                  </w:tcMar>
                  <w:vAlign w:val="center"/>
                </w:tcPr>
                <w:p w14:paraId="5993D4B9">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385" w:type="pct"/>
                  <w:shd w:val="clear" w:color="auto" w:fill="auto"/>
                  <w:noWrap w:val="0"/>
                  <w:tcMar>
                    <w:top w:w="0" w:type="dxa"/>
                    <w:left w:w="0" w:type="dxa"/>
                    <w:bottom w:w="0" w:type="dxa"/>
                    <w:right w:w="0" w:type="dxa"/>
                  </w:tcMar>
                  <w:vAlign w:val="center"/>
                </w:tcPr>
                <w:p w14:paraId="37378B6D">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0.0043</w:t>
                  </w:r>
                </w:p>
              </w:tc>
              <w:tc>
                <w:tcPr>
                  <w:tcW w:w="614" w:type="pct"/>
                  <w:shd w:val="clear" w:color="auto" w:fill="auto"/>
                  <w:noWrap w:val="0"/>
                  <w:tcMar>
                    <w:top w:w="0" w:type="dxa"/>
                    <w:left w:w="0" w:type="dxa"/>
                    <w:bottom w:w="0" w:type="dxa"/>
                    <w:right w:w="0" w:type="dxa"/>
                  </w:tcMar>
                  <w:vAlign w:val="center"/>
                </w:tcPr>
                <w:p w14:paraId="0EF1C636">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0.0038</w:t>
                  </w:r>
                </w:p>
              </w:tc>
              <w:tc>
                <w:tcPr>
                  <w:tcW w:w="437" w:type="pct"/>
                  <w:shd w:val="clear" w:color="auto" w:fill="auto"/>
                  <w:noWrap w:val="0"/>
                  <w:tcMar>
                    <w:top w:w="0" w:type="dxa"/>
                    <w:left w:w="0" w:type="dxa"/>
                    <w:bottom w:w="0" w:type="dxa"/>
                    <w:right w:w="0" w:type="dxa"/>
                  </w:tcMar>
                  <w:vAlign w:val="center"/>
                </w:tcPr>
                <w:p w14:paraId="0706C90F">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0.0043</w:t>
                  </w:r>
                </w:p>
              </w:tc>
              <w:tc>
                <w:tcPr>
                  <w:tcW w:w="405" w:type="pct"/>
                  <w:noWrap w:val="0"/>
                  <w:tcMar>
                    <w:top w:w="0" w:type="dxa"/>
                    <w:left w:w="0" w:type="dxa"/>
                    <w:bottom w:w="0" w:type="dxa"/>
                    <w:right w:w="0" w:type="dxa"/>
                  </w:tcMar>
                  <w:vAlign w:val="center"/>
                </w:tcPr>
                <w:p w14:paraId="1B2203CC">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0.0005</w:t>
                  </w:r>
                </w:p>
              </w:tc>
              <w:tc>
                <w:tcPr>
                  <w:tcW w:w="548" w:type="pct"/>
                  <w:noWrap w:val="0"/>
                  <w:tcMar>
                    <w:top w:w="0" w:type="dxa"/>
                    <w:left w:w="0" w:type="dxa"/>
                    <w:bottom w:w="0" w:type="dxa"/>
                    <w:right w:w="0" w:type="dxa"/>
                  </w:tcMar>
                  <w:vAlign w:val="center"/>
                </w:tcPr>
                <w:p w14:paraId="5549340D">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Cs w:val="21"/>
                      <w:lang w:val="en-US" w:eastAsia="zh-CN"/>
                    </w:rPr>
                    <w:t>0.0006</w:t>
                  </w:r>
                </w:p>
              </w:tc>
              <w:tc>
                <w:tcPr>
                  <w:tcW w:w="430" w:type="pct"/>
                  <w:shd w:val="clear" w:color="auto" w:fill="auto"/>
                  <w:noWrap w:val="0"/>
                  <w:tcMar>
                    <w:top w:w="0" w:type="dxa"/>
                    <w:left w:w="0" w:type="dxa"/>
                    <w:bottom w:w="0" w:type="dxa"/>
                    <w:right w:w="0" w:type="dxa"/>
                  </w:tcMar>
                  <w:vAlign w:val="center"/>
                </w:tcPr>
                <w:p w14:paraId="15E8650A">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+0.0005</w:t>
                  </w:r>
                </w:p>
              </w:tc>
            </w:tr>
            <w:tr w14:paraId="0D9749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continue"/>
                  <w:noWrap w:val="0"/>
                  <w:tcMar>
                    <w:top w:w="0" w:type="dxa"/>
                    <w:left w:w="0" w:type="dxa"/>
                    <w:bottom w:w="0" w:type="dxa"/>
                    <w:right w:w="0" w:type="dxa"/>
                  </w:tcMar>
                  <w:vAlign w:val="center"/>
                </w:tcPr>
                <w:p w14:paraId="60927A7A">
                  <w:pPr>
                    <w:jc w:val="center"/>
                    <w:rPr>
                      <w:color w:val="auto"/>
                      <w:sz w:val="21"/>
                      <w:szCs w:val="21"/>
                    </w:rPr>
                  </w:pPr>
                </w:p>
              </w:tc>
              <w:tc>
                <w:tcPr>
                  <w:tcW w:w="719" w:type="pct"/>
                  <w:gridSpan w:val="2"/>
                  <w:noWrap w:val="0"/>
                  <w:tcMar>
                    <w:top w:w="0" w:type="dxa"/>
                    <w:left w:w="0" w:type="dxa"/>
                    <w:bottom w:w="0" w:type="dxa"/>
                    <w:right w:w="0" w:type="dxa"/>
                  </w:tcMar>
                  <w:vAlign w:val="center"/>
                </w:tcPr>
                <w:p w14:paraId="5A972EF1">
                  <w:pPr>
                    <w:adjustRightInd w:val="0"/>
                    <w:snapToGrid w:val="0"/>
                    <w:jc w:val="center"/>
                    <w:rPr>
                      <w:color w:val="auto"/>
                      <w:sz w:val="21"/>
                      <w:szCs w:val="21"/>
                    </w:rPr>
                  </w:pPr>
                  <w:r>
                    <w:rPr>
                      <w:bCs/>
                      <w:color w:val="auto"/>
                      <w:sz w:val="21"/>
                      <w:szCs w:val="21"/>
                    </w:rPr>
                    <w:t>TN</w:t>
                  </w:r>
                </w:p>
              </w:tc>
              <w:tc>
                <w:tcPr>
                  <w:tcW w:w="412" w:type="pct"/>
                  <w:shd w:val="clear" w:color="auto" w:fill="auto"/>
                  <w:noWrap w:val="0"/>
                  <w:tcMar>
                    <w:top w:w="0" w:type="dxa"/>
                    <w:left w:w="0" w:type="dxa"/>
                    <w:bottom w:w="0" w:type="dxa"/>
                    <w:right w:w="0" w:type="dxa"/>
                  </w:tcMar>
                  <w:vAlign w:val="center"/>
                </w:tcPr>
                <w:p w14:paraId="26A99B9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0.0054</w:t>
                  </w:r>
                </w:p>
              </w:tc>
              <w:tc>
                <w:tcPr>
                  <w:tcW w:w="397" w:type="pct"/>
                  <w:noWrap w:val="0"/>
                  <w:tcMar>
                    <w:top w:w="0" w:type="dxa"/>
                    <w:left w:w="0" w:type="dxa"/>
                    <w:bottom w:w="0" w:type="dxa"/>
                    <w:right w:w="0" w:type="dxa"/>
                  </w:tcMar>
                  <w:vAlign w:val="center"/>
                </w:tcPr>
                <w:p w14:paraId="10CB2C3E">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0.0058</w:t>
                  </w:r>
                </w:p>
              </w:tc>
              <w:tc>
                <w:tcPr>
                  <w:tcW w:w="392" w:type="pct"/>
                  <w:noWrap w:val="0"/>
                  <w:tcMar>
                    <w:top w:w="0" w:type="dxa"/>
                    <w:left w:w="0" w:type="dxa"/>
                    <w:bottom w:w="0" w:type="dxa"/>
                    <w:right w:w="0" w:type="dxa"/>
                  </w:tcMar>
                  <w:vAlign w:val="center"/>
                </w:tcPr>
                <w:p w14:paraId="0FD81F08">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385" w:type="pct"/>
                  <w:shd w:val="clear" w:color="auto" w:fill="auto"/>
                  <w:noWrap w:val="0"/>
                  <w:tcMar>
                    <w:top w:w="0" w:type="dxa"/>
                    <w:left w:w="0" w:type="dxa"/>
                    <w:bottom w:w="0" w:type="dxa"/>
                    <w:right w:w="0" w:type="dxa"/>
                  </w:tcMar>
                  <w:vAlign w:val="center"/>
                </w:tcPr>
                <w:p w14:paraId="5D792AAA">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0.0058</w:t>
                  </w:r>
                </w:p>
              </w:tc>
              <w:tc>
                <w:tcPr>
                  <w:tcW w:w="614" w:type="pct"/>
                  <w:shd w:val="clear" w:color="auto" w:fill="auto"/>
                  <w:noWrap w:val="0"/>
                  <w:tcMar>
                    <w:top w:w="0" w:type="dxa"/>
                    <w:left w:w="0" w:type="dxa"/>
                    <w:bottom w:w="0" w:type="dxa"/>
                    <w:right w:w="0" w:type="dxa"/>
                  </w:tcMar>
                  <w:vAlign w:val="center"/>
                </w:tcPr>
                <w:p w14:paraId="3C4A5276">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0.0054</w:t>
                  </w:r>
                </w:p>
              </w:tc>
              <w:tc>
                <w:tcPr>
                  <w:tcW w:w="437" w:type="pct"/>
                  <w:shd w:val="clear" w:color="auto" w:fill="auto"/>
                  <w:noWrap w:val="0"/>
                  <w:tcMar>
                    <w:top w:w="0" w:type="dxa"/>
                    <w:left w:w="0" w:type="dxa"/>
                    <w:bottom w:w="0" w:type="dxa"/>
                    <w:right w:w="0" w:type="dxa"/>
                  </w:tcMar>
                  <w:vAlign w:val="center"/>
                </w:tcPr>
                <w:p w14:paraId="72C0E011">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0.0058</w:t>
                  </w:r>
                </w:p>
              </w:tc>
              <w:tc>
                <w:tcPr>
                  <w:tcW w:w="405" w:type="pct"/>
                  <w:noWrap w:val="0"/>
                  <w:tcMar>
                    <w:top w:w="0" w:type="dxa"/>
                    <w:left w:w="0" w:type="dxa"/>
                    <w:bottom w:w="0" w:type="dxa"/>
                    <w:right w:w="0" w:type="dxa"/>
                  </w:tcMar>
                  <w:vAlign w:val="center"/>
                </w:tcPr>
                <w:p w14:paraId="211AC5F0">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0.0004</w:t>
                  </w:r>
                </w:p>
              </w:tc>
              <w:tc>
                <w:tcPr>
                  <w:tcW w:w="548" w:type="pct"/>
                  <w:noWrap w:val="0"/>
                  <w:tcMar>
                    <w:top w:w="0" w:type="dxa"/>
                    <w:left w:w="0" w:type="dxa"/>
                    <w:bottom w:w="0" w:type="dxa"/>
                    <w:right w:w="0" w:type="dxa"/>
                  </w:tcMar>
                  <w:vAlign w:val="center"/>
                </w:tcPr>
                <w:p w14:paraId="21BA93BA">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Cs w:val="21"/>
                      <w:lang w:val="en-US" w:eastAsia="zh-CN"/>
                    </w:rPr>
                    <w:t>0.0017</w:t>
                  </w:r>
                </w:p>
              </w:tc>
              <w:tc>
                <w:tcPr>
                  <w:tcW w:w="430" w:type="pct"/>
                  <w:shd w:val="clear" w:color="auto" w:fill="auto"/>
                  <w:noWrap w:val="0"/>
                  <w:tcMar>
                    <w:top w:w="0" w:type="dxa"/>
                    <w:left w:w="0" w:type="dxa"/>
                    <w:bottom w:w="0" w:type="dxa"/>
                    <w:right w:w="0" w:type="dxa"/>
                  </w:tcMar>
                  <w:vAlign w:val="center"/>
                </w:tcPr>
                <w:p w14:paraId="17E25DFE">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+0.0004</w:t>
                  </w:r>
                </w:p>
              </w:tc>
            </w:tr>
            <w:tr w14:paraId="426253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continue"/>
                  <w:noWrap w:val="0"/>
                  <w:tcMar>
                    <w:top w:w="0" w:type="dxa"/>
                    <w:left w:w="0" w:type="dxa"/>
                    <w:bottom w:w="0" w:type="dxa"/>
                    <w:right w:w="0" w:type="dxa"/>
                  </w:tcMar>
                  <w:vAlign w:val="center"/>
                </w:tcPr>
                <w:p w14:paraId="3AA0CF8E">
                  <w:pPr>
                    <w:jc w:val="center"/>
                    <w:rPr>
                      <w:color w:val="auto"/>
                      <w:sz w:val="21"/>
                      <w:szCs w:val="21"/>
                    </w:rPr>
                  </w:pPr>
                </w:p>
              </w:tc>
              <w:tc>
                <w:tcPr>
                  <w:tcW w:w="719" w:type="pct"/>
                  <w:gridSpan w:val="2"/>
                  <w:noWrap w:val="0"/>
                  <w:tcMar>
                    <w:top w:w="0" w:type="dxa"/>
                    <w:left w:w="0" w:type="dxa"/>
                    <w:bottom w:w="0" w:type="dxa"/>
                    <w:right w:w="0" w:type="dxa"/>
                  </w:tcMar>
                  <w:vAlign w:val="center"/>
                </w:tcPr>
                <w:p w14:paraId="05C14A56">
                  <w:pPr>
                    <w:adjustRightInd w:val="0"/>
                    <w:snapToGrid w:val="0"/>
                    <w:jc w:val="center"/>
                    <w:rPr>
                      <w:bCs/>
                      <w:color w:val="auto"/>
                      <w:sz w:val="21"/>
                      <w:szCs w:val="21"/>
                    </w:rPr>
                  </w:pPr>
                  <w:r>
                    <w:rPr>
                      <w:bCs/>
                      <w:color w:val="auto"/>
                      <w:sz w:val="21"/>
                      <w:szCs w:val="21"/>
                    </w:rPr>
                    <w:t>TP</w:t>
                  </w:r>
                </w:p>
              </w:tc>
              <w:tc>
                <w:tcPr>
                  <w:tcW w:w="412" w:type="pct"/>
                  <w:shd w:val="clear" w:color="auto" w:fill="auto"/>
                  <w:noWrap w:val="0"/>
                  <w:tcMar>
                    <w:top w:w="0" w:type="dxa"/>
                    <w:left w:w="0" w:type="dxa"/>
                    <w:bottom w:w="0" w:type="dxa"/>
                    <w:right w:w="0" w:type="dxa"/>
                  </w:tcMar>
                  <w:vAlign w:val="center"/>
                </w:tcPr>
                <w:p w14:paraId="21A7CAB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0.0003</w:t>
                  </w:r>
                </w:p>
              </w:tc>
              <w:tc>
                <w:tcPr>
                  <w:tcW w:w="397" w:type="pct"/>
                  <w:noWrap w:val="0"/>
                  <w:tcMar>
                    <w:top w:w="0" w:type="dxa"/>
                    <w:left w:w="0" w:type="dxa"/>
                    <w:bottom w:w="0" w:type="dxa"/>
                    <w:right w:w="0" w:type="dxa"/>
                  </w:tcMar>
                  <w:vAlign w:val="center"/>
                </w:tcPr>
                <w:p w14:paraId="5D817996">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0.0004</w:t>
                  </w:r>
                </w:p>
              </w:tc>
              <w:tc>
                <w:tcPr>
                  <w:tcW w:w="392" w:type="pct"/>
                  <w:noWrap w:val="0"/>
                  <w:tcMar>
                    <w:top w:w="0" w:type="dxa"/>
                    <w:left w:w="0" w:type="dxa"/>
                    <w:bottom w:w="0" w:type="dxa"/>
                    <w:right w:w="0" w:type="dxa"/>
                  </w:tcMar>
                  <w:vAlign w:val="center"/>
                </w:tcPr>
                <w:p w14:paraId="2A843B20">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385" w:type="pct"/>
                  <w:shd w:val="clear" w:color="auto" w:fill="auto"/>
                  <w:noWrap w:val="0"/>
                  <w:tcMar>
                    <w:top w:w="0" w:type="dxa"/>
                    <w:left w:w="0" w:type="dxa"/>
                    <w:bottom w:w="0" w:type="dxa"/>
                    <w:right w:w="0" w:type="dxa"/>
                  </w:tcMar>
                  <w:vAlign w:val="center"/>
                </w:tcPr>
                <w:p w14:paraId="3A3B916B">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0.0004</w:t>
                  </w:r>
                </w:p>
              </w:tc>
              <w:tc>
                <w:tcPr>
                  <w:tcW w:w="614" w:type="pct"/>
                  <w:shd w:val="clear" w:color="auto" w:fill="auto"/>
                  <w:noWrap w:val="0"/>
                  <w:tcMar>
                    <w:top w:w="0" w:type="dxa"/>
                    <w:left w:w="0" w:type="dxa"/>
                    <w:bottom w:w="0" w:type="dxa"/>
                    <w:right w:w="0" w:type="dxa"/>
                  </w:tcMar>
                  <w:vAlign w:val="center"/>
                </w:tcPr>
                <w:p w14:paraId="6A9AA372">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0.0003</w:t>
                  </w:r>
                </w:p>
              </w:tc>
              <w:tc>
                <w:tcPr>
                  <w:tcW w:w="437" w:type="pct"/>
                  <w:shd w:val="clear" w:color="auto" w:fill="auto"/>
                  <w:noWrap w:val="0"/>
                  <w:tcMar>
                    <w:top w:w="0" w:type="dxa"/>
                    <w:left w:w="0" w:type="dxa"/>
                    <w:bottom w:w="0" w:type="dxa"/>
                    <w:right w:w="0" w:type="dxa"/>
                  </w:tcMar>
                  <w:vAlign w:val="center"/>
                </w:tcPr>
                <w:p w14:paraId="56AA4CDD">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0.0004</w:t>
                  </w:r>
                </w:p>
              </w:tc>
              <w:tc>
                <w:tcPr>
                  <w:tcW w:w="405" w:type="pct"/>
                  <w:noWrap w:val="0"/>
                  <w:tcMar>
                    <w:top w:w="0" w:type="dxa"/>
                    <w:left w:w="0" w:type="dxa"/>
                    <w:bottom w:w="0" w:type="dxa"/>
                    <w:right w:w="0" w:type="dxa"/>
                  </w:tcMar>
                  <w:vAlign w:val="center"/>
                </w:tcPr>
                <w:p w14:paraId="0AD2C24B">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0.0001</w:t>
                  </w:r>
                </w:p>
              </w:tc>
              <w:tc>
                <w:tcPr>
                  <w:tcW w:w="548" w:type="pct"/>
                  <w:noWrap w:val="0"/>
                  <w:tcMar>
                    <w:top w:w="0" w:type="dxa"/>
                    <w:left w:w="0" w:type="dxa"/>
                    <w:bottom w:w="0" w:type="dxa"/>
                    <w:right w:w="0" w:type="dxa"/>
                  </w:tcMar>
                  <w:vAlign w:val="center"/>
                </w:tcPr>
                <w:p w14:paraId="7963B4C4">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Cs w:val="21"/>
                      <w:lang w:val="en-US" w:eastAsia="zh-CN"/>
                    </w:rPr>
                    <w:t>0.0001</w:t>
                  </w:r>
                </w:p>
              </w:tc>
              <w:tc>
                <w:tcPr>
                  <w:tcW w:w="430" w:type="pct"/>
                  <w:shd w:val="clear" w:color="auto" w:fill="auto"/>
                  <w:noWrap w:val="0"/>
                  <w:tcMar>
                    <w:top w:w="0" w:type="dxa"/>
                    <w:left w:w="0" w:type="dxa"/>
                    <w:bottom w:w="0" w:type="dxa"/>
                    <w:right w:w="0" w:type="dxa"/>
                  </w:tcMar>
                  <w:vAlign w:val="center"/>
                </w:tcPr>
                <w:p w14:paraId="25BBE224">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+0.0001</w:t>
                  </w:r>
                </w:p>
              </w:tc>
            </w:tr>
            <w:tr w14:paraId="3ABEBE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restart"/>
                  <w:noWrap w:val="0"/>
                  <w:tcMar>
                    <w:top w:w="0" w:type="dxa"/>
                    <w:left w:w="0" w:type="dxa"/>
                    <w:bottom w:w="0" w:type="dxa"/>
                    <w:right w:w="0" w:type="dxa"/>
                  </w:tcMar>
                  <w:vAlign w:val="center"/>
                </w:tcPr>
                <w:p w14:paraId="0586CE2A">
                  <w:pPr>
                    <w:jc w:val="center"/>
                    <w:rPr>
                      <w:color w:val="auto"/>
                      <w:sz w:val="21"/>
                      <w:szCs w:val="21"/>
                    </w:rPr>
                  </w:pPr>
                  <w:r>
                    <w:rPr>
                      <w:color w:val="auto"/>
                      <w:sz w:val="21"/>
                      <w:szCs w:val="21"/>
                    </w:rPr>
                    <w:t>固废</w:t>
                  </w:r>
                </w:p>
              </w:tc>
              <w:tc>
                <w:tcPr>
                  <w:tcW w:w="719" w:type="pct"/>
                  <w:gridSpan w:val="2"/>
                  <w:noWrap w:val="0"/>
                  <w:tcMar>
                    <w:top w:w="0" w:type="dxa"/>
                    <w:left w:w="0" w:type="dxa"/>
                    <w:bottom w:w="0" w:type="dxa"/>
                    <w:right w:w="0" w:type="dxa"/>
                  </w:tcMar>
                  <w:vAlign w:val="center"/>
                </w:tcPr>
                <w:p w14:paraId="234B8311">
                  <w:pPr>
                    <w:snapToGrid w:val="0"/>
                    <w:jc w:val="center"/>
                    <w:rPr>
                      <w:bCs/>
                      <w:color w:val="auto"/>
                      <w:sz w:val="21"/>
                      <w:szCs w:val="21"/>
                    </w:rPr>
                  </w:pPr>
                  <w:r>
                    <w:rPr>
                      <w:bCs/>
                      <w:color w:val="auto"/>
                      <w:sz w:val="21"/>
                      <w:szCs w:val="21"/>
                    </w:rPr>
                    <w:t>一般固废</w:t>
                  </w:r>
                </w:p>
              </w:tc>
              <w:tc>
                <w:tcPr>
                  <w:tcW w:w="412" w:type="pct"/>
                  <w:noWrap w:val="0"/>
                  <w:tcMar>
                    <w:top w:w="0" w:type="dxa"/>
                    <w:left w:w="0" w:type="dxa"/>
                    <w:bottom w:w="0" w:type="dxa"/>
                    <w:right w:w="0" w:type="dxa"/>
                  </w:tcMar>
                  <w:vAlign w:val="center"/>
                </w:tcPr>
                <w:p w14:paraId="6143ECE7">
                  <w:pPr>
                    <w:jc w:val="center"/>
                    <w:rPr>
                      <w:color w:val="auto"/>
                      <w:sz w:val="21"/>
                      <w:szCs w:val="21"/>
                    </w:rPr>
                  </w:pPr>
                  <w:r>
                    <w:rPr>
                      <w:rFonts w:hint="eastAsia"/>
                      <w:color w:val="auto"/>
                      <w:sz w:val="21"/>
                      <w:szCs w:val="21"/>
                    </w:rPr>
                    <w:t>0</w:t>
                  </w:r>
                </w:p>
              </w:tc>
              <w:tc>
                <w:tcPr>
                  <w:tcW w:w="397" w:type="pct"/>
                  <w:noWrap w:val="0"/>
                  <w:tcMar>
                    <w:top w:w="0" w:type="dxa"/>
                    <w:left w:w="0" w:type="dxa"/>
                    <w:bottom w:w="0" w:type="dxa"/>
                    <w:right w:w="0" w:type="dxa"/>
                  </w:tcMar>
                  <w:vAlign w:val="center"/>
                </w:tcPr>
                <w:p w14:paraId="23E549FE">
                  <w:pPr>
                    <w:jc w:val="center"/>
                    <w:rPr>
                      <w:rFonts w:hint="default" w:eastAsia="宋体"/>
                      <w:color w:val="auto"/>
                      <w:sz w:val="21"/>
                      <w:szCs w:val="21"/>
                      <w:lang w:val="en-US" w:eastAsia="zh-CN"/>
                    </w:rPr>
                  </w:pPr>
                  <w:r>
                    <w:rPr>
                      <w:rFonts w:hint="eastAsia"/>
                      <w:color w:val="auto"/>
                      <w:sz w:val="21"/>
                      <w:szCs w:val="21"/>
                      <w:lang w:val="en-US" w:eastAsia="zh-CN"/>
                    </w:rPr>
                    <w:t>24.01</w:t>
                  </w:r>
                </w:p>
              </w:tc>
              <w:tc>
                <w:tcPr>
                  <w:tcW w:w="392" w:type="pct"/>
                  <w:shd w:val="clear" w:color="auto" w:fill="auto"/>
                  <w:noWrap w:val="0"/>
                  <w:tcMar>
                    <w:top w:w="0" w:type="dxa"/>
                    <w:left w:w="0" w:type="dxa"/>
                    <w:bottom w:w="0" w:type="dxa"/>
                    <w:right w:w="0" w:type="dxa"/>
                  </w:tcMar>
                  <w:vAlign w:val="center"/>
                </w:tcPr>
                <w:p w14:paraId="0F8A52F9">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24.01</w:t>
                  </w:r>
                </w:p>
              </w:tc>
              <w:tc>
                <w:tcPr>
                  <w:tcW w:w="385" w:type="pct"/>
                  <w:noWrap w:val="0"/>
                  <w:tcMar>
                    <w:top w:w="0" w:type="dxa"/>
                    <w:left w:w="0" w:type="dxa"/>
                    <w:bottom w:w="0" w:type="dxa"/>
                    <w:right w:w="0" w:type="dxa"/>
                  </w:tcMar>
                  <w:vAlign w:val="center"/>
                </w:tcPr>
                <w:p w14:paraId="6E30F5A4">
                  <w:pPr>
                    <w:jc w:val="center"/>
                    <w:rPr>
                      <w:color w:val="auto"/>
                      <w:sz w:val="21"/>
                      <w:szCs w:val="21"/>
                    </w:rPr>
                  </w:pPr>
                  <w:r>
                    <w:rPr>
                      <w:color w:val="auto"/>
                      <w:sz w:val="21"/>
                      <w:szCs w:val="21"/>
                    </w:rPr>
                    <w:t>0</w:t>
                  </w:r>
                </w:p>
              </w:tc>
              <w:tc>
                <w:tcPr>
                  <w:tcW w:w="614" w:type="pct"/>
                  <w:noWrap w:val="0"/>
                  <w:tcMar>
                    <w:top w:w="0" w:type="dxa"/>
                    <w:left w:w="0" w:type="dxa"/>
                    <w:bottom w:w="0" w:type="dxa"/>
                    <w:right w:w="0" w:type="dxa"/>
                  </w:tcMar>
                  <w:vAlign w:val="center"/>
                </w:tcPr>
                <w:p w14:paraId="71BDB80D">
                  <w:pPr>
                    <w:jc w:val="center"/>
                    <w:rPr>
                      <w:color w:val="auto"/>
                      <w:sz w:val="21"/>
                      <w:szCs w:val="21"/>
                    </w:rPr>
                  </w:pPr>
                  <w:r>
                    <w:rPr>
                      <w:color w:val="auto"/>
                      <w:sz w:val="21"/>
                      <w:szCs w:val="21"/>
                    </w:rPr>
                    <w:t>0</w:t>
                  </w:r>
                </w:p>
              </w:tc>
              <w:tc>
                <w:tcPr>
                  <w:tcW w:w="437" w:type="pct"/>
                  <w:noWrap w:val="0"/>
                  <w:tcMar>
                    <w:top w:w="0" w:type="dxa"/>
                    <w:left w:w="0" w:type="dxa"/>
                    <w:bottom w:w="0" w:type="dxa"/>
                    <w:right w:w="0" w:type="dxa"/>
                  </w:tcMar>
                  <w:vAlign w:val="center"/>
                </w:tcPr>
                <w:p w14:paraId="61BC6B93">
                  <w:pPr>
                    <w:jc w:val="center"/>
                    <w:rPr>
                      <w:color w:val="auto"/>
                      <w:sz w:val="21"/>
                      <w:szCs w:val="21"/>
                    </w:rPr>
                  </w:pPr>
                  <w:r>
                    <w:rPr>
                      <w:color w:val="auto"/>
                      <w:sz w:val="21"/>
                      <w:szCs w:val="21"/>
                    </w:rPr>
                    <w:t>0</w:t>
                  </w:r>
                </w:p>
              </w:tc>
              <w:tc>
                <w:tcPr>
                  <w:tcW w:w="405" w:type="pct"/>
                  <w:noWrap w:val="0"/>
                  <w:tcMar>
                    <w:top w:w="0" w:type="dxa"/>
                    <w:left w:w="0" w:type="dxa"/>
                    <w:bottom w:w="0" w:type="dxa"/>
                    <w:right w:w="0" w:type="dxa"/>
                  </w:tcMar>
                  <w:vAlign w:val="center"/>
                </w:tcPr>
                <w:p w14:paraId="3133BA6A">
                  <w:pPr>
                    <w:jc w:val="center"/>
                    <w:rPr>
                      <w:color w:val="auto"/>
                      <w:sz w:val="21"/>
                      <w:szCs w:val="21"/>
                    </w:rPr>
                  </w:pPr>
                  <w:r>
                    <w:rPr>
                      <w:color w:val="auto"/>
                      <w:sz w:val="21"/>
                      <w:szCs w:val="21"/>
                    </w:rPr>
                    <w:t>0</w:t>
                  </w:r>
                </w:p>
              </w:tc>
              <w:tc>
                <w:tcPr>
                  <w:tcW w:w="548" w:type="pct"/>
                  <w:noWrap w:val="0"/>
                  <w:tcMar>
                    <w:top w:w="0" w:type="dxa"/>
                    <w:left w:w="0" w:type="dxa"/>
                    <w:bottom w:w="0" w:type="dxa"/>
                    <w:right w:w="0" w:type="dxa"/>
                  </w:tcMar>
                  <w:vAlign w:val="center"/>
                </w:tcPr>
                <w:p w14:paraId="7F1108C1">
                  <w:pPr>
                    <w:jc w:val="center"/>
                    <w:rPr>
                      <w:color w:val="auto"/>
                      <w:sz w:val="21"/>
                      <w:szCs w:val="21"/>
                    </w:rPr>
                  </w:pPr>
                  <w:r>
                    <w:rPr>
                      <w:color w:val="auto"/>
                      <w:sz w:val="21"/>
                      <w:szCs w:val="21"/>
                    </w:rPr>
                    <w:t>0</w:t>
                  </w:r>
                </w:p>
              </w:tc>
              <w:tc>
                <w:tcPr>
                  <w:tcW w:w="430" w:type="pct"/>
                  <w:noWrap w:val="0"/>
                  <w:tcMar>
                    <w:top w:w="0" w:type="dxa"/>
                    <w:left w:w="0" w:type="dxa"/>
                    <w:bottom w:w="0" w:type="dxa"/>
                    <w:right w:w="0" w:type="dxa"/>
                  </w:tcMar>
                  <w:vAlign w:val="center"/>
                </w:tcPr>
                <w:p w14:paraId="18A3340C">
                  <w:pPr>
                    <w:jc w:val="center"/>
                    <w:rPr>
                      <w:color w:val="auto"/>
                      <w:sz w:val="21"/>
                      <w:szCs w:val="21"/>
                    </w:rPr>
                  </w:pPr>
                  <w:r>
                    <w:rPr>
                      <w:color w:val="auto"/>
                      <w:sz w:val="21"/>
                      <w:szCs w:val="21"/>
                    </w:rPr>
                    <w:t>0</w:t>
                  </w:r>
                </w:p>
              </w:tc>
            </w:tr>
            <w:tr w14:paraId="2D32AB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continue"/>
                  <w:noWrap w:val="0"/>
                  <w:tcMar>
                    <w:top w:w="0" w:type="dxa"/>
                    <w:left w:w="0" w:type="dxa"/>
                    <w:bottom w:w="0" w:type="dxa"/>
                    <w:right w:w="0" w:type="dxa"/>
                  </w:tcMar>
                  <w:vAlign w:val="center"/>
                </w:tcPr>
                <w:p w14:paraId="0923810F">
                  <w:pPr>
                    <w:jc w:val="center"/>
                    <w:rPr>
                      <w:color w:val="auto"/>
                      <w:sz w:val="21"/>
                      <w:szCs w:val="21"/>
                    </w:rPr>
                  </w:pPr>
                </w:p>
              </w:tc>
              <w:tc>
                <w:tcPr>
                  <w:tcW w:w="719" w:type="pct"/>
                  <w:gridSpan w:val="2"/>
                  <w:noWrap w:val="0"/>
                  <w:tcMar>
                    <w:top w:w="0" w:type="dxa"/>
                    <w:left w:w="0" w:type="dxa"/>
                    <w:bottom w:w="0" w:type="dxa"/>
                    <w:right w:w="0" w:type="dxa"/>
                  </w:tcMar>
                  <w:vAlign w:val="center"/>
                </w:tcPr>
                <w:p w14:paraId="18115F78">
                  <w:pPr>
                    <w:snapToGrid w:val="0"/>
                    <w:jc w:val="center"/>
                    <w:rPr>
                      <w:bCs/>
                      <w:color w:val="auto"/>
                      <w:sz w:val="21"/>
                      <w:szCs w:val="21"/>
                    </w:rPr>
                  </w:pPr>
                  <w:r>
                    <w:rPr>
                      <w:bCs/>
                      <w:color w:val="auto"/>
                      <w:sz w:val="21"/>
                      <w:szCs w:val="21"/>
                    </w:rPr>
                    <w:t>危险固废</w:t>
                  </w:r>
                </w:p>
              </w:tc>
              <w:tc>
                <w:tcPr>
                  <w:tcW w:w="412" w:type="pct"/>
                  <w:noWrap w:val="0"/>
                  <w:tcMar>
                    <w:top w:w="0" w:type="dxa"/>
                    <w:left w:w="0" w:type="dxa"/>
                    <w:bottom w:w="0" w:type="dxa"/>
                    <w:right w:w="0" w:type="dxa"/>
                  </w:tcMar>
                  <w:vAlign w:val="center"/>
                </w:tcPr>
                <w:p w14:paraId="7426224A">
                  <w:pPr>
                    <w:jc w:val="center"/>
                    <w:rPr>
                      <w:color w:val="auto"/>
                      <w:sz w:val="21"/>
                      <w:szCs w:val="21"/>
                    </w:rPr>
                  </w:pPr>
                  <w:r>
                    <w:rPr>
                      <w:rFonts w:hint="eastAsia"/>
                      <w:color w:val="auto"/>
                      <w:sz w:val="21"/>
                      <w:szCs w:val="21"/>
                    </w:rPr>
                    <w:t>0</w:t>
                  </w:r>
                </w:p>
              </w:tc>
              <w:tc>
                <w:tcPr>
                  <w:tcW w:w="397" w:type="pct"/>
                  <w:noWrap w:val="0"/>
                  <w:tcMar>
                    <w:top w:w="0" w:type="dxa"/>
                    <w:left w:w="0" w:type="dxa"/>
                    <w:bottom w:w="0" w:type="dxa"/>
                    <w:right w:w="0" w:type="dxa"/>
                  </w:tcMar>
                  <w:vAlign w:val="center"/>
                </w:tcPr>
                <w:p w14:paraId="4116F7EA">
                  <w:pPr>
                    <w:jc w:val="center"/>
                    <w:rPr>
                      <w:rFonts w:hint="default" w:eastAsia="宋体"/>
                      <w:color w:val="auto"/>
                      <w:sz w:val="21"/>
                      <w:szCs w:val="21"/>
                      <w:lang w:val="en-US" w:eastAsia="zh-CN"/>
                    </w:rPr>
                  </w:pPr>
                  <w:r>
                    <w:rPr>
                      <w:rFonts w:hint="eastAsia"/>
                      <w:color w:val="auto"/>
                      <w:sz w:val="21"/>
                      <w:szCs w:val="21"/>
                      <w:lang w:val="en-US" w:eastAsia="zh-CN"/>
                    </w:rPr>
                    <w:t>14.83</w:t>
                  </w:r>
                </w:p>
              </w:tc>
              <w:tc>
                <w:tcPr>
                  <w:tcW w:w="392" w:type="pct"/>
                  <w:shd w:val="clear" w:color="auto" w:fill="auto"/>
                  <w:noWrap w:val="0"/>
                  <w:tcMar>
                    <w:top w:w="0" w:type="dxa"/>
                    <w:left w:w="0" w:type="dxa"/>
                    <w:bottom w:w="0" w:type="dxa"/>
                    <w:right w:w="0" w:type="dxa"/>
                  </w:tcMar>
                  <w:vAlign w:val="center"/>
                </w:tcPr>
                <w:p w14:paraId="4120987C">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14.83</w:t>
                  </w:r>
                </w:p>
              </w:tc>
              <w:tc>
                <w:tcPr>
                  <w:tcW w:w="385" w:type="pct"/>
                  <w:noWrap w:val="0"/>
                  <w:tcMar>
                    <w:top w:w="0" w:type="dxa"/>
                    <w:left w:w="0" w:type="dxa"/>
                    <w:bottom w:w="0" w:type="dxa"/>
                    <w:right w:w="0" w:type="dxa"/>
                  </w:tcMar>
                  <w:vAlign w:val="center"/>
                </w:tcPr>
                <w:p w14:paraId="5F6B05C6">
                  <w:pPr>
                    <w:jc w:val="center"/>
                    <w:rPr>
                      <w:color w:val="auto"/>
                      <w:sz w:val="21"/>
                      <w:szCs w:val="21"/>
                    </w:rPr>
                  </w:pPr>
                  <w:r>
                    <w:rPr>
                      <w:color w:val="auto"/>
                      <w:sz w:val="21"/>
                      <w:szCs w:val="21"/>
                    </w:rPr>
                    <w:t>0</w:t>
                  </w:r>
                </w:p>
              </w:tc>
              <w:tc>
                <w:tcPr>
                  <w:tcW w:w="614" w:type="pct"/>
                  <w:noWrap w:val="0"/>
                  <w:tcMar>
                    <w:top w:w="0" w:type="dxa"/>
                    <w:left w:w="0" w:type="dxa"/>
                    <w:bottom w:w="0" w:type="dxa"/>
                    <w:right w:w="0" w:type="dxa"/>
                  </w:tcMar>
                  <w:vAlign w:val="center"/>
                </w:tcPr>
                <w:p w14:paraId="1293FCCA">
                  <w:pPr>
                    <w:jc w:val="center"/>
                    <w:rPr>
                      <w:color w:val="auto"/>
                      <w:sz w:val="21"/>
                      <w:szCs w:val="21"/>
                    </w:rPr>
                  </w:pPr>
                  <w:r>
                    <w:rPr>
                      <w:color w:val="auto"/>
                      <w:sz w:val="21"/>
                      <w:szCs w:val="21"/>
                    </w:rPr>
                    <w:t>0</w:t>
                  </w:r>
                </w:p>
              </w:tc>
              <w:tc>
                <w:tcPr>
                  <w:tcW w:w="437" w:type="pct"/>
                  <w:noWrap w:val="0"/>
                  <w:tcMar>
                    <w:top w:w="0" w:type="dxa"/>
                    <w:left w:w="0" w:type="dxa"/>
                    <w:bottom w:w="0" w:type="dxa"/>
                    <w:right w:w="0" w:type="dxa"/>
                  </w:tcMar>
                  <w:vAlign w:val="center"/>
                </w:tcPr>
                <w:p w14:paraId="10EE851B">
                  <w:pPr>
                    <w:jc w:val="center"/>
                    <w:rPr>
                      <w:color w:val="auto"/>
                      <w:sz w:val="21"/>
                      <w:szCs w:val="21"/>
                    </w:rPr>
                  </w:pPr>
                  <w:r>
                    <w:rPr>
                      <w:color w:val="auto"/>
                      <w:sz w:val="21"/>
                      <w:szCs w:val="21"/>
                    </w:rPr>
                    <w:t>0</w:t>
                  </w:r>
                </w:p>
              </w:tc>
              <w:tc>
                <w:tcPr>
                  <w:tcW w:w="405" w:type="pct"/>
                  <w:noWrap w:val="0"/>
                  <w:tcMar>
                    <w:top w:w="0" w:type="dxa"/>
                    <w:left w:w="0" w:type="dxa"/>
                    <w:bottom w:w="0" w:type="dxa"/>
                    <w:right w:w="0" w:type="dxa"/>
                  </w:tcMar>
                  <w:vAlign w:val="center"/>
                </w:tcPr>
                <w:p w14:paraId="5C0815FC">
                  <w:pPr>
                    <w:jc w:val="center"/>
                    <w:rPr>
                      <w:color w:val="auto"/>
                      <w:sz w:val="21"/>
                      <w:szCs w:val="21"/>
                    </w:rPr>
                  </w:pPr>
                  <w:r>
                    <w:rPr>
                      <w:color w:val="auto"/>
                      <w:sz w:val="21"/>
                      <w:szCs w:val="21"/>
                    </w:rPr>
                    <w:t>0</w:t>
                  </w:r>
                </w:p>
              </w:tc>
              <w:tc>
                <w:tcPr>
                  <w:tcW w:w="548" w:type="pct"/>
                  <w:noWrap w:val="0"/>
                  <w:tcMar>
                    <w:top w:w="0" w:type="dxa"/>
                    <w:left w:w="0" w:type="dxa"/>
                    <w:bottom w:w="0" w:type="dxa"/>
                    <w:right w:w="0" w:type="dxa"/>
                  </w:tcMar>
                  <w:vAlign w:val="center"/>
                </w:tcPr>
                <w:p w14:paraId="1690FB67">
                  <w:pPr>
                    <w:jc w:val="center"/>
                    <w:rPr>
                      <w:color w:val="auto"/>
                      <w:sz w:val="21"/>
                      <w:szCs w:val="21"/>
                    </w:rPr>
                  </w:pPr>
                  <w:r>
                    <w:rPr>
                      <w:color w:val="auto"/>
                      <w:sz w:val="21"/>
                      <w:szCs w:val="21"/>
                    </w:rPr>
                    <w:t>0</w:t>
                  </w:r>
                </w:p>
              </w:tc>
              <w:tc>
                <w:tcPr>
                  <w:tcW w:w="430" w:type="pct"/>
                  <w:noWrap w:val="0"/>
                  <w:tcMar>
                    <w:top w:w="0" w:type="dxa"/>
                    <w:left w:w="0" w:type="dxa"/>
                    <w:bottom w:w="0" w:type="dxa"/>
                    <w:right w:w="0" w:type="dxa"/>
                  </w:tcMar>
                  <w:vAlign w:val="center"/>
                </w:tcPr>
                <w:p w14:paraId="2C1D57DF">
                  <w:pPr>
                    <w:jc w:val="center"/>
                    <w:rPr>
                      <w:color w:val="auto"/>
                      <w:sz w:val="21"/>
                      <w:szCs w:val="21"/>
                    </w:rPr>
                  </w:pPr>
                  <w:r>
                    <w:rPr>
                      <w:color w:val="auto"/>
                      <w:sz w:val="21"/>
                      <w:szCs w:val="21"/>
                    </w:rPr>
                    <w:t>0</w:t>
                  </w:r>
                </w:p>
              </w:tc>
            </w:tr>
            <w:tr w14:paraId="39BC75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7" w:type="pct"/>
                  <w:vMerge w:val="continue"/>
                  <w:noWrap w:val="0"/>
                  <w:tcMar>
                    <w:top w:w="0" w:type="dxa"/>
                    <w:left w:w="0" w:type="dxa"/>
                    <w:bottom w:w="0" w:type="dxa"/>
                    <w:right w:w="0" w:type="dxa"/>
                  </w:tcMar>
                  <w:vAlign w:val="center"/>
                </w:tcPr>
                <w:p w14:paraId="7391ADAA">
                  <w:pPr>
                    <w:jc w:val="center"/>
                    <w:rPr>
                      <w:color w:val="auto"/>
                      <w:sz w:val="21"/>
                      <w:szCs w:val="21"/>
                    </w:rPr>
                  </w:pPr>
                </w:p>
              </w:tc>
              <w:tc>
                <w:tcPr>
                  <w:tcW w:w="719" w:type="pct"/>
                  <w:gridSpan w:val="2"/>
                  <w:noWrap w:val="0"/>
                  <w:tcMar>
                    <w:top w:w="0" w:type="dxa"/>
                    <w:left w:w="0" w:type="dxa"/>
                    <w:bottom w:w="0" w:type="dxa"/>
                    <w:right w:w="0" w:type="dxa"/>
                  </w:tcMar>
                  <w:vAlign w:val="center"/>
                </w:tcPr>
                <w:p w14:paraId="2469F5B4">
                  <w:pPr>
                    <w:snapToGrid w:val="0"/>
                    <w:jc w:val="center"/>
                    <w:rPr>
                      <w:color w:val="auto"/>
                      <w:sz w:val="21"/>
                      <w:szCs w:val="21"/>
                    </w:rPr>
                  </w:pPr>
                  <w:r>
                    <w:rPr>
                      <w:color w:val="auto"/>
                      <w:sz w:val="21"/>
                      <w:szCs w:val="21"/>
                    </w:rPr>
                    <w:t>生活垃圾</w:t>
                  </w:r>
                </w:p>
              </w:tc>
              <w:tc>
                <w:tcPr>
                  <w:tcW w:w="412" w:type="pct"/>
                  <w:noWrap w:val="0"/>
                  <w:tcMar>
                    <w:top w:w="0" w:type="dxa"/>
                    <w:left w:w="0" w:type="dxa"/>
                    <w:bottom w:w="0" w:type="dxa"/>
                    <w:right w:w="0" w:type="dxa"/>
                  </w:tcMar>
                  <w:vAlign w:val="center"/>
                </w:tcPr>
                <w:p w14:paraId="72052C53">
                  <w:pPr>
                    <w:jc w:val="center"/>
                    <w:rPr>
                      <w:color w:val="auto"/>
                      <w:sz w:val="21"/>
                      <w:szCs w:val="21"/>
                    </w:rPr>
                  </w:pPr>
                  <w:r>
                    <w:rPr>
                      <w:rFonts w:hint="eastAsia"/>
                      <w:color w:val="auto"/>
                      <w:sz w:val="21"/>
                      <w:szCs w:val="21"/>
                    </w:rPr>
                    <w:t>0</w:t>
                  </w:r>
                </w:p>
              </w:tc>
              <w:tc>
                <w:tcPr>
                  <w:tcW w:w="397" w:type="pct"/>
                  <w:noWrap w:val="0"/>
                  <w:tcMar>
                    <w:top w:w="0" w:type="dxa"/>
                    <w:left w:w="0" w:type="dxa"/>
                    <w:bottom w:w="0" w:type="dxa"/>
                    <w:right w:w="0" w:type="dxa"/>
                  </w:tcMar>
                  <w:vAlign w:val="center"/>
                </w:tcPr>
                <w:p w14:paraId="6C8EEC1B">
                  <w:pPr>
                    <w:jc w:val="center"/>
                    <w:rPr>
                      <w:rFonts w:hint="default" w:eastAsia="宋体"/>
                      <w:color w:val="auto"/>
                      <w:sz w:val="21"/>
                      <w:szCs w:val="21"/>
                      <w:lang w:val="en-US" w:eastAsia="zh-CN"/>
                    </w:rPr>
                  </w:pPr>
                  <w:r>
                    <w:rPr>
                      <w:rFonts w:hint="eastAsia"/>
                      <w:color w:val="auto"/>
                      <w:sz w:val="21"/>
                      <w:szCs w:val="21"/>
                      <w:lang w:val="en-US" w:eastAsia="zh-CN"/>
                    </w:rPr>
                    <w:t>0.9</w:t>
                  </w:r>
                </w:p>
              </w:tc>
              <w:tc>
                <w:tcPr>
                  <w:tcW w:w="392" w:type="pct"/>
                  <w:noWrap w:val="0"/>
                  <w:tcMar>
                    <w:top w:w="0" w:type="dxa"/>
                    <w:left w:w="0" w:type="dxa"/>
                    <w:bottom w:w="0" w:type="dxa"/>
                    <w:right w:w="0" w:type="dxa"/>
                  </w:tcMar>
                  <w:vAlign w:val="center"/>
                </w:tcPr>
                <w:p w14:paraId="7B848D07">
                  <w:pPr>
                    <w:jc w:val="center"/>
                    <w:rPr>
                      <w:rFonts w:hint="default" w:eastAsia="宋体"/>
                      <w:color w:val="auto"/>
                      <w:kern w:val="2"/>
                      <w:sz w:val="21"/>
                      <w:szCs w:val="21"/>
                      <w:lang w:val="en-US" w:eastAsia="zh-CN" w:bidi="ar-SA"/>
                    </w:rPr>
                  </w:pPr>
                  <w:r>
                    <w:rPr>
                      <w:rFonts w:hint="eastAsia"/>
                      <w:color w:val="auto"/>
                      <w:sz w:val="21"/>
                      <w:szCs w:val="21"/>
                      <w:lang w:val="en-US" w:eastAsia="zh-CN"/>
                    </w:rPr>
                    <w:t>0.9</w:t>
                  </w:r>
                </w:p>
              </w:tc>
              <w:tc>
                <w:tcPr>
                  <w:tcW w:w="385" w:type="pct"/>
                  <w:noWrap w:val="0"/>
                  <w:tcMar>
                    <w:top w:w="0" w:type="dxa"/>
                    <w:left w:w="0" w:type="dxa"/>
                    <w:bottom w:w="0" w:type="dxa"/>
                    <w:right w:w="0" w:type="dxa"/>
                  </w:tcMar>
                  <w:vAlign w:val="center"/>
                </w:tcPr>
                <w:p w14:paraId="2F896F78">
                  <w:pPr>
                    <w:jc w:val="center"/>
                    <w:rPr>
                      <w:color w:val="auto"/>
                      <w:sz w:val="21"/>
                      <w:szCs w:val="21"/>
                    </w:rPr>
                  </w:pPr>
                  <w:r>
                    <w:rPr>
                      <w:color w:val="auto"/>
                      <w:sz w:val="21"/>
                      <w:szCs w:val="21"/>
                    </w:rPr>
                    <w:t>0</w:t>
                  </w:r>
                </w:p>
              </w:tc>
              <w:tc>
                <w:tcPr>
                  <w:tcW w:w="614" w:type="pct"/>
                  <w:noWrap w:val="0"/>
                  <w:tcMar>
                    <w:top w:w="0" w:type="dxa"/>
                    <w:left w:w="0" w:type="dxa"/>
                    <w:bottom w:w="0" w:type="dxa"/>
                    <w:right w:w="0" w:type="dxa"/>
                  </w:tcMar>
                  <w:vAlign w:val="center"/>
                </w:tcPr>
                <w:p w14:paraId="1F39D9F1">
                  <w:pPr>
                    <w:jc w:val="center"/>
                    <w:rPr>
                      <w:color w:val="auto"/>
                      <w:sz w:val="21"/>
                      <w:szCs w:val="21"/>
                    </w:rPr>
                  </w:pPr>
                  <w:r>
                    <w:rPr>
                      <w:color w:val="auto"/>
                      <w:sz w:val="21"/>
                      <w:szCs w:val="21"/>
                    </w:rPr>
                    <w:t>0</w:t>
                  </w:r>
                </w:p>
              </w:tc>
              <w:tc>
                <w:tcPr>
                  <w:tcW w:w="437" w:type="pct"/>
                  <w:noWrap w:val="0"/>
                  <w:tcMar>
                    <w:top w:w="0" w:type="dxa"/>
                    <w:left w:w="0" w:type="dxa"/>
                    <w:bottom w:w="0" w:type="dxa"/>
                    <w:right w:w="0" w:type="dxa"/>
                  </w:tcMar>
                  <w:vAlign w:val="center"/>
                </w:tcPr>
                <w:p w14:paraId="406823D0">
                  <w:pPr>
                    <w:jc w:val="center"/>
                    <w:rPr>
                      <w:color w:val="auto"/>
                      <w:sz w:val="21"/>
                      <w:szCs w:val="21"/>
                    </w:rPr>
                  </w:pPr>
                  <w:r>
                    <w:rPr>
                      <w:color w:val="auto"/>
                      <w:sz w:val="21"/>
                      <w:szCs w:val="21"/>
                    </w:rPr>
                    <w:t>0</w:t>
                  </w:r>
                </w:p>
              </w:tc>
              <w:tc>
                <w:tcPr>
                  <w:tcW w:w="405" w:type="pct"/>
                  <w:noWrap w:val="0"/>
                  <w:tcMar>
                    <w:top w:w="0" w:type="dxa"/>
                    <w:left w:w="0" w:type="dxa"/>
                    <w:bottom w:w="0" w:type="dxa"/>
                    <w:right w:w="0" w:type="dxa"/>
                  </w:tcMar>
                  <w:vAlign w:val="center"/>
                </w:tcPr>
                <w:p w14:paraId="171C3FB5">
                  <w:pPr>
                    <w:jc w:val="center"/>
                    <w:rPr>
                      <w:color w:val="auto"/>
                      <w:sz w:val="21"/>
                      <w:szCs w:val="21"/>
                    </w:rPr>
                  </w:pPr>
                  <w:r>
                    <w:rPr>
                      <w:color w:val="auto"/>
                      <w:sz w:val="21"/>
                      <w:szCs w:val="21"/>
                    </w:rPr>
                    <w:t>0</w:t>
                  </w:r>
                </w:p>
              </w:tc>
              <w:tc>
                <w:tcPr>
                  <w:tcW w:w="548" w:type="pct"/>
                  <w:noWrap w:val="0"/>
                  <w:tcMar>
                    <w:top w:w="0" w:type="dxa"/>
                    <w:left w:w="0" w:type="dxa"/>
                    <w:bottom w:w="0" w:type="dxa"/>
                    <w:right w:w="0" w:type="dxa"/>
                  </w:tcMar>
                  <w:vAlign w:val="center"/>
                </w:tcPr>
                <w:p w14:paraId="0431AA19">
                  <w:pPr>
                    <w:jc w:val="center"/>
                    <w:rPr>
                      <w:color w:val="auto"/>
                      <w:sz w:val="21"/>
                      <w:szCs w:val="21"/>
                    </w:rPr>
                  </w:pPr>
                  <w:r>
                    <w:rPr>
                      <w:color w:val="auto"/>
                      <w:sz w:val="21"/>
                      <w:szCs w:val="21"/>
                    </w:rPr>
                    <w:t>0</w:t>
                  </w:r>
                </w:p>
              </w:tc>
              <w:tc>
                <w:tcPr>
                  <w:tcW w:w="430" w:type="pct"/>
                  <w:noWrap w:val="0"/>
                  <w:tcMar>
                    <w:top w:w="0" w:type="dxa"/>
                    <w:left w:w="0" w:type="dxa"/>
                    <w:bottom w:w="0" w:type="dxa"/>
                    <w:right w:w="0" w:type="dxa"/>
                  </w:tcMar>
                  <w:vAlign w:val="center"/>
                </w:tcPr>
                <w:p w14:paraId="18A4962C">
                  <w:pPr>
                    <w:jc w:val="center"/>
                    <w:rPr>
                      <w:color w:val="auto"/>
                      <w:sz w:val="21"/>
                      <w:szCs w:val="21"/>
                    </w:rPr>
                  </w:pPr>
                  <w:r>
                    <w:rPr>
                      <w:color w:val="auto"/>
                      <w:sz w:val="21"/>
                      <w:szCs w:val="21"/>
                    </w:rPr>
                    <w:t>0</w:t>
                  </w:r>
                </w:p>
              </w:tc>
            </w:tr>
          </w:tbl>
          <w:p w14:paraId="605FD095">
            <w:pPr>
              <w:spacing w:before="120" w:beforeLines="50" w:line="360" w:lineRule="auto"/>
              <w:ind w:firstLine="420" w:firstLineChars="200"/>
              <w:rPr>
                <w:color w:val="auto"/>
                <w:szCs w:val="21"/>
              </w:rPr>
            </w:pPr>
            <w:r>
              <w:rPr>
                <w:color w:val="auto"/>
                <w:szCs w:val="21"/>
              </w:rPr>
              <w:t>建设单位向常州市金坛生态环境局申请总量，大气污染物排放量应在金坛区内平衡；项目废水排放总量已纳入</w:t>
            </w:r>
            <w:r>
              <w:rPr>
                <w:rFonts w:hint="eastAsia"/>
                <w:color w:val="auto"/>
                <w:szCs w:val="21"/>
              </w:rPr>
              <w:t>常州金坛区第二污水处理有限公司</w:t>
            </w:r>
            <w:r>
              <w:rPr>
                <w:color w:val="auto"/>
                <w:szCs w:val="21"/>
              </w:rPr>
              <w:t>排污总量中，可以在</w:t>
            </w:r>
            <w:r>
              <w:rPr>
                <w:rFonts w:hint="eastAsia"/>
                <w:color w:val="auto"/>
                <w:szCs w:val="21"/>
              </w:rPr>
              <w:t>常州金坛区第二污水处理有限公司</w:t>
            </w:r>
            <w:r>
              <w:rPr>
                <w:color w:val="auto"/>
                <w:szCs w:val="21"/>
              </w:rPr>
              <w:t>的污染物排放总量控制指标内进行平衡”。</w:t>
            </w:r>
          </w:p>
          <w:p w14:paraId="67D08D09">
            <w:pPr>
              <w:spacing w:before="120" w:beforeLines="50" w:line="360" w:lineRule="auto"/>
              <w:ind w:firstLine="420" w:firstLineChars="200"/>
              <w:rPr>
                <w:color w:val="auto"/>
                <w:szCs w:val="21"/>
              </w:rPr>
            </w:pPr>
          </w:p>
          <w:p w14:paraId="492F6878">
            <w:pPr>
              <w:spacing w:before="120" w:beforeLines="50" w:line="360" w:lineRule="auto"/>
              <w:ind w:firstLine="420" w:firstLineChars="200"/>
              <w:rPr>
                <w:color w:val="auto"/>
                <w:szCs w:val="21"/>
              </w:rPr>
            </w:pPr>
          </w:p>
          <w:p w14:paraId="7B2BAF18">
            <w:pPr>
              <w:spacing w:before="120" w:beforeLines="50" w:line="360" w:lineRule="auto"/>
              <w:ind w:firstLine="420" w:firstLineChars="200"/>
              <w:rPr>
                <w:color w:val="auto"/>
                <w:szCs w:val="21"/>
              </w:rPr>
            </w:pPr>
          </w:p>
          <w:p w14:paraId="0C5C9DC4">
            <w:pPr>
              <w:spacing w:before="120" w:beforeLines="50" w:line="360" w:lineRule="auto"/>
              <w:ind w:firstLine="420" w:firstLineChars="200"/>
              <w:rPr>
                <w:color w:val="auto"/>
                <w:szCs w:val="21"/>
              </w:rPr>
            </w:pPr>
          </w:p>
          <w:p w14:paraId="661A9B0C">
            <w:pPr>
              <w:spacing w:before="120" w:beforeLines="50" w:line="360" w:lineRule="auto"/>
              <w:ind w:firstLine="420" w:firstLineChars="200"/>
              <w:rPr>
                <w:color w:val="auto"/>
                <w:szCs w:val="21"/>
              </w:rPr>
            </w:pPr>
          </w:p>
          <w:p w14:paraId="49B1B0C0">
            <w:pPr>
              <w:spacing w:line="360" w:lineRule="auto"/>
              <w:rPr>
                <w:color w:val="auto"/>
              </w:rPr>
            </w:pPr>
          </w:p>
        </w:tc>
      </w:tr>
    </w:tbl>
    <w:p w14:paraId="51AF7987">
      <w:pPr>
        <w:pStyle w:val="25"/>
        <w:adjustRightInd w:val="0"/>
        <w:snapToGrid w:val="0"/>
        <w:spacing w:before="0" w:beforeAutospacing="0" w:after="0" w:afterAutospacing="0"/>
        <w:outlineLvl w:val="0"/>
        <w:rPr>
          <w:rFonts w:ascii="Times New Roman" w:hAnsi="Times New Roman"/>
          <w:snapToGrid w:val="0"/>
          <w:color w:val="auto"/>
          <w:sz w:val="36"/>
          <w:szCs w:val="36"/>
        </w:rPr>
        <w:sectPr>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p>
    <w:p w14:paraId="37FC36E5">
      <w:pPr>
        <w:pStyle w:val="25"/>
        <w:adjustRightInd w:val="0"/>
        <w:snapToGrid w:val="0"/>
        <w:spacing w:before="0" w:beforeAutospacing="0" w:after="0" w:afterAutospacing="0"/>
        <w:outlineLvl w:val="0"/>
        <w:rPr>
          <w:rFonts w:ascii="Times New Roman" w:hAnsi="Times New Roman"/>
          <w:b/>
          <w:bCs/>
          <w:snapToGrid w:val="0"/>
          <w:color w:val="auto"/>
          <w:sz w:val="30"/>
          <w:szCs w:val="30"/>
        </w:rPr>
      </w:pPr>
      <w:bookmarkStart w:id="13" w:name="_Toc27594"/>
      <w:r>
        <w:rPr>
          <w:rFonts w:ascii="Times New Roman" w:hAnsi="Times New Roman"/>
          <w:b/>
          <w:bCs/>
          <w:snapToGrid w:val="0"/>
          <w:color w:val="auto"/>
          <w:sz w:val="30"/>
          <w:szCs w:val="30"/>
        </w:rPr>
        <w:t>四、主要环境影响和保护措施</w:t>
      </w:r>
      <w:bookmarkEnd w:id="13"/>
    </w:p>
    <w:tbl>
      <w:tblPr>
        <w:tblStyle w:val="28"/>
        <w:tblW w:w="5134"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625"/>
        <w:gridCol w:w="8596"/>
      </w:tblGrid>
      <w:tr w14:paraId="3FD078E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199" w:hRule="atLeast"/>
          <w:jc w:val="center"/>
        </w:trPr>
        <w:tc>
          <w:tcPr>
            <w:tcW w:w="339" w:type="pct"/>
            <w:noWrap w:val="0"/>
            <w:tcMar>
              <w:left w:w="28" w:type="dxa"/>
              <w:right w:w="28" w:type="dxa"/>
            </w:tcMar>
            <w:vAlign w:val="center"/>
          </w:tcPr>
          <w:p w14:paraId="23EBC496">
            <w:pPr>
              <w:pStyle w:val="25"/>
              <w:adjustRightInd w:val="0"/>
              <w:snapToGrid w:val="0"/>
              <w:spacing w:before="0" w:beforeAutospacing="0" w:after="0" w:afterAutospacing="0"/>
              <w:jc w:val="center"/>
              <w:rPr>
                <w:rFonts w:ascii="Times New Roman" w:hAnsi="Times New Roman"/>
                <w:bCs/>
                <w:color w:val="auto"/>
                <w:sz w:val="21"/>
                <w:szCs w:val="21"/>
              </w:rPr>
            </w:pPr>
            <w:r>
              <w:rPr>
                <w:rFonts w:ascii="Times New Roman" w:hAnsi="Times New Roman"/>
                <w:color w:val="auto"/>
                <w:sz w:val="21"/>
                <w:szCs w:val="21"/>
              </w:rPr>
              <w:t>施工期环境保护措施</w:t>
            </w:r>
          </w:p>
        </w:tc>
        <w:tc>
          <w:tcPr>
            <w:tcW w:w="4660" w:type="pct"/>
            <w:noWrap w:val="0"/>
            <w:vAlign w:val="center"/>
          </w:tcPr>
          <w:p w14:paraId="0409C898">
            <w:pPr>
              <w:adjustRightInd w:val="0"/>
              <w:snapToGrid w:val="0"/>
              <w:spacing w:line="360" w:lineRule="auto"/>
              <w:ind w:firstLine="420" w:firstLineChars="200"/>
              <w:rPr>
                <w:color w:val="auto"/>
                <w:szCs w:val="21"/>
              </w:rPr>
            </w:pPr>
            <w:r>
              <w:rPr>
                <w:bCs/>
                <w:color w:val="auto"/>
                <w:szCs w:val="21"/>
              </w:rPr>
              <w:t>本项目</w:t>
            </w:r>
            <w:r>
              <w:rPr>
                <w:rFonts w:hint="eastAsia"/>
                <w:bCs/>
                <w:color w:val="auto"/>
                <w:szCs w:val="21"/>
              </w:rPr>
              <w:t>利用</w:t>
            </w:r>
            <w:r>
              <w:rPr>
                <w:rFonts w:hint="eastAsia"/>
                <w:bCs/>
                <w:color w:val="auto"/>
                <w:szCs w:val="21"/>
                <w:lang w:val="en-US" w:eastAsia="zh-CN"/>
              </w:rPr>
              <w:t>租赁</w:t>
            </w:r>
            <w:r>
              <w:rPr>
                <w:bCs/>
                <w:color w:val="auto"/>
                <w:szCs w:val="21"/>
              </w:rPr>
              <w:t>厂房</w:t>
            </w:r>
            <w:r>
              <w:rPr>
                <w:rFonts w:hint="eastAsia"/>
                <w:bCs/>
                <w:color w:val="auto"/>
                <w:szCs w:val="21"/>
              </w:rPr>
              <w:t>内</w:t>
            </w:r>
            <w:r>
              <w:rPr>
                <w:color w:val="auto"/>
                <w:szCs w:val="21"/>
              </w:rPr>
              <w:t>空余场地</w:t>
            </w:r>
            <w:r>
              <w:rPr>
                <w:bCs/>
                <w:color w:val="auto"/>
                <w:szCs w:val="21"/>
              </w:rPr>
              <w:t>进行生产，不新建构筑物，施工期仅设备安装、调试。考虑施工期环境影响微弱，本评价主要针对营运期影响进行分析。</w:t>
            </w:r>
          </w:p>
        </w:tc>
      </w:tr>
      <w:tr w14:paraId="23EE17C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224" w:hRule="atLeast"/>
          <w:jc w:val="center"/>
        </w:trPr>
        <w:tc>
          <w:tcPr>
            <w:tcW w:w="339" w:type="pct"/>
            <w:noWrap w:val="0"/>
            <w:tcMar>
              <w:left w:w="28" w:type="dxa"/>
              <w:right w:w="28" w:type="dxa"/>
            </w:tcMar>
            <w:vAlign w:val="center"/>
          </w:tcPr>
          <w:p w14:paraId="467FC61C">
            <w:pPr>
              <w:pStyle w:val="25"/>
              <w:adjustRightInd w:val="0"/>
              <w:snapToGrid w:val="0"/>
              <w:spacing w:before="0" w:beforeAutospacing="0" w:after="0" w:afterAutospacing="0"/>
              <w:jc w:val="center"/>
              <w:rPr>
                <w:rFonts w:ascii="Times New Roman" w:hAnsi="Times New Roman"/>
                <w:color w:val="auto"/>
                <w:sz w:val="21"/>
                <w:szCs w:val="21"/>
              </w:rPr>
            </w:pPr>
            <w:r>
              <w:rPr>
                <w:rFonts w:ascii="Times New Roman" w:hAnsi="Times New Roman"/>
                <w:bCs/>
                <w:color w:val="auto"/>
                <w:sz w:val="21"/>
                <w:szCs w:val="21"/>
              </w:rPr>
              <w:t>运营期环境影响和保护措施</w:t>
            </w:r>
          </w:p>
        </w:tc>
        <w:tc>
          <w:tcPr>
            <w:tcW w:w="4660" w:type="pct"/>
            <w:noWrap w:val="0"/>
            <w:vAlign w:val="center"/>
          </w:tcPr>
          <w:p w14:paraId="471851E6">
            <w:pPr>
              <w:spacing w:before="120" w:beforeLines="50" w:line="360" w:lineRule="auto"/>
              <w:ind w:firstLine="422" w:firstLineChars="200"/>
              <w:rPr>
                <w:b/>
                <w:color w:val="auto"/>
                <w:szCs w:val="21"/>
              </w:rPr>
            </w:pPr>
            <w:r>
              <w:rPr>
                <w:b/>
                <w:color w:val="auto"/>
                <w:szCs w:val="21"/>
              </w:rPr>
              <w:t>一、废气</w:t>
            </w:r>
          </w:p>
          <w:p w14:paraId="74C057C0">
            <w:pPr>
              <w:spacing w:line="360" w:lineRule="auto"/>
              <w:ind w:firstLine="422" w:firstLineChars="200"/>
              <w:jc w:val="left"/>
              <w:rPr>
                <w:b/>
                <w:bCs/>
                <w:color w:val="auto"/>
                <w:szCs w:val="21"/>
              </w:rPr>
            </w:pPr>
            <w:r>
              <w:rPr>
                <w:b/>
                <w:bCs/>
                <w:color w:val="auto"/>
                <w:szCs w:val="21"/>
              </w:rPr>
              <w:t>1、污染源强分析</w:t>
            </w:r>
          </w:p>
          <w:p w14:paraId="0147ACB9">
            <w:pPr>
              <w:adjustRightInd w:val="0"/>
              <w:snapToGrid w:val="0"/>
              <w:spacing w:line="360" w:lineRule="auto"/>
              <w:ind w:firstLine="420" w:firstLineChars="200"/>
              <w:outlineLvl w:val="0"/>
              <w:rPr>
                <w:color w:val="auto"/>
                <w:szCs w:val="21"/>
              </w:rPr>
            </w:pPr>
            <w:bookmarkStart w:id="14" w:name="_Toc24131"/>
            <w:bookmarkStart w:id="15" w:name="_Toc29962"/>
            <w:bookmarkStart w:id="16" w:name="_Toc8802"/>
            <w:r>
              <w:rPr>
                <w:color w:val="auto"/>
              </w:rPr>
              <w:t>本项目废气主要为</w:t>
            </w:r>
            <w:r>
              <w:rPr>
                <w:rFonts w:hint="eastAsia" w:cs="Times New Roman"/>
                <w:color w:val="auto"/>
                <w:sz w:val="21"/>
                <w:szCs w:val="21"/>
                <w:lang w:val="en-US" w:eastAsia="zh-CN"/>
              </w:rPr>
              <w:t>配料粉尘、</w:t>
            </w:r>
            <w:r>
              <w:rPr>
                <w:rFonts w:hint="eastAsia" w:ascii="Times New Roman" w:hAnsi="Times New Roman" w:eastAsia="宋体" w:cs="Times New Roman"/>
                <w:color w:val="auto"/>
                <w:sz w:val="21"/>
                <w:szCs w:val="21"/>
                <w:highlight w:val="none"/>
                <w:lang w:val="en-US" w:eastAsia="zh-CN"/>
              </w:rPr>
              <w:t>投料粉尘、</w:t>
            </w:r>
            <w:r>
              <w:rPr>
                <w:rFonts w:hint="eastAsia" w:ascii="Times New Roman" w:hAnsi="Times New Roman" w:eastAsia="宋体" w:cs="Times New Roman"/>
                <w:bCs/>
                <w:color w:val="auto"/>
                <w:kern w:val="2"/>
                <w:sz w:val="21"/>
                <w:szCs w:val="21"/>
                <w:lang w:val="en-US" w:eastAsia="zh-CN" w:bidi="ar-SA"/>
              </w:rPr>
              <w:t>挤出废气、烘干废气、测试废气、破碎粉尘</w:t>
            </w:r>
            <w:r>
              <w:rPr>
                <w:color w:val="auto"/>
                <w:szCs w:val="21"/>
              </w:rPr>
              <w:t>。</w:t>
            </w:r>
            <w:bookmarkEnd w:id="14"/>
            <w:bookmarkEnd w:id="15"/>
            <w:bookmarkEnd w:id="16"/>
          </w:p>
          <w:p w14:paraId="56C7CA86">
            <w:pPr>
              <w:pStyle w:val="7"/>
              <w:spacing w:line="360" w:lineRule="auto"/>
              <w:rPr>
                <w:color w:val="auto"/>
                <w:szCs w:val="21"/>
              </w:rPr>
            </w:pPr>
            <w:r>
              <w:rPr>
                <w:color w:val="auto"/>
                <w:szCs w:val="21"/>
              </w:rPr>
              <w:t>（1）</w:t>
            </w:r>
            <w:r>
              <w:rPr>
                <w:rFonts w:hint="eastAsia" w:cs="Times New Roman"/>
                <w:color w:val="auto"/>
                <w:sz w:val="21"/>
                <w:szCs w:val="21"/>
                <w:lang w:val="en-US" w:eastAsia="zh-CN"/>
              </w:rPr>
              <w:t>配料</w:t>
            </w:r>
            <w:r>
              <w:rPr>
                <w:rFonts w:hint="eastAsia" w:ascii="Times New Roman" w:hAnsi="Times New Roman" w:eastAsia="宋体" w:cs="Times New Roman"/>
                <w:color w:val="auto"/>
                <w:sz w:val="21"/>
                <w:szCs w:val="21"/>
                <w:lang w:val="en-US" w:eastAsia="zh-CN"/>
              </w:rPr>
              <w:t>粉尘</w:t>
            </w:r>
            <w:r>
              <w:rPr>
                <w:rFonts w:hint="eastAsia" w:cs="Times New Roman"/>
                <w:color w:val="auto"/>
                <w:sz w:val="21"/>
                <w:szCs w:val="21"/>
                <w:lang w:val="en-US" w:eastAsia="zh-CN"/>
              </w:rPr>
              <w:t>、投料粉尘</w:t>
            </w:r>
            <w:r>
              <w:rPr>
                <w:rFonts w:hint="eastAsia"/>
                <w:color w:val="auto"/>
                <w:szCs w:val="21"/>
                <w:lang w:eastAsia="zh-CN"/>
              </w:rPr>
              <w:t>（</w:t>
            </w:r>
            <w:r>
              <w:rPr>
                <w:rFonts w:hint="eastAsia"/>
                <w:color w:val="auto"/>
                <w:szCs w:val="21"/>
                <w:lang w:val="en-US" w:eastAsia="zh-CN"/>
              </w:rPr>
              <w:t>颗粒物</w:t>
            </w:r>
            <w:r>
              <w:rPr>
                <w:rFonts w:hint="eastAsia"/>
                <w:color w:val="auto"/>
                <w:szCs w:val="21"/>
                <w:lang w:eastAsia="zh-CN"/>
              </w:rPr>
              <w:t>）</w:t>
            </w:r>
          </w:p>
          <w:p w14:paraId="6EC1FB95">
            <w:pPr>
              <w:pStyle w:val="7"/>
              <w:spacing w:line="360" w:lineRule="auto"/>
              <w:rPr>
                <w:rFonts w:hint="default"/>
                <w:color w:val="auto"/>
                <w:kern w:val="2"/>
                <w:sz w:val="21"/>
                <w:szCs w:val="21"/>
                <w:lang w:val="en-US" w:eastAsia="zh-CN"/>
              </w:rPr>
            </w:pPr>
            <w:r>
              <w:rPr>
                <w:rFonts w:hint="eastAsia"/>
                <w:color w:val="auto"/>
                <w:kern w:val="2"/>
                <w:sz w:val="21"/>
                <w:szCs w:val="21"/>
                <w:lang w:val="en-US" w:eastAsia="zh-CN"/>
              </w:rPr>
              <w:t>本项目配料过程为人工称量方式，轻拿轻放，产生粉尘量极少，不定量分析，配料区上方设置半密闭集气罩收集进布袋除尘器处理后通过1根15米高排气筒DA001排放。</w:t>
            </w:r>
          </w:p>
          <w:p w14:paraId="0E93ABA5">
            <w:pPr>
              <w:pStyle w:val="7"/>
              <w:spacing w:line="360" w:lineRule="auto"/>
              <w:rPr>
                <w:rFonts w:hint="default" w:eastAsia="宋体"/>
                <w:color w:val="auto"/>
                <w:szCs w:val="21"/>
                <w:lang w:val="en-US" w:eastAsia="zh-CN"/>
              </w:rPr>
            </w:pPr>
            <w:r>
              <w:rPr>
                <w:rFonts w:hint="eastAsia"/>
                <w:color w:val="auto"/>
                <w:kern w:val="2"/>
                <w:sz w:val="21"/>
                <w:szCs w:val="21"/>
                <w:lang w:val="en-US" w:eastAsia="zh-CN"/>
              </w:rPr>
              <w:t>原料滑石粉和三元乙丙橡胶为粉末状，因此在投料时会产生粉尘。参考《逸散性工业粉尘控制技术》中石灰生产逸散尘源排放系数，卸料产污系数为0.015~0.2kg/t，本项目以0.2kg/t计。本项目粉料用量995t/a（滑石粉用量205t/a、三元乙丙橡胶用量790t/a），则此工程中粉尘产生量为0.199t/a。投料区上方设置半密闭集气罩收集进布袋除尘器处理后通过1根15米高排气筒DA001排放，收集、处理效率分别为90%、95%；则配料粉尘有组织产生量0.1791t/a，有组织排放量0.0089t/a，无组织排放量0.0199t/a</w:t>
            </w:r>
            <w:r>
              <w:rPr>
                <w:rFonts w:hint="eastAsia" w:eastAsia="宋体"/>
                <w:color w:val="auto"/>
                <w:szCs w:val="21"/>
                <w:lang w:val="en-US" w:eastAsia="zh-CN"/>
              </w:rPr>
              <w:t>。</w:t>
            </w:r>
          </w:p>
          <w:p w14:paraId="68E81ADC">
            <w:pPr>
              <w:pStyle w:val="7"/>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lang w:val="en-US" w:eastAsia="zh-CN"/>
              </w:rPr>
              <w:t>挤出废气（非甲烷总烃、颗粒物）</w:t>
            </w:r>
          </w:p>
          <w:p w14:paraId="2DD0D2C1">
            <w:pPr>
              <w:pStyle w:val="18"/>
              <w:keepNext w:val="0"/>
              <w:keepLines w:val="0"/>
              <w:pageBreakBefore w:val="0"/>
              <w:widowControl w:val="0"/>
              <w:kinsoku/>
              <w:wordWrap/>
              <w:overflowPunct/>
              <w:topLinePunct w:val="0"/>
              <w:autoSpaceDE/>
              <w:autoSpaceDN/>
              <w:bidi w:val="0"/>
              <w:adjustRightInd w:val="0"/>
              <w:snapToGrid w:val="0"/>
              <w:spacing w:before="0" w:line="360" w:lineRule="auto"/>
              <w:ind w:firstLine="496"/>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项目所用</w:t>
            </w:r>
            <w:r>
              <w:rPr>
                <w:rFonts w:hint="eastAsia" w:ascii="Times New Roman" w:hAnsi="Times New Roman" w:eastAsia="宋体" w:cs="Times New Roman"/>
                <w:bCs/>
                <w:color w:val="auto"/>
                <w:sz w:val="21"/>
                <w:szCs w:val="21"/>
                <w:lang w:val="en-US" w:eastAsia="zh-CN"/>
              </w:rPr>
              <w:t>原料</w:t>
            </w:r>
            <w:r>
              <w:rPr>
                <w:rFonts w:hint="default" w:ascii="Times New Roman" w:hAnsi="Times New Roman" w:eastAsia="宋体" w:cs="Times New Roman"/>
                <w:bCs/>
                <w:color w:val="auto"/>
                <w:sz w:val="21"/>
                <w:szCs w:val="21"/>
              </w:rPr>
              <w:t>其分解起始温度约为：聚丙烯</w:t>
            </w:r>
            <w:r>
              <w:rPr>
                <w:rFonts w:hint="eastAsia" w:ascii="Times New Roman" w:hAnsi="Times New Roman" w:eastAsia="宋体" w:cs="Times New Roman"/>
                <w:bCs/>
                <w:color w:val="auto"/>
                <w:sz w:val="21"/>
                <w:szCs w:val="21"/>
                <w:lang w:eastAsia="zh-CN"/>
              </w:rPr>
              <w:t>、</w:t>
            </w:r>
            <w:r>
              <w:rPr>
                <w:rFonts w:hint="default" w:ascii="Times New Roman" w:hAnsi="Times New Roman" w:eastAsia="宋体" w:cs="Times New Roman"/>
                <w:bCs/>
                <w:color w:val="auto"/>
                <w:sz w:val="21"/>
                <w:szCs w:val="21"/>
              </w:rPr>
              <w:t>色母粒料：330℃，三元乙丙橡胶：230℃</w:t>
            </w:r>
            <w:r>
              <w:rPr>
                <w:rFonts w:hint="eastAsia" w:ascii="Times New Roman" w:hAnsi="Times New Roman" w:eastAsia="宋体" w:cs="Times New Roman"/>
                <w:bCs/>
                <w:color w:val="auto"/>
                <w:sz w:val="21"/>
                <w:szCs w:val="21"/>
                <w:lang w:eastAsia="zh-CN"/>
              </w:rPr>
              <w:t>，</w:t>
            </w:r>
            <w:r>
              <w:rPr>
                <w:rFonts w:hint="eastAsia" w:ascii="Times New Roman" w:hAnsi="Times New Roman" w:eastAsia="宋体" w:cs="Times New Roman"/>
                <w:bCs/>
                <w:color w:val="auto"/>
                <w:sz w:val="21"/>
                <w:szCs w:val="21"/>
                <w:lang w:val="en-US" w:eastAsia="zh-CN"/>
              </w:rPr>
              <w:t>一小部分产品</w:t>
            </w:r>
            <w:r>
              <w:rPr>
                <w:rFonts w:ascii="Times New Roman" w:hAnsi="Times New Roman"/>
                <w:bCs/>
                <w:color w:val="auto"/>
                <w:sz w:val="21"/>
                <w:szCs w:val="21"/>
              </w:rPr>
              <w:t>热塑性弹性体</w:t>
            </w:r>
            <w:r>
              <w:rPr>
                <w:rFonts w:hint="eastAsia" w:ascii="Times New Roman" w:hAnsi="Times New Roman"/>
                <w:bCs/>
                <w:color w:val="auto"/>
                <w:sz w:val="21"/>
                <w:szCs w:val="21"/>
                <w:lang w:val="en-US" w:eastAsia="zh-CN"/>
              </w:rPr>
              <w:t>颗粒TPE作为汽车密封件的原料</w:t>
            </w:r>
            <w:r>
              <w:rPr>
                <w:rFonts w:hint="default" w:ascii="Times New Roman" w:hAnsi="Times New Roman" w:eastAsia="宋体" w:cs="Times New Roman"/>
                <w:bCs/>
                <w:color w:val="auto"/>
                <w:sz w:val="21"/>
                <w:szCs w:val="21"/>
              </w:rPr>
              <w:t>，挤出过程加热温度</w:t>
            </w:r>
            <w:r>
              <w:rPr>
                <w:rFonts w:hint="eastAsia" w:ascii="Times New Roman" w:hAnsi="Times New Roman" w:eastAsia="宋体" w:cs="Times New Roman"/>
                <w:bCs/>
                <w:color w:val="auto"/>
                <w:sz w:val="21"/>
                <w:szCs w:val="21"/>
                <w:lang w:val="en-US" w:eastAsia="zh-CN"/>
              </w:rPr>
              <w:t>约</w:t>
            </w:r>
            <w:r>
              <w:rPr>
                <w:rFonts w:hint="default" w:ascii="Times New Roman" w:hAnsi="Times New Roman" w:eastAsia="宋体" w:cs="Times New Roman"/>
                <w:bCs/>
                <w:color w:val="auto"/>
                <w:sz w:val="21"/>
                <w:szCs w:val="21"/>
              </w:rPr>
              <w:t>：180~200</w:t>
            </w:r>
            <w:r>
              <w:rPr>
                <w:rFonts w:hint="eastAsia" w:ascii="Times New Roman" w:hAnsi="Times New Roman" w:eastAsia="宋体" w:cs="Times New Roman"/>
                <w:bCs/>
                <w:color w:val="auto"/>
                <w:sz w:val="21"/>
                <w:szCs w:val="21"/>
                <w:lang w:val="en-US" w:eastAsia="zh-CN"/>
              </w:rPr>
              <w:t>℃，</w:t>
            </w:r>
            <w:r>
              <w:rPr>
                <w:rFonts w:hint="default" w:ascii="Times New Roman" w:hAnsi="Times New Roman" w:eastAsia="宋体" w:cs="Times New Roman"/>
                <w:bCs/>
                <w:color w:val="auto"/>
                <w:sz w:val="21"/>
                <w:szCs w:val="21"/>
              </w:rPr>
              <w:t>均未达到其分解温度。</w:t>
            </w:r>
          </w:p>
          <w:p w14:paraId="199A1CB8">
            <w:pPr>
              <w:pStyle w:val="18"/>
              <w:keepNext w:val="0"/>
              <w:keepLines w:val="0"/>
              <w:pageBreakBefore w:val="0"/>
              <w:widowControl w:val="0"/>
              <w:kinsoku/>
              <w:wordWrap/>
              <w:overflowPunct/>
              <w:topLinePunct w:val="0"/>
              <w:autoSpaceDE/>
              <w:autoSpaceDN/>
              <w:bidi w:val="0"/>
              <w:adjustRightInd w:val="0"/>
              <w:snapToGrid w:val="0"/>
              <w:spacing w:before="0" w:line="360" w:lineRule="auto"/>
              <w:ind w:firstLine="496"/>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塑料粒子PP、三元乙丙橡胶、色母粒、抗氧化剂、环保增塑剂、热塑性弹性体TPE在</w:t>
            </w:r>
            <w:r>
              <w:rPr>
                <w:rFonts w:hint="eastAsia" w:ascii="Times New Roman" w:hAnsi="Times New Roman" w:eastAsia="宋体" w:cs="Times New Roman"/>
                <w:bCs/>
                <w:color w:val="auto"/>
                <w:sz w:val="21"/>
                <w:szCs w:val="21"/>
                <w:lang w:val="en-US" w:eastAsia="zh-CN"/>
              </w:rPr>
              <w:t>造粒</w:t>
            </w:r>
            <w:r>
              <w:rPr>
                <w:rFonts w:hint="default" w:ascii="Times New Roman" w:hAnsi="Times New Roman" w:eastAsia="宋体" w:cs="Times New Roman"/>
                <w:bCs/>
                <w:color w:val="auto"/>
                <w:sz w:val="21"/>
                <w:szCs w:val="21"/>
              </w:rPr>
              <w:t>挤出</w:t>
            </w:r>
            <w:r>
              <w:rPr>
                <w:rFonts w:hint="eastAsia" w:ascii="Times New Roman" w:hAnsi="Times New Roman" w:eastAsia="宋体" w:cs="Times New Roman"/>
                <w:bCs/>
                <w:color w:val="auto"/>
                <w:sz w:val="21"/>
                <w:szCs w:val="21"/>
                <w:lang w:val="en-US" w:eastAsia="zh-CN"/>
              </w:rPr>
              <w:t>和汽车密封件挤出过程</w:t>
            </w:r>
            <w:r>
              <w:rPr>
                <w:rFonts w:hint="default" w:ascii="Times New Roman" w:hAnsi="Times New Roman" w:eastAsia="宋体" w:cs="Times New Roman"/>
                <w:bCs/>
                <w:color w:val="auto"/>
                <w:sz w:val="21"/>
                <w:szCs w:val="21"/>
              </w:rPr>
              <w:t>时会产生一定的有机废气，主要是高温下少量单体的挥发，以非甲烷总烃计。</w:t>
            </w:r>
          </w:p>
          <w:p w14:paraId="64FEADEA">
            <w:pPr>
              <w:pStyle w:val="18"/>
              <w:keepNext w:val="0"/>
              <w:keepLines w:val="0"/>
              <w:pageBreakBefore w:val="0"/>
              <w:widowControl w:val="0"/>
              <w:kinsoku/>
              <w:wordWrap/>
              <w:overflowPunct/>
              <w:topLinePunct w:val="0"/>
              <w:autoSpaceDE/>
              <w:autoSpaceDN/>
              <w:bidi w:val="0"/>
              <w:adjustRightInd w:val="0"/>
              <w:snapToGrid w:val="0"/>
              <w:spacing w:before="0" w:line="360" w:lineRule="auto"/>
              <w:ind w:firstLine="496"/>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参照《江苏省重点行业挥发性有机物排放量计算暂行办法》中“表2.5-2石油化学工业生产产品VOCs产污系数”，聚丙烯</w:t>
            </w:r>
            <w:r>
              <w:rPr>
                <w:rFonts w:hint="eastAsia" w:ascii="Times New Roman" w:hAnsi="Times New Roman" w:eastAsia="宋体" w:cs="Times New Roman"/>
                <w:bCs/>
                <w:color w:val="auto"/>
                <w:sz w:val="21"/>
                <w:szCs w:val="21"/>
                <w:lang w:eastAsia="zh-CN"/>
              </w:rPr>
              <w:t>、</w:t>
            </w:r>
            <w:r>
              <w:rPr>
                <w:rFonts w:hint="default" w:ascii="Times New Roman" w:hAnsi="Times New Roman" w:eastAsia="宋体" w:cs="Times New Roman"/>
                <w:bCs/>
                <w:color w:val="auto"/>
                <w:sz w:val="21"/>
                <w:szCs w:val="21"/>
              </w:rPr>
              <w:t>色母粒非甲烷总烃产污系数以0.35kg/吨原料计，抗氧化剂有机废气产生量按照1.872kg/吨原料计，其他环保增塑剂、热塑性弹性体TPE等</w:t>
            </w:r>
            <w:r>
              <w:rPr>
                <w:rFonts w:hint="default" w:ascii="Times New Roman" w:hAnsi="Times New Roman" w:eastAsia="宋体" w:cs="Times New Roman"/>
                <w:color w:val="auto"/>
                <w:sz w:val="21"/>
                <w:szCs w:val="21"/>
              </w:rPr>
              <w:t>均为生产石油的有机原料，产物系数按照其他塑料系数0.021</w:t>
            </w:r>
            <w:r>
              <w:rPr>
                <w:rFonts w:hint="default" w:ascii="Times New Roman" w:hAnsi="Times New Roman" w:eastAsia="宋体" w:cs="Times New Roman"/>
                <w:bCs/>
                <w:color w:val="auto"/>
                <w:sz w:val="21"/>
                <w:szCs w:val="21"/>
              </w:rPr>
              <w:t>kg/吨原料计；</w:t>
            </w:r>
          </w:p>
          <w:p w14:paraId="16FF5200">
            <w:pPr>
              <w:pStyle w:val="18"/>
              <w:keepNext w:val="0"/>
              <w:keepLines w:val="0"/>
              <w:pageBreakBefore w:val="0"/>
              <w:widowControl w:val="0"/>
              <w:kinsoku/>
              <w:wordWrap/>
              <w:overflowPunct/>
              <w:topLinePunct w:val="0"/>
              <w:autoSpaceDE/>
              <w:autoSpaceDN/>
              <w:bidi w:val="0"/>
              <w:adjustRightInd w:val="0"/>
              <w:snapToGrid w:val="0"/>
              <w:spacing w:before="0" w:line="360" w:lineRule="auto"/>
              <w:ind w:firstLine="496"/>
              <w:textAlignment w:val="auto"/>
              <w:rPr>
                <w:rFonts w:ascii="Times New Roman" w:hAnsi="Times New Roman"/>
                <w:bCs/>
                <w:color w:val="auto"/>
                <w:szCs w:val="22"/>
              </w:rPr>
            </w:pPr>
            <w:r>
              <w:rPr>
                <w:rFonts w:hint="default" w:ascii="Times New Roman" w:hAnsi="Times New Roman" w:eastAsia="宋体" w:cs="Times New Roman"/>
                <w:bCs/>
                <w:color w:val="auto"/>
                <w:sz w:val="21"/>
                <w:szCs w:val="21"/>
              </w:rPr>
              <w:t>引用文献《橡胶制品生产过程中有机废气的排放系数》</w:t>
            </w:r>
            <w:r>
              <w:rPr>
                <w:rFonts w:hint="eastAsia" w:ascii="Times New Roman" w:hAnsi="Times New Roman" w:eastAsia="宋体" w:cs="Times New Roman"/>
                <w:bCs/>
                <w:color w:val="auto"/>
                <w:sz w:val="21"/>
                <w:szCs w:val="21"/>
                <w:lang w:eastAsia="zh-CN"/>
              </w:rPr>
              <w:t>（</w:t>
            </w:r>
            <w:r>
              <w:rPr>
                <w:rFonts w:hint="default" w:ascii="Times New Roman" w:hAnsi="Times New Roman" w:eastAsia="宋体" w:cs="Times New Roman"/>
                <w:bCs/>
                <w:color w:val="auto"/>
                <w:sz w:val="21"/>
                <w:szCs w:val="21"/>
              </w:rPr>
              <w:t>伊尔姆环境资源管理咨询</w:t>
            </w:r>
            <w:r>
              <w:rPr>
                <w:rFonts w:hint="eastAsia" w:ascii="Times New Roman" w:hAnsi="Times New Roman" w:eastAsia="宋体" w:cs="Times New Roman"/>
                <w:bCs/>
                <w:color w:val="auto"/>
                <w:sz w:val="21"/>
                <w:szCs w:val="21"/>
                <w:lang w:eastAsia="zh-CN"/>
              </w:rPr>
              <w:t>（</w:t>
            </w:r>
            <w:r>
              <w:rPr>
                <w:rFonts w:hint="default" w:ascii="Times New Roman" w:hAnsi="Times New Roman" w:eastAsia="宋体" w:cs="Times New Roman"/>
                <w:bCs/>
                <w:color w:val="auto"/>
                <w:sz w:val="21"/>
                <w:szCs w:val="21"/>
              </w:rPr>
              <w:t>上海</w:t>
            </w:r>
            <w:r>
              <w:rPr>
                <w:rFonts w:hint="eastAsia" w:ascii="Times New Roman" w:hAnsi="Times New Roman" w:eastAsia="宋体" w:cs="Times New Roman"/>
                <w:bCs/>
                <w:color w:val="auto"/>
                <w:sz w:val="21"/>
                <w:szCs w:val="21"/>
                <w:lang w:eastAsia="zh-CN"/>
              </w:rPr>
              <w:t>）</w:t>
            </w:r>
            <w:r>
              <w:rPr>
                <w:rFonts w:hint="default" w:ascii="Times New Roman" w:hAnsi="Times New Roman" w:eastAsia="宋体" w:cs="Times New Roman"/>
                <w:bCs/>
                <w:color w:val="auto"/>
                <w:sz w:val="21"/>
                <w:szCs w:val="21"/>
              </w:rPr>
              <w:t>有限公司，张芝兰</w:t>
            </w:r>
            <w:r>
              <w:rPr>
                <w:rFonts w:hint="eastAsia" w:ascii="Times New Roman" w:hAnsi="Times New Roman" w:eastAsia="宋体" w:cs="Times New Roman"/>
                <w:bCs/>
                <w:color w:val="auto"/>
                <w:sz w:val="21"/>
                <w:szCs w:val="21"/>
                <w:lang w:eastAsia="zh-CN"/>
              </w:rPr>
              <w:t>）</w:t>
            </w:r>
            <w:r>
              <w:rPr>
                <w:rFonts w:hint="default" w:ascii="Times New Roman" w:hAnsi="Times New Roman" w:eastAsia="宋体" w:cs="Times New Roman"/>
                <w:bCs/>
                <w:color w:val="auto"/>
                <w:sz w:val="21"/>
                <w:szCs w:val="21"/>
              </w:rPr>
              <w:t>，</w:t>
            </w:r>
            <w:r>
              <w:rPr>
                <w:rFonts w:ascii="Times New Roman" w:hAnsi="Times New Roman"/>
                <w:bCs/>
                <w:color w:val="auto"/>
                <w:sz w:val="21"/>
                <w:szCs w:val="21"/>
              </w:rPr>
              <w:t>三元乙丙橡胶</w:t>
            </w:r>
            <w:r>
              <w:rPr>
                <w:rFonts w:hint="default" w:ascii="Times New Roman" w:hAnsi="Times New Roman" w:eastAsia="宋体" w:cs="Times New Roman"/>
                <w:bCs/>
                <w:color w:val="auto"/>
                <w:sz w:val="21"/>
                <w:szCs w:val="21"/>
              </w:rPr>
              <w:t>非甲烷总烃产污系数以0.16kg/t计</w:t>
            </w:r>
            <w:r>
              <w:rPr>
                <w:rFonts w:ascii="Times New Roman" w:hAnsi="Times New Roman"/>
                <w:bCs/>
                <w:color w:val="auto"/>
                <w:szCs w:val="22"/>
              </w:rPr>
              <w:t>；</w:t>
            </w:r>
          </w:p>
          <w:p w14:paraId="7EA16848">
            <w:pPr>
              <w:pStyle w:val="18"/>
              <w:spacing w:before="0" w:line="240" w:lineRule="auto"/>
              <w:ind w:firstLine="0" w:firstLineChars="0"/>
              <w:jc w:val="center"/>
              <w:rPr>
                <w:rFonts w:ascii="Times New Roman" w:hAnsi="Times New Roman"/>
                <w:b/>
                <w:color w:val="auto"/>
                <w:sz w:val="21"/>
                <w:szCs w:val="21"/>
              </w:rPr>
            </w:pPr>
            <w:r>
              <w:rPr>
                <w:rFonts w:ascii="Times New Roman" w:hAnsi="Times New Roman"/>
                <w:b/>
                <w:color w:val="auto"/>
                <w:sz w:val="21"/>
                <w:szCs w:val="21"/>
              </w:rPr>
              <w:t>表4-</w:t>
            </w:r>
            <w:r>
              <w:rPr>
                <w:rFonts w:hint="eastAsia" w:ascii="Times New Roman" w:hAnsi="Times New Roman"/>
                <w:b/>
                <w:color w:val="auto"/>
                <w:sz w:val="21"/>
                <w:szCs w:val="21"/>
                <w:lang w:val="en-US" w:eastAsia="zh-CN"/>
              </w:rPr>
              <w:t>1</w:t>
            </w:r>
            <w:r>
              <w:rPr>
                <w:rFonts w:ascii="Times New Roman" w:hAnsi="Times New Roman"/>
                <w:b/>
                <w:color w:val="auto"/>
                <w:sz w:val="21"/>
                <w:szCs w:val="21"/>
              </w:rPr>
              <w:t xml:space="preserve"> </w:t>
            </w:r>
            <w:r>
              <w:rPr>
                <w:rFonts w:hint="eastAsia" w:ascii="Times New Roman" w:hAnsi="Times New Roman"/>
                <w:b/>
                <w:color w:val="auto"/>
                <w:sz w:val="21"/>
                <w:szCs w:val="21"/>
                <w:lang w:val="en-US" w:eastAsia="zh-CN"/>
              </w:rPr>
              <w:t>非甲烷总烃</w:t>
            </w:r>
            <w:r>
              <w:rPr>
                <w:rFonts w:ascii="Times New Roman" w:hAnsi="Times New Roman"/>
                <w:b/>
                <w:color w:val="auto"/>
                <w:sz w:val="21"/>
                <w:szCs w:val="21"/>
              </w:rPr>
              <w:t>废气产生情况</w:t>
            </w:r>
          </w:p>
          <w:tbl>
            <w:tblPr>
              <w:tblStyle w:val="28"/>
              <w:tblW w:w="4974"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038"/>
              <w:gridCol w:w="1194"/>
              <w:gridCol w:w="2108"/>
              <w:gridCol w:w="1996"/>
            </w:tblGrid>
            <w:tr w14:paraId="581CE9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22" w:type="pct"/>
                  <w:noWrap w:val="0"/>
                  <w:tcMar>
                    <w:top w:w="0" w:type="dxa"/>
                    <w:left w:w="0" w:type="dxa"/>
                    <w:bottom w:w="0" w:type="dxa"/>
                    <w:right w:w="0" w:type="dxa"/>
                  </w:tcMar>
                  <w:vAlign w:val="center"/>
                </w:tcPr>
                <w:p w14:paraId="79A43EEC">
                  <w:pPr>
                    <w:pStyle w:val="18"/>
                    <w:spacing w:before="0" w:line="240" w:lineRule="auto"/>
                    <w:ind w:firstLine="0" w:firstLineChars="0"/>
                    <w:jc w:val="center"/>
                    <w:rPr>
                      <w:rFonts w:ascii="Times New Roman" w:hAnsi="Times New Roman"/>
                      <w:b/>
                      <w:color w:val="auto"/>
                      <w:sz w:val="21"/>
                      <w:szCs w:val="21"/>
                    </w:rPr>
                  </w:pPr>
                  <w:r>
                    <w:rPr>
                      <w:rFonts w:ascii="Times New Roman" w:hAnsi="Times New Roman"/>
                      <w:b/>
                      <w:color w:val="auto"/>
                      <w:sz w:val="21"/>
                      <w:szCs w:val="21"/>
                    </w:rPr>
                    <w:t>原材料</w:t>
                  </w:r>
                </w:p>
              </w:tc>
              <w:tc>
                <w:tcPr>
                  <w:tcW w:w="716" w:type="pct"/>
                  <w:noWrap w:val="0"/>
                  <w:tcMar>
                    <w:top w:w="0" w:type="dxa"/>
                    <w:left w:w="0" w:type="dxa"/>
                    <w:bottom w:w="0" w:type="dxa"/>
                    <w:right w:w="0" w:type="dxa"/>
                  </w:tcMar>
                  <w:vAlign w:val="center"/>
                </w:tcPr>
                <w:p w14:paraId="0BDCF86A">
                  <w:pPr>
                    <w:pStyle w:val="18"/>
                    <w:spacing w:before="0" w:line="240" w:lineRule="auto"/>
                    <w:ind w:firstLine="0" w:firstLineChars="0"/>
                    <w:jc w:val="center"/>
                    <w:rPr>
                      <w:rFonts w:ascii="Times New Roman" w:hAnsi="Times New Roman"/>
                      <w:b/>
                      <w:color w:val="auto"/>
                      <w:sz w:val="21"/>
                      <w:szCs w:val="21"/>
                    </w:rPr>
                  </w:pPr>
                  <w:r>
                    <w:rPr>
                      <w:rFonts w:ascii="Times New Roman" w:hAnsi="Times New Roman"/>
                      <w:b/>
                      <w:color w:val="auto"/>
                      <w:sz w:val="21"/>
                      <w:szCs w:val="21"/>
                    </w:rPr>
                    <w:t>年用量</w:t>
                  </w:r>
                </w:p>
              </w:tc>
              <w:tc>
                <w:tcPr>
                  <w:tcW w:w="1263" w:type="pct"/>
                  <w:noWrap w:val="0"/>
                  <w:tcMar>
                    <w:top w:w="0" w:type="dxa"/>
                    <w:left w:w="0" w:type="dxa"/>
                    <w:bottom w:w="0" w:type="dxa"/>
                    <w:right w:w="0" w:type="dxa"/>
                  </w:tcMar>
                  <w:vAlign w:val="center"/>
                </w:tcPr>
                <w:p w14:paraId="4E23F58B">
                  <w:pPr>
                    <w:pStyle w:val="18"/>
                    <w:spacing w:before="0" w:line="240" w:lineRule="auto"/>
                    <w:ind w:firstLine="0" w:firstLineChars="0"/>
                    <w:jc w:val="center"/>
                    <w:rPr>
                      <w:rFonts w:ascii="Times New Roman" w:hAnsi="Times New Roman"/>
                      <w:b/>
                      <w:color w:val="auto"/>
                      <w:sz w:val="21"/>
                      <w:szCs w:val="21"/>
                    </w:rPr>
                  </w:pPr>
                  <w:r>
                    <w:rPr>
                      <w:rFonts w:ascii="Times New Roman" w:hAnsi="Times New Roman"/>
                      <w:b/>
                      <w:color w:val="auto"/>
                      <w:sz w:val="21"/>
                      <w:szCs w:val="21"/>
                    </w:rPr>
                    <w:t>产生系数kg/t-原料</w:t>
                  </w:r>
                </w:p>
              </w:tc>
              <w:tc>
                <w:tcPr>
                  <w:tcW w:w="1197" w:type="pct"/>
                  <w:noWrap w:val="0"/>
                  <w:tcMar>
                    <w:top w:w="0" w:type="dxa"/>
                    <w:left w:w="0" w:type="dxa"/>
                    <w:bottom w:w="0" w:type="dxa"/>
                    <w:right w:w="0" w:type="dxa"/>
                  </w:tcMar>
                  <w:vAlign w:val="center"/>
                </w:tcPr>
                <w:p w14:paraId="5B3325AD">
                  <w:pPr>
                    <w:pStyle w:val="18"/>
                    <w:spacing w:before="0" w:line="240" w:lineRule="auto"/>
                    <w:ind w:firstLine="0" w:firstLineChars="0"/>
                    <w:jc w:val="center"/>
                    <w:rPr>
                      <w:rFonts w:ascii="Times New Roman" w:hAnsi="Times New Roman"/>
                      <w:b/>
                      <w:color w:val="auto"/>
                      <w:sz w:val="21"/>
                      <w:szCs w:val="21"/>
                    </w:rPr>
                  </w:pPr>
                  <w:r>
                    <w:rPr>
                      <w:rFonts w:ascii="Times New Roman" w:hAnsi="Times New Roman"/>
                      <w:b/>
                      <w:color w:val="auto"/>
                      <w:sz w:val="21"/>
                      <w:szCs w:val="21"/>
                    </w:rPr>
                    <w:t>挤出工序产生量t/a</w:t>
                  </w:r>
                </w:p>
              </w:tc>
            </w:tr>
            <w:tr w14:paraId="4A5CE5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22" w:type="pct"/>
                  <w:noWrap w:val="0"/>
                  <w:tcMar>
                    <w:top w:w="0" w:type="dxa"/>
                    <w:left w:w="0" w:type="dxa"/>
                    <w:bottom w:w="0" w:type="dxa"/>
                    <w:right w:w="0" w:type="dxa"/>
                  </w:tcMar>
                  <w:vAlign w:val="center"/>
                </w:tcPr>
                <w:p w14:paraId="0E26095E">
                  <w:pPr>
                    <w:pStyle w:val="18"/>
                    <w:spacing w:before="0" w:line="240" w:lineRule="auto"/>
                    <w:ind w:firstLine="0" w:firstLineChars="0"/>
                    <w:jc w:val="center"/>
                    <w:rPr>
                      <w:rFonts w:ascii="Times New Roman" w:hAnsi="Times New Roman"/>
                      <w:bCs/>
                      <w:color w:val="auto"/>
                      <w:sz w:val="21"/>
                      <w:szCs w:val="21"/>
                    </w:rPr>
                  </w:pPr>
                  <w:r>
                    <w:rPr>
                      <w:rFonts w:hint="default" w:ascii="Times New Roman" w:hAnsi="Times New Roman" w:eastAsia="宋体" w:cs="Times New Roman"/>
                      <w:bCs/>
                      <w:color w:val="auto"/>
                      <w:sz w:val="21"/>
                      <w:szCs w:val="21"/>
                    </w:rPr>
                    <w:t>聚丙烯</w:t>
                  </w:r>
                </w:p>
              </w:tc>
              <w:tc>
                <w:tcPr>
                  <w:tcW w:w="716" w:type="pct"/>
                  <w:noWrap w:val="0"/>
                  <w:tcMar>
                    <w:top w:w="0" w:type="dxa"/>
                    <w:left w:w="0" w:type="dxa"/>
                    <w:bottom w:w="0" w:type="dxa"/>
                    <w:right w:w="0" w:type="dxa"/>
                  </w:tcMar>
                  <w:vAlign w:val="center"/>
                </w:tcPr>
                <w:p w14:paraId="520C85A1">
                  <w:pPr>
                    <w:pStyle w:val="18"/>
                    <w:spacing w:before="0" w:line="240" w:lineRule="auto"/>
                    <w:ind w:firstLine="0" w:firstLineChars="0"/>
                    <w:jc w:val="center"/>
                    <w:rPr>
                      <w:rFonts w:hint="default"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840</w:t>
                  </w:r>
                </w:p>
              </w:tc>
              <w:tc>
                <w:tcPr>
                  <w:tcW w:w="1263" w:type="pct"/>
                  <w:noWrap w:val="0"/>
                  <w:tcMar>
                    <w:top w:w="0" w:type="dxa"/>
                    <w:left w:w="0" w:type="dxa"/>
                    <w:bottom w:w="0" w:type="dxa"/>
                    <w:right w:w="0" w:type="dxa"/>
                  </w:tcMar>
                  <w:vAlign w:val="center"/>
                </w:tcPr>
                <w:p w14:paraId="04C87527">
                  <w:pPr>
                    <w:pStyle w:val="18"/>
                    <w:spacing w:before="0" w:line="240" w:lineRule="auto"/>
                    <w:ind w:firstLine="0" w:firstLineChars="0"/>
                    <w:jc w:val="center"/>
                    <w:rPr>
                      <w:rFonts w:ascii="Times New Roman" w:hAnsi="Times New Roman"/>
                      <w:bCs/>
                      <w:color w:val="auto"/>
                      <w:sz w:val="21"/>
                      <w:szCs w:val="21"/>
                    </w:rPr>
                  </w:pPr>
                  <w:r>
                    <w:rPr>
                      <w:rFonts w:ascii="Times New Roman" w:hAnsi="Times New Roman"/>
                      <w:bCs/>
                      <w:color w:val="auto"/>
                      <w:sz w:val="21"/>
                      <w:szCs w:val="21"/>
                    </w:rPr>
                    <w:t>0.35</w:t>
                  </w:r>
                </w:p>
              </w:tc>
              <w:tc>
                <w:tcPr>
                  <w:tcW w:w="1197" w:type="pct"/>
                  <w:noWrap w:val="0"/>
                  <w:tcMar>
                    <w:top w:w="0" w:type="dxa"/>
                    <w:left w:w="0" w:type="dxa"/>
                    <w:bottom w:w="0" w:type="dxa"/>
                    <w:right w:w="0" w:type="dxa"/>
                  </w:tcMar>
                  <w:vAlign w:val="center"/>
                </w:tcPr>
                <w:p w14:paraId="396C79F2">
                  <w:pPr>
                    <w:pStyle w:val="18"/>
                    <w:spacing w:before="0" w:line="240" w:lineRule="auto"/>
                    <w:ind w:firstLine="0" w:firstLineChars="0"/>
                    <w:jc w:val="center"/>
                    <w:rPr>
                      <w:rFonts w:hint="default"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0.294</w:t>
                  </w:r>
                </w:p>
              </w:tc>
            </w:tr>
            <w:tr w14:paraId="5A6D59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22" w:type="pct"/>
                  <w:noWrap w:val="0"/>
                  <w:tcMar>
                    <w:top w:w="0" w:type="dxa"/>
                    <w:left w:w="0" w:type="dxa"/>
                    <w:bottom w:w="0" w:type="dxa"/>
                    <w:right w:w="0" w:type="dxa"/>
                  </w:tcMar>
                  <w:vAlign w:val="center"/>
                </w:tcPr>
                <w:p w14:paraId="75CB27B6">
                  <w:pPr>
                    <w:pStyle w:val="18"/>
                    <w:spacing w:before="0" w:line="240" w:lineRule="auto"/>
                    <w:ind w:firstLine="0" w:firstLineChars="0"/>
                    <w:jc w:val="center"/>
                    <w:rPr>
                      <w:rFonts w:hint="eastAsia"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色母粒</w:t>
                  </w:r>
                </w:p>
              </w:tc>
              <w:tc>
                <w:tcPr>
                  <w:tcW w:w="716" w:type="pct"/>
                  <w:noWrap w:val="0"/>
                  <w:tcMar>
                    <w:top w:w="0" w:type="dxa"/>
                    <w:left w:w="0" w:type="dxa"/>
                    <w:bottom w:w="0" w:type="dxa"/>
                    <w:right w:w="0" w:type="dxa"/>
                  </w:tcMar>
                  <w:vAlign w:val="center"/>
                </w:tcPr>
                <w:p w14:paraId="7716E768">
                  <w:pPr>
                    <w:pStyle w:val="18"/>
                    <w:spacing w:before="0" w:line="240" w:lineRule="auto"/>
                    <w:ind w:firstLine="0" w:firstLineChars="0"/>
                    <w:jc w:val="center"/>
                    <w:rPr>
                      <w:rFonts w:hint="default" w:ascii="Times New Roman" w:hAnsi="Times New Roman"/>
                      <w:bCs/>
                      <w:color w:val="auto"/>
                      <w:sz w:val="21"/>
                      <w:szCs w:val="21"/>
                      <w:lang w:val="en-US" w:eastAsia="zh-CN"/>
                    </w:rPr>
                  </w:pPr>
                  <w:r>
                    <w:rPr>
                      <w:rFonts w:hint="eastAsia" w:ascii="Times New Roman" w:hAnsi="Times New Roman"/>
                      <w:bCs/>
                      <w:color w:val="auto"/>
                      <w:sz w:val="21"/>
                      <w:szCs w:val="21"/>
                      <w:lang w:val="en-US" w:eastAsia="zh-CN"/>
                    </w:rPr>
                    <w:t>10</w:t>
                  </w:r>
                </w:p>
              </w:tc>
              <w:tc>
                <w:tcPr>
                  <w:tcW w:w="1263" w:type="pct"/>
                  <w:noWrap w:val="0"/>
                  <w:tcMar>
                    <w:top w:w="0" w:type="dxa"/>
                    <w:left w:w="0" w:type="dxa"/>
                    <w:bottom w:w="0" w:type="dxa"/>
                    <w:right w:w="0" w:type="dxa"/>
                  </w:tcMar>
                  <w:vAlign w:val="center"/>
                </w:tcPr>
                <w:p w14:paraId="7E797E46">
                  <w:pPr>
                    <w:pStyle w:val="18"/>
                    <w:spacing w:before="0" w:line="240" w:lineRule="auto"/>
                    <w:ind w:firstLine="0" w:firstLineChars="0"/>
                    <w:jc w:val="center"/>
                    <w:rPr>
                      <w:rFonts w:hint="default"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0.35</w:t>
                  </w:r>
                </w:p>
              </w:tc>
              <w:tc>
                <w:tcPr>
                  <w:tcW w:w="1197" w:type="pct"/>
                  <w:noWrap w:val="0"/>
                  <w:tcMar>
                    <w:top w:w="0" w:type="dxa"/>
                    <w:left w:w="0" w:type="dxa"/>
                    <w:bottom w:w="0" w:type="dxa"/>
                    <w:right w:w="0" w:type="dxa"/>
                  </w:tcMar>
                  <w:vAlign w:val="center"/>
                </w:tcPr>
                <w:p w14:paraId="2164E330">
                  <w:pPr>
                    <w:pStyle w:val="18"/>
                    <w:spacing w:before="0" w:line="240" w:lineRule="auto"/>
                    <w:ind w:firstLine="0" w:firstLineChars="0"/>
                    <w:jc w:val="center"/>
                    <w:rPr>
                      <w:rFonts w:hint="default"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0.0035</w:t>
                  </w:r>
                </w:p>
              </w:tc>
            </w:tr>
            <w:tr w14:paraId="72DFB1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22" w:type="pct"/>
                  <w:noWrap w:val="0"/>
                  <w:tcMar>
                    <w:top w:w="0" w:type="dxa"/>
                    <w:left w:w="0" w:type="dxa"/>
                    <w:bottom w:w="0" w:type="dxa"/>
                    <w:right w:w="0" w:type="dxa"/>
                  </w:tcMar>
                  <w:vAlign w:val="center"/>
                </w:tcPr>
                <w:p w14:paraId="5966B8BD">
                  <w:pPr>
                    <w:pStyle w:val="18"/>
                    <w:spacing w:before="0" w:line="240" w:lineRule="auto"/>
                    <w:ind w:firstLine="0" w:firstLineChars="0"/>
                    <w:jc w:val="center"/>
                    <w:rPr>
                      <w:rFonts w:ascii="Times New Roman" w:hAnsi="Times New Roman"/>
                      <w:bCs/>
                      <w:color w:val="auto"/>
                      <w:sz w:val="21"/>
                      <w:szCs w:val="21"/>
                    </w:rPr>
                  </w:pPr>
                  <w:r>
                    <w:rPr>
                      <w:rFonts w:ascii="Times New Roman" w:hAnsi="Times New Roman"/>
                      <w:bCs/>
                      <w:color w:val="auto"/>
                      <w:sz w:val="21"/>
                      <w:szCs w:val="21"/>
                    </w:rPr>
                    <w:t>三元乙丙橡胶</w:t>
                  </w:r>
                </w:p>
              </w:tc>
              <w:tc>
                <w:tcPr>
                  <w:tcW w:w="716" w:type="pct"/>
                  <w:noWrap w:val="0"/>
                  <w:tcMar>
                    <w:top w:w="0" w:type="dxa"/>
                    <w:left w:w="0" w:type="dxa"/>
                    <w:bottom w:w="0" w:type="dxa"/>
                    <w:right w:w="0" w:type="dxa"/>
                  </w:tcMar>
                  <w:vAlign w:val="center"/>
                </w:tcPr>
                <w:p w14:paraId="5B8A1B96">
                  <w:pPr>
                    <w:pStyle w:val="18"/>
                    <w:spacing w:before="0" w:line="240" w:lineRule="auto"/>
                    <w:ind w:firstLine="0" w:firstLineChars="0"/>
                    <w:jc w:val="center"/>
                    <w:rPr>
                      <w:rFonts w:hint="default"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790</w:t>
                  </w:r>
                </w:p>
              </w:tc>
              <w:tc>
                <w:tcPr>
                  <w:tcW w:w="1263" w:type="pct"/>
                  <w:noWrap w:val="0"/>
                  <w:tcMar>
                    <w:top w:w="0" w:type="dxa"/>
                    <w:left w:w="0" w:type="dxa"/>
                    <w:bottom w:w="0" w:type="dxa"/>
                    <w:right w:w="0" w:type="dxa"/>
                  </w:tcMar>
                  <w:vAlign w:val="center"/>
                </w:tcPr>
                <w:p w14:paraId="681D9EB8">
                  <w:pPr>
                    <w:pStyle w:val="18"/>
                    <w:spacing w:before="0" w:line="240" w:lineRule="auto"/>
                    <w:ind w:firstLine="0" w:firstLineChars="0"/>
                    <w:jc w:val="center"/>
                    <w:rPr>
                      <w:rFonts w:ascii="Times New Roman" w:hAnsi="Times New Roman"/>
                      <w:bCs/>
                      <w:color w:val="auto"/>
                      <w:sz w:val="21"/>
                      <w:szCs w:val="21"/>
                    </w:rPr>
                  </w:pPr>
                  <w:r>
                    <w:rPr>
                      <w:rFonts w:ascii="Times New Roman" w:hAnsi="Times New Roman"/>
                      <w:bCs/>
                      <w:color w:val="auto"/>
                      <w:sz w:val="21"/>
                      <w:szCs w:val="21"/>
                    </w:rPr>
                    <w:t>0.16</w:t>
                  </w:r>
                </w:p>
              </w:tc>
              <w:tc>
                <w:tcPr>
                  <w:tcW w:w="1197" w:type="pct"/>
                  <w:noWrap w:val="0"/>
                  <w:tcMar>
                    <w:top w:w="0" w:type="dxa"/>
                    <w:left w:w="0" w:type="dxa"/>
                    <w:bottom w:w="0" w:type="dxa"/>
                    <w:right w:w="0" w:type="dxa"/>
                  </w:tcMar>
                  <w:vAlign w:val="center"/>
                </w:tcPr>
                <w:p w14:paraId="2C49CB54">
                  <w:pPr>
                    <w:pStyle w:val="18"/>
                    <w:spacing w:before="0" w:line="240" w:lineRule="auto"/>
                    <w:ind w:firstLine="0" w:firstLineChars="0"/>
                    <w:jc w:val="center"/>
                    <w:rPr>
                      <w:rFonts w:hint="default"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0.0144</w:t>
                  </w:r>
                </w:p>
              </w:tc>
            </w:tr>
            <w:tr w14:paraId="459AF4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22" w:type="pct"/>
                  <w:noWrap w:val="0"/>
                  <w:tcMar>
                    <w:top w:w="0" w:type="dxa"/>
                    <w:left w:w="0" w:type="dxa"/>
                    <w:bottom w:w="0" w:type="dxa"/>
                    <w:right w:w="0" w:type="dxa"/>
                  </w:tcMar>
                  <w:vAlign w:val="center"/>
                </w:tcPr>
                <w:p w14:paraId="6149504C">
                  <w:pPr>
                    <w:pStyle w:val="18"/>
                    <w:spacing w:before="0" w:line="240" w:lineRule="auto"/>
                    <w:ind w:firstLine="0" w:firstLineChars="0"/>
                    <w:jc w:val="center"/>
                    <w:rPr>
                      <w:rFonts w:ascii="Times New Roman" w:hAnsi="Times New Roman"/>
                      <w:bCs/>
                      <w:color w:val="auto"/>
                      <w:sz w:val="21"/>
                      <w:szCs w:val="21"/>
                    </w:rPr>
                  </w:pPr>
                  <w:r>
                    <w:rPr>
                      <w:rFonts w:ascii="Times New Roman" w:hAnsi="Times New Roman"/>
                      <w:bCs/>
                      <w:color w:val="auto"/>
                      <w:sz w:val="21"/>
                      <w:szCs w:val="21"/>
                    </w:rPr>
                    <w:t>抗氧化剂</w:t>
                  </w:r>
                </w:p>
              </w:tc>
              <w:tc>
                <w:tcPr>
                  <w:tcW w:w="716" w:type="pct"/>
                  <w:noWrap w:val="0"/>
                  <w:tcMar>
                    <w:top w:w="0" w:type="dxa"/>
                    <w:left w:w="0" w:type="dxa"/>
                    <w:bottom w:w="0" w:type="dxa"/>
                    <w:right w:w="0" w:type="dxa"/>
                  </w:tcMar>
                  <w:vAlign w:val="center"/>
                </w:tcPr>
                <w:p w14:paraId="4F25E54D">
                  <w:pPr>
                    <w:pStyle w:val="18"/>
                    <w:spacing w:before="0" w:line="240" w:lineRule="auto"/>
                    <w:ind w:firstLine="0" w:firstLineChars="0"/>
                    <w:jc w:val="center"/>
                    <w:rPr>
                      <w:rFonts w:ascii="Times New Roman" w:hAnsi="Times New Roman"/>
                      <w:bCs/>
                      <w:color w:val="auto"/>
                      <w:sz w:val="21"/>
                      <w:szCs w:val="21"/>
                    </w:rPr>
                  </w:pPr>
                  <w:r>
                    <w:rPr>
                      <w:rFonts w:ascii="Times New Roman" w:hAnsi="Times New Roman"/>
                      <w:bCs/>
                      <w:color w:val="auto"/>
                      <w:sz w:val="21"/>
                      <w:szCs w:val="21"/>
                    </w:rPr>
                    <w:t>2</w:t>
                  </w:r>
                </w:p>
              </w:tc>
              <w:tc>
                <w:tcPr>
                  <w:tcW w:w="1263" w:type="pct"/>
                  <w:noWrap w:val="0"/>
                  <w:tcMar>
                    <w:top w:w="0" w:type="dxa"/>
                    <w:left w:w="0" w:type="dxa"/>
                    <w:bottom w:w="0" w:type="dxa"/>
                    <w:right w:w="0" w:type="dxa"/>
                  </w:tcMar>
                  <w:vAlign w:val="center"/>
                </w:tcPr>
                <w:p w14:paraId="00C68523">
                  <w:pPr>
                    <w:pStyle w:val="18"/>
                    <w:spacing w:before="0" w:line="240" w:lineRule="auto"/>
                    <w:ind w:firstLine="0" w:firstLineChars="0"/>
                    <w:jc w:val="center"/>
                    <w:rPr>
                      <w:rFonts w:ascii="Times New Roman" w:hAnsi="Times New Roman"/>
                      <w:bCs/>
                      <w:color w:val="auto"/>
                      <w:sz w:val="21"/>
                      <w:szCs w:val="21"/>
                    </w:rPr>
                  </w:pPr>
                  <w:r>
                    <w:rPr>
                      <w:rFonts w:ascii="Times New Roman" w:hAnsi="Times New Roman"/>
                      <w:bCs/>
                      <w:color w:val="auto"/>
                      <w:sz w:val="21"/>
                      <w:szCs w:val="21"/>
                    </w:rPr>
                    <w:t>1.872</w:t>
                  </w:r>
                </w:p>
              </w:tc>
              <w:tc>
                <w:tcPr>
                  <w:tcW w:w="1197" w:type="pct"/>
                  <w:noWrap w:val="0"/>
                  <w:tcMar>
                    <w:top w:w="0" w:type="dxa"/>
                    <w:left w:w="0" w:type="dxa"/>
                    <w:bottom w:w="0" w:type="dxa"/>
                    <w:right w:w="0" w:type="dxa"/>
                  </w:tcMar>
                  <w:vAlign w:val="center"/>
                </w:tcPr>
                <w:p w14:paraId="50E5BA03">
                  <w:pPr>
                    <w:pStyle w:val="18"/>
                    <w:spacing w:before="0" w:line="240" w:lineRule="auto"/>
                    <w:ind w:firstLine="0" w:firstLineChars="0"/>
                    <w:jc w:val="center"/>
                    <w:rPr>
                      <w:rFonts w:hint="default"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0.0037</w:t>
                  </w:r>
                </w:p>
              </w:tc>
            </w:tr>
            <w:tr w14:paraId="50418C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22" w:type="pct"/>
                  <w:noWrap w:val="0"/>
                  <w:tcMar>
                    <w:top w:w="0" w:type="dxa"/>
                    <w:left w:w="0" w:type="dxa"/>
                    <w:bottom w:w="0" w:type="dxa"/>
                    <w:right w:w="0" w:type="dxa"/>
                  </w:tcMar>
                  <w:vAlign w:val="center"/>
                </w:tcPr>
                <w:p w14:paraId="198CE417">
                  <w:pPr>
                    <w:pStyle w:val="18"/>
                    <w:spacing w:before="0" w:line="240" w:lineRule="auto"/>
                    <w:ind w:firstLine="0" w:firstLineChars="0"/>
                    <w:jc w:val="center"/>
                    <w:rPr>
                      <w:rFonts w:ascii="Times New Roman" w:hAnsi="Times New Roman"/>
                      <w:bCs/>
                      <w:color w:val="auto"/>
                      <w:sz w:val="21"/>
                      <w:szCs w:val="21"/>
                    </w:rPr>
                  </w:pPr>
                  <w:r>
                    <w:rPr>
                      <w:rFonts w:ascii="Times New Roman" w:hAnsi="Times New Roman"/>
                      <w:bCs/>
                      <w:color w:val="auto"/>
                      <w:sz w:val="21"/>
                      <w:szCs w:val="21"/>
                    </w:rPr>
                    <w:t>其他有机原料（环保增塑剂）</w:t>
                  </w:r>
                </w:p>
              </w:tc>
              <w:tc>
                <w:tcPr>
                  <w:tcW w:w="716" w:type="pct"/>
                  <w:noWrap w:val="0"/>
                  <w:tcMar>
                    <w:top w:w="0" w:type="dxa"/>
                    <w:left w:w="0" w:type="dxa"/>
                    <w:bottom w:w="0" w:type="dxa"/>
                    <w:right w:w="0" w:type="dxa"/>
                  </w:tcMar>
                  <w:vAlign w:val="center"/>
                </w:tcPr>
                <w:p w14:paraId="6572439D">
                  <w:pPr>
                    <w:pStyle w:val="18"/>
                    <w:spacing w:before="0" w:line="240" w:lineRule="auto"/>
                    <w:ind w:firstLine="0" w:firstLineChars="0"/>
                    <w:jc w:val="center"/>
                    <w:rPr>
                      <w:rFonts w:hint="default"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205</w:t>
                  </w:r>
                </w:p>
              </w:tc>
              <w:tc>
                <w:tcPr>
                  <w:tcW w:w="1263" w:type="pct"/>
                  <w:vMerge w:val="restart"/>
                  <w:noWrap w:val="0"/>
                  <w:tcMar>
                    <w:top w:w="0" w:type="dxa"/>
                    <w:left w:w="0" w:type="dxa"/>
                    <w:bottom w:w="0" w:type="dxa"/>
                    <w:right w:w="0" w:type="dxa"/>
                  </w:tcMar>
                  <w:vAlign w:val="center"/>
                </w:tcPr>
                <w:p w14:paraId="1C122869">
                  <w:pPr>
                    <w:pStyle w:val="18"/>
                    <w:spacing w:before="0" w:line="240" w:lineRule="auto"/>
                    <w:ind w:firstLine="0" w:firstLineChars="0"/>
                    <w:jc w:val="center"/>
                    <w:rPr>
                      <w:rFonts w:ascii="Times New Roman" w:hAnsi="Times New Roman"/>
                      <w:bCs/>
                      <w:color w:val="auto"/>
                      <w:sz w:val="21"/>
                      <w:szCs w:val="21"/>
                    </w:rPr>
                  </w:pPr>
                  <w:r>
                    <w:rPr>
                      <w:rFonts w:ascii="Times New Roman" w:hAnsi="Times New Roman"/>
                      <w:bCs/>
                      <w:color w:val="auto"/>
                      <w:sz w:val="21"/>
                      <w:szCs w:val="21"/>
                    </w:rPr>
                    <w:t>0.021</w:t>
                  </w:r>
                </w:p>
              </w:tc>
              <w:tc>
                <w:tcPr>
                  <w:tcW w:w="1197" w:type="pct"/>
                  <w:noWrap w:val="0"/>
                  <w:tcMar>
                    <w:top w:w="0" w:type="dxa"/>
                    <w:left w:w="0" w:type="dxa"/>
                    <w:bottom w:w="0" w:type="dxa"/>
                    <w:right w:w="0" w:type="dxa"/>
                  </w:tcMar>
                  <w:vAlign w:val="center"/>
                </w:tcPr>
                <w:p w14:paraId="7C70ABD1">
                  <w:pPr>
                    <w:pStyle w:val="18"/>
                    <w:spacing w:before="0" w:line="240" w:lineRule="auto"/>
                    <w:ind w:firstLine="0" w:firstLineChars="0"/>
                    <w:jc w:val="center"/>
                    <w:rPr>
                      <w:rFonts w:hint="default"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0.0043</w:t>
                  </w:r>
                </w:p>
              </w:tc>
            </w:tr>
            <w:tr w14:paraId="0DCF35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22" w:type="pct"/>
                  <w:noWrap w:val="0"/>
                  <w:tcMar>
                    <w:top w:w="0" w:type="dxa"/>
                    <w:left w:w="0" w:type="dxa"/>
                    <w:bottom w:w="0" w:type="dxa"/>
                    <w:right w:w="0" w:type="dxa"/>
                  </w:tcMar>
                  <w:vAlign w:val="center"/>
                </w:tcPr>
                <w:p w14:paraId="1103E623">
                  <w:pPr>
                    <w:pStyle w:val="18"/>
                    <w:spacing w:before="0" w:line="240" w:lineRule="auto"/>
                    <w:ind w:firstLine="0" w:firstLineChars="0"/>
                    <w:jc w:val="center"/>
                    <w:rPr>
                      <w:rFonts w:ascii="Times New Roman" w:hAnsi="Times New Roman"/>
                      <w:bCs/>
                      <w:color w:val="auto"/>
                      <w:sz w:val="21"/>
                      <w:szCs w:val="21"/>
                    </w:rPr>
                  </w:pPr>
                  <w:r>
                    <w:rPr>
                      <w:rFonts w:ascii="Times New Roman" w:hAnsi="Times New Roman"/>
                      <w:bCs/>
                      <w:color w:val="auto"/>
                      <w:sz w:val="21"/>
                      <w:szCs w:val="21"/>
                    </w:rPr>
                    <w:t>热塑性弹性体</w:t>
                  </w:r>
                  <w:r>
                    <w:rPr>
                      <w:rFonts w:hint="eastAsia" w:ascii="Times New Roman" w:hAnsi="Times New Roman"/>
                      <w:bCs/>
                      <w:color w:val="auto"/>
                      <w:sz w:val="21"/>
                      <w:szCs w:val="21"/>
                      <w:lang w:val="en-US" w:eastAsia="zh-CN"/>
                    </w:rPr>
                    <w:t>颗粒</w:t>
                  </w:r>
                  <w:r>
                    <w:rPr>
                      <w:rFonts w:ascii="Times New Roman" w:hAnsi="Times New Roman"/>
                      <w:bCs/>
                      <w:color w:val="auto"/>
                      <w:sz w:val="21"/>
                      <w:szCs w:val="21"/>
                    </w:rPr>
                    <w:t>TPE</w:t>
                  </w:r>
                </w:p>
              </w:tc>
              <w:tc>
                <w:tcPr>
                  <w:tcW w:w="716" w:type="pct"/>
                  <w:noWrap w:val="0"/>
                  <w:tcMar>
                    <w:top w:w="0" w:type="dxa"/>
                    <w:left w:w="0" w:type="dxa"/>
                    <w:bottom w:w="0" w:type="dxa"/>
                    <w:right w:w="0" w:type="dxa"/>
                  </w:tcMar>
                  <w:vAlign w:val="center"/>
                </w:tcPr>
                <w:p w14:paraId="7D47B385">
                  <w:pPr>
                    <w:pStyle w:val="18"/>
                    <w:spacing w:before="0" w:line="240" w:lineRule="auto"/>
                    <w:ind w:firstLine="0" w:firstLineChars="0"/>
                    <w:jc w:val="center"/>
                    <w:rPr>
                      <w:rFonts w:hint="default"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30</w:t>
                  </w:r>
                </w:p>
              </w:tc>
              <w:tc>
                <w:tcPr>
                  <w:tcW w:w="1263" w:type="pct"/>
                  <w:vMerge w:val="continue"/>
                  <w:noWrap w:val="0"/>
                  <w:tcMar>
                    <w:top w:w="0" w:type="dxa"/>
                    <w:left w:w="0" w:type="dxa"/>
                    <w:bottom w:w="0" w:type="dxa"/>
                    <w:right w:w="0" w:type="dxa"/>
                  </w:tcMar>
                  <w:vAlign w:val="center"/>
                </w:tcPr>
                <w:p w14:paraId="36547E34">
                  <w:pPr>
                    <w:pStyle w:val="18"/>
                    <w:spacing w:before="0" w:line="240" w:lineRule="auto"/>
                    <w:ind w:firstLine="0" w:firstLineChars="0"/>
                    <w:jc w:val="center"/>
                    <w:rPr>
                      <w:rFonts w:ascii="Times New Roman" w:hAnsi="Times New Roman"/>
                      <w:bCs/>
                      <w:color w:val="auto"/>
                      <w:sz w:val="21"/>
                      <w:szCs w:val="21"/>
                    </w:rPr>
                  </w:pPr>
                </w:p>
              </w:tc>
              <w:tc>
                <w:tcPr>
                  <w:tcW w:w="1197" w:type="pct"/>
                  <w:noWrap w:val="0"/>
                  <w:tcMar>
                    <w:top w:w="0" w:type="dxa"/>
                    <w:left w:w="0" w:type="dxa"/>
                    <w:bottom w:w="0" w:type="dxa"/>
                    <w:right w:w="0" w:type="dxa"/>
                  </w:tcMar>
                  <w:vAlign w:val="center"/>
                </w:tcPr>
                <w:p w14:paraId="7FF04016">
                  <w:pPr>
                    <w:pStyle w:val="18"/>
                    <w:spacing w:before="0" w:line="240" w:lineRule="auto"/>
                    <w:ind w:firstLine="0" w:firstLineChars="0"/>
                    <w:jc w:val="center"/>
                    <w:rPr>
                      <w:rFonts w:hint="default"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0.0006</w:t>
                  </w:r>
                </w:p>
              </w:tc>
            </w:tr>
            <w:tr w14:paraId="258461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02" w:type="pct"/>
                  <w:gridSpan w:val="3"/>
                  <w:noWrap w:val="0"/>
                  <w:tcMar>
                    <w:top w:w="0" w:type="dxa"/>
                    <w:left w:w="0" w:type="dxa"/>
                    <w:bottom w:w="0" w:type="dxa"/>
                    <w:right w:w="0" w:type="dxa"/>
                  </w:tcMar>
                  <w:vAlign w:val="center"/>
                </w:tcPr>
                <w:p w14:paraId="061BEB26">
                  <w:pPr>
                    <w:pStyle w:val="18"/>
                    <w:spacing w:before="0" w:line="240" w:lineRule="auto"/>
                    <w:ind w:firstLine="0" w:firstLineChars="0"/>
                    <w:jc w:val="center"/>
                    <w:rPr>
                      <w:rFonts w:ascii="Times New Roman" w:hAnsi="Times New Roman"/>
                      <w:bCs/>
                      <w:color w:val="auto"/>
                      <w:sz w:val="21"/>
                      <w:szCs w:val="21"/>
                    </w:rPr>
                  </w:pPr>
                  <w:r>
                    <w:rPr>
                      <w:rFonts w:ascii="Times New Roman" w:hAnsi="Times New Roman"/>
                      <w:bCs/>
                      <w:color w:val="auto"/>
                      <w:sz w:val="21"/>
                      <w:szCs w:val="21"/>
                    </w:rPr>
                    <w:t>合计</w:t>
                  </w:r>
                </w:p>
              </w:tc>
              <w:tc>
                <w:tcPr>
                  <w:tcW w:w="1197" w:type="pct"/>
                  <w:noWrap w:val="0"/>
                  <w:tcMar>
                    <w:top w:w="0" w:type="dxa"/>
                    <w:left w:w="0" w:type="dxa"/>
                    <w:bottom w:w="0" w:type="dxa"/>
                    <w:right w:w="0" w:type="dxa"/>
                  </w:tcMar>
                  <w:vAlign w:val="center"/>
                </w:tcPr>
                <w:p w14:paraId="195CD41A">
                  <w:pPr>
                    <w:pStyle w:val="18"/>
                    <w:spacing w:before="0" w:line="240" w:lineRule="auto"/>
                    <w:ind w:firstLine="0" w:firstLineChars="0"/>
                    <w:jc w:val="center"/>
                    <w:rPr>
                      <w:rFonts w:hint="default"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0.3205</w:t>
                  </w:r>
                </w:p>
              </w:tc>
            </w:tr>
          </w:tbl>
          <w:p w14:paraId="63123886">
            <w:pPr>
              <w:pStyle w:val="7"/>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eastAsia"/>
                <w:color w:val="auto"/>
                <w:szCs w:val="21"/>
              </w:rPr>
            </w:pPr>
            <w:r>
              <w:rPr>
                <w:rFonts w:hint="eastAsia"/>
                <w:color w:val="auto"/>
                <w:szCs w:val="21"/>
              </w:rPr>
              <w:t>本项目</w:t>
            </w:r>
            <w:r>
              <w:rPr>
                <w:rFonts w:hint="eastAsia"/>
                <w:color w:val="auto"/>
                <w:szCs w:val="21"/>
                <w:lang w:val="en-US" w:eastAsia="zh-CN"/>
              </w:rPr>
              <w:t>挤出工艺</w:t>
            </w:r>
            <w:r>
              <w:rPr>
                <w:rFonts w:hint="eastAsia"/>
                <w:color w:val="auto"/>
                <w:szCs w:val="21"/>
              </w:rPr>
              <w:t>使用的环保增塑剂为石蜡油，生产时会产生少量油雾废气，以</w:t>
            </w:r>
            <w:r>
              <w:rPr>
                <w:rFonts w:hint="eastAsia"/>
                <w:color w:val="auto"/>
                <w:szCs w:val="21"/>
                <w:lang w:val="en-US" w:eastAsia="zh-CN"/>
              </w:rPr>
              <w:t>非甲烷总烃和</w:t>
            </w:r>
            <w:r>
              <w:rPr>
                <w:rFonts w:hint="eastAsia"/>
                <w:color w:val="auto"/>
                <w:szCs w:val="21"/>
              </w:rPr>
              <w:t>颗粒物计</w:t>
            </w:r>
            <w:r>
              <w:rPr>
                <w:rFonts w:hint="eastAsia"/>
                <w:color w:val="auto"/>
                <w:szCs w:val="21"/>
                <w:lang w:eastAsia="zh-CN"/>
              </w:rPr>
              <w:t>，非甲烷总烃废气已核算，此处不再核算</w:t>
            </w:r>
            <w:r>
              <w:rPr>
                <w:rFonts w:hint="eastAsia"/>
                <w:color w:val="auto"/>
                <w:szCs w:val="21"/>
              </w:rPr>
              <w:t>。</w:t>
            </w:r>
            <w:r>
              <w:rPr>
                <w:rFonts w:hint="eastAsia" w:ascii="Times New Roman" w:hAnsi="Times New Roman" w:eastAsia="宋体" w:cs="Times New Roman"/>
                <w:color w:val="auto"/>
                <w:sz w:val="21"/>
                <w:szCs w:val="21"/>
                <w:lang w:val="en-US" w:eastAsia="zh-CN"/>
              </w:rPr>
              <w:t>根据石蜡油的理化性质，150~200℃加热1h的质量损耗≤0.1%-0.5%（取中间值0.3%），挤出颗粒物产生量=</w:t>
            </w:r>
            <w:r>
              <w:rPr>
                <w:rFonts w:hint="eastAsia" w:ascii="Times New Roman" w:hAnsi="Times New Roman"/>
                <w:bCs/>
                <w:color w:val="auto"/>
                <w:sz w:val="21"/>
                <w:szCs w:val="21"/>
                <w:lang w:val="en-US" w:eastAsia="zh-CN"/>
              </w:rPr>
              <w:t>205</w:t>
            </w:r>
            <w:r>
              <w:rPr>
                <w:rFonts w:hint="eastAsia" w:ascii="Times New Roman" w:hAnsi="Times New Roman" w:eastAsia="宋体" w:cs="Times New Roman"/>
                <w:color w:val="auto"/>
                <w:sz w:val="21"/>
                <w:szCs w:val="21"/>
                <w:lang w:val="en-US" w:eastAsia="zh-CN"/>
              </w:rPr>
              <w:t>t*0.3%=0.615t</w:t>
            </w:r>
            <w:r>
              <w:rPr>
                <w:rFonts w:hint="eastAsia"/>
                <w:color w:val="auto"/>
                <w:szCs w:val="21"/>
              </w:rPr>
              <w:t>。</w:t>
            </w:r>
          </w:p>
          <w:p w14:paraId="6022079F">
            <w:pPr>
              <w:pStyle w:val="7"/>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color w:val="auto"/>
                <w:szCs w:val="21"/>
                <w:lang w:val="en-US"/>
              </w:rPr>
            </w:pPr>
            <w:r>
              <w:rPr>
                <w:rFonts w:hint="eastAsia"/>
                <w:color w:val="auto"/>
                <w:szCs w:val="21"/>
                <w:lang w:val="en-US" w:eastAsia="zh-CN"/>
              </w:rPr>
              <w:t>挤出废气经半密闭集气罩收集至1套“水喷淋塔+除湿器+二级活性炭吸附装置”处理后通过1根15米高排气筒DA002排放，收集效率以90%计，非甲烷总烃、颗粒物处理效率分别以90%、85%。非甲烷总烃有组织产生量0.2885t/a，有组织排放量0.0029t/a，无组织排放量0.032t/a；颗粒物有组织产生量0.5535t/a，有组织排放量0.083t/a，无组织排放量0.0615t/a。</w:t>
            </w:r>
          </w:p>
          <w:p w14:paraId="1860CF76">
            <w:pPr>
              <w:pStyle w:val="7"/>
              <w:numPr>
                <w:ilvl w:val="0"/>
                <w:numId w:val="0"/>
              </w:numPr>
              <w:spacing w:line="360" w:lineRule="auto"/>
              <w:ind w:firstLine="420" w:firstLineChars="200"/>
              <w:rPr>
                <w:rFonts w:hint="default"/>
                <w:color w:val="auto"/>
                <w:szCs w:val="21"/>
                <w:lang w:val="en-US" w:eastAsia="zh-CN"/>
              </w:rPr>
            </w:pPr>
            <w:r>
              <w:rPr>
                <w:rFonts w:hint="eastAsia"/>
                <w:color w:val="auto"/>
                <w:szCs w:val="21"/>
                <w:lang w:val="en-US" w:eastAsia="zh-CN"/>
              </w:rPr>
              <w:t>（3）烘干废气（非甲烷总烃）</w:t>
            </w:r>
          </w:p>
          <w:p w14:paraId="343255B6">
            <w:pPr>
              <w:pStyle w:val="7"/>
              <w:spacing w:line="360" w:lineRule="auto"/>
              <w:rPr>
                <w:rFonts w:hint="default" w:eastAsia="宋体"/>
                <w:color w:val="auto"/>
                <w:szCs w:val="21"/>
                <w:lang w:val="en-US" w:eastAsia="zh-CN"/>
              </w:rPr>
            </w:pPr>
            <w:r>
              <w:rPr>
                <w:rFonts w:hint="eastAsia"/>
                <w:color w:val="auto"/>
                <w:szCs w:val="21"/>
                <w:lang w:val="en-US" w:eastAsia="zh-CN"/>
              </w:rPr>
              <w:t>本项目生产的</w:t>
            </w:r>
            <w:r>
              <w:rPr>
                <w:rFonts w:ascii="Times New Roman" w:hAnsi="Times New Roman"/>
                <w:bCs/>
                <w:color w:val="auto"/>
                <w:sz w:val="21"/>
                <w:szCs w:val="21"/>
              </w:rPr>
              <w:t>热塑性弹性体</w:t>
            </w:r>
            <w:r>
              <w:rPr>
                <w:rFonts w:hint="eastAsia" w:ascii="Times New Roman" w:hAnsi="Times New Roman"/>
                <w:bCs/>
                <w:color w:val="auto"/>
                <w:sz w:val="21"/>
                <w:szCs w:val="21"/>
                <w:lang w:val="en-US" w:eastAsia="zh-CN"/>
              </w:rPr>
              <w:t>颗粒，需要利用烘干机进行除湿，电加热，温度80~90℃，该过程会产生微量有机废气（以非甲烷总烃计），不进行定量分析，</w:t>
            </w:r>
            <w:r>
              <w:rPr>
                <w:rFonts w:hint="eastAsia"/>
                <w:color w:val="auto"/>
                <w:szCs w:val="21"/>
                <w:lang w:val="en-US" w:eastAsia="zh-CN"/>
              </w:rPr>
              <w:t>废气经半密闭集气罩收集至1套“水喷淋塔+除湿器+二级活性炭吸附装置”处理后通过1根15米高排气筒DA002排放。</w:t>
            </w:r>
          </w:p>
          <w:p w14:paraId="1694D40E">
            <w:pPr>
              <w:pStyle w:val="7"/>
              <w:spacing w:line="360" w:lineRule="auto"/>
              <w:rPr>
                <w:rFonts w:hint="default" w:eastAsia="宋体"/>
                <w:color w:val="auto"/>
                <w:szCs w:val="21"/>
                <w:lang w:val="en-US" w:eastAsia="zh-CN"/>
              </w:rPr>
            </w:pPr>
            <w:r>
              <w:rPr>
                <w:rFonts w:hint="eastAsia"/>
                <w:color w:val="auto"/>
                <w:szCs w:val="21"/>
                <w:lang w:eastAsia="zh-CN"/>
              </w:rPr>
              <w:t>（</w:t>
            </w:r>
            <w:r>
              <w:rPr>
                <w:rFonts w:hint="eastAsia"/>
                <w:color w:val="auto"/>
                <w:szCs w:val="21"/>
                <w:lang w:val="en-US" w:eastAsia="zh-CN"/>
              </w:rPr>
              <w:t>4</w:t>
            </w:r>
            <w:r>
              <w:rPr>
                <w:rFonts w:hint="eastAsia"/>
                <w:color w:val="auto"/>
                <w:szCs w:val="21"/>
                <w:lang w:eastAsia="zh-CN"/>
              </w:rPr>
              <w:t>）</w:t>
            </w:r>
            <w:r>
              <w:rPr>
                <w:rFonts w:hint="eastAsia"/>
                <w:color w:val="auto"/>
                <w:szCs w:val="21"/>
                <w:lang w:val="en-US" w:eastAsia="zh-CN"/>
              </w:rPr>
              <w:t>测试废气（非甲烷总烃、颗粒物）</w:t>
            </w:r>
          </w:p>
          <w:p w14:paraId="5AFBC4C3">
            <w:pPr>
              <w:pStyle w:val="7"/>
              <w:spacing w:line="360" w:lineRule="auto"/>
              <w:rPr>
                <w:rFonts w:hint="default" w:eastAsia="宋体"/>
                <w:color w:val="auto"/>
                <w:szCs w:val="21"/>
                <w:lang w:val="en-US" w:eastAsia="zh-CN"/>
              </w:rPr>
            </w:pPr>
            <w:r>
              <w:rPr>
                <w:rFonts w:hint="eastAsia"/>
                <w:color w:val="auto"/>
                <w:szCs w:val="21"/>
                <w:lang w:val="en-US" w:eastAsia="zh-CN"/>
              </w:rPr>
              <w:t>本项目</w:t>
            </w:r>
            <w:r>
              <w:rPr>
                <w:rFonts w:hint="eastAsia" w:ascii="Times New Roman" w:hAnsi="Times New Roman"/>
                <w:bCs/>
                <w:color w:val="auto"/>
                <w:sz w:val="21"/>
                <w:szCs w:val="21"/>
                <w:lang w:val="en-US" w:eastAsia="zh-CN"/>
              </w:rPr>
              <w:t>利用注塑机和烘箱</w:t>
            </w:r>
            <w:r>
              <w:rPr>
                <w:rFonts w:hint="eastAsia"/>
                <w:color w:val="auto"/>
                <w:szCs w:val="21"/>
                <w:lang w:val="en-US" w:eastAsia="zh-CN"/>
              </w:rPr>
              <w:t>测试</w:t>
            </w:r>
            <w:r>
              <w:rPr>
                <w:rFonts w:ascii="Times New Roman" w:hAnsi="Times New Roman"/>
                <w:bCs/>
                <w:color w:val="auto"/>
                <w:sz w:val="21"/>
                <w:szCs w:val="21"/>
              </w:rPr>
              <w:t>热塑性弹性体</w:t>
            </w:r>
            <w:r>
              <w:rPr>
                <w:rFonts w:hint="eastAsia" w:ascii="Times New Roman" w:hAnsi="Times New Roman"/>
                <w:bCs/>
                <w:color w:val="auto"/>
                <w:sz w:val="21"/>
                <w:szCs w:val="21"/>
                <w:lang w:val="en-US" w:eastAsia="zh-CN"/>
              </w:rPr>
              <w:t>颗粒过程会产生测试废气（有机废气以非甲烷总烃、油雾废气以非甲烷总烃、颗粒物计），月检测次数10次、每次测试量200g，年测试量24kg，测试过程非甲烷总烃、颗粒物产生量极低不定量分析，</w:t>
            </w:r>
            <w:r>
              <w:rPr>
                <w:rFonts w:hint="eastAsia"/>
                <w:color w:val="auto"/>
                <w:szCs w:val="21"/>
                <w:lang w:val="en-US" w:eastAsia="zh-CN"/>
              </w:rPr>
              <w:t>废气经半密闭集气罩收集至1套“水喷淋塔+除湿器+二级活性炭吸附装置”处理后通过1根15米高排气筒DA002排放。</w:t>
            </w:r>
          </w:p>
          <w:p w14:paraId="5A44720F">
            <w:pPr>
              <w:pStyle w:val="7"/>
              <w:spacing w:line="360" w:lineRule="auto"/>
              <w:rPr>
                <w:rFonts w:hint="default" w:eastAsia="宋体"/>
                <w:color w:val="auto"/>
                <w:szCs w:val="21"/>
                <w:lang w:val="en-US" w:eastAsia="zh-CN"/>
              </w:rPr>
            </w:pPr>
            <w:r>
              <w:rPr>
                <w:rFonts w:hint="eastAsia"/>
                <w:color w:val="auto"/>
                <w:szCs w:val="21"/>
                <w:lang w:eastAsia="zh-CN"/>
              </w:rPr>
              <w:t>（</w:t>
            </w:r>
            <w:r>
              <w:rPr>
                <w:rFonts w:hint="eastAsia"/>
                <w:color w:val="auto"/>
                <w:szCs w:val="21"/>
                <w:lang w:val="en-US" w:eastAsia="zh-CN"/>
              </w:rPr>
              <w:t>5</w:t>
            </w:r>
            <w:r>
              <w:rPr>
                <w:rFonts w:hint="eastAsia"/>
                <w:color w:val="auto"/>
                <w:szCs w:val="21"/>
                <w:lang w:eastAsia="zh-CN"/>
              </w:rPr>
              <w:t>）</w:t>
            </w:r>
            <w:r>
              <w:rPr>
                <w:rFonts w:hint="eastAsia"/>
                <w:color w:val="auto"/>
                <w:szCs w:val="21"/>
                <w:lang w:val="en-US" w:eastAsia="zh-CN"/>
              </w:rPr>
              <w:t>破碎粉尘</w:t>
            </w:r>
            <w:r>
              <w:rPr>
                <w:rFonts w:hint="eastAsia"/>
                <w:color w:val="auto"/>
                <w:szCs w:val="21"/>
                <w:lang w:eastAsia="zh-CN"/>
              </w:rPr>
              <w:t>（</w:t>
            </w:r>
            <w:r>
              <w:rPr>
                <w:rFonts w:hint="eastAsia"/>
                <w:color w:val="auto"/>
                <w:szCs w:val="21"/>
                <w:lang w:val="en-US" w:eastAsia="zh-CN"/>
              </w:rPr>
              <w:t>颗粒物</w:t>
            </w:r>
            <w:r>
              <w:rPr>
                <w:rFonts w:hint="eastAsia"/>
                <w:color w:val="auto"/>
                <w:szCs w:val="21"/>
                <w:lang w:eastAsia="zh-CN"/>
              </w:rPr>
              <w:t>）</w:t>
            </w:r>
          </w:p>
          <w:p w14:paraId="6835B4E7">
            <w:pPr>
              <w:pStyle w:val="7"/>
              <w:spacing w:line="360" w:lineRule="auto"/>
              <w:rPr>
                <w:rFonts w:hint="eastAsia" w:eastAsia="宋体"/>
                <w:color w:val="auto"/>
                <w:szCs w:val="21"/>
                <w:lang w:eastAsia="zh-CN"/>
              </w:rPr>
            </w:pPr>
            <w:r>
              <w:rPr>
                <w:color w:val="auto"/>
                <w:szCs w:val="21"/>
              </w:rPr>
              <w:t>本项目</w:t>
            </w:r>
            <w:r>
              <w:rPr>
                <w:rFonts w:hint="eastAsia"/>
                <w:color w:val="auto"/>
                <w:szCs w:val="21"/>
              </w:rPr>
              <w:t>拟</w:t>
            </w:r>
            <w:r>
              <w:rPr>
                <w:color w:val="auto"/>
                <w:szCs w:val="21"/>
              </w:rPr>
              <w:t>设置</w:t>
            </w:r>
            <w:r>
              <w:rPr>
                <w:rFonts w:hint="eastAsia"/>
                <w:color w:val="auto"/>
                <w:szCs w:val="21"/>
                <w:lang w:val="en-US" w:eastAsia="zh-CN"/>
              </w:rPr>
              <w:t>破碎</w:t>
            </w:r>
            <w:r>
              <w:rPr>
                <w:rFonts w:hint="eastAsia"/>
                <w:color w:val="auto"/>
                <w:szCs w:val="21"/>
              </w:rPr>
              <w:t>机</w:t>
            </w:r>
            <w:r>
              <w:rPr>
                <w:color w:val="auto"/>
                <w:szCs w:val="21"/>
              </w:rPr>
              <w:t>，对</w:t>
            </w:r>
            <w:r>
              <w:rPr>
                <w:rFonts w:hint="eastAsia"/>
                <w:color w:val="auto"/>
                <w:szCs w:val="21"/>
                <w:lang w:val="en-US" w:eastAsia="zh-CN"/>
              </w:rPr>
              <w:t>生产过程的</w:t>
            </w:r>
            <w:r>
              <w:rPr>
                <w:rFonts w:hint="eastAsia"/>
                <w:color w:val="auto"/>
                <w:szCs w:val="21"/>
              </w:rPr>
              <w:t>不合格品、</w:t>
            </w:r>
            <w:r>
              <w:rPr>
                <w:rFonts w:hint="eastAsia"/>
                <w:color w:val="auto"/>
                <w:szCs w:val="21"/>
                <w:lang w:val="en-US" w:eastAsia="zh-CN"/>
              </w:rPr>
              <w:t>废</w:t>
            </w:r>
            <w:r>
              <w:rPr>
                <w:rFonts w:hint="eastAsia"/>
                <w:color w:val="auto"/>
                <w:szCs w:val="21"/>
              </w:rPr>
              <w:t>边角料</w:t>
            </w:r>
            <w:r>
              <w:rPr>
                <w:color w:val="auto"/>
                <w:szCs w:val="21"/>
              </w:rPr>
              <w:t>进行</w:t>
            </w:r>
            <w:r>
              <w:rPr>
                <w:rFonts w:hint="eastAsia"/>
                <w:color w:val="auto"/>
                <w:szCs w:val="21"/>
                <w:lang w:val="en-US" w:eastAsia="zh-CN"/>
              </w:rPr>
              <w:t>破碎</w:t>
            </w:r>
            <w:r>
              <w:rPr>
                <w:color w:val="auto"/>
                <w:szCs w:val="21"/>
              </w:rPr>
              <w:t>，</w:t>
            </w:r>
            <w:r>
              <w:rPr>
                <w:rFonts w:hint="eastAsia"/>
                <w:color w:val="auto"/>
                <w:szCs w:val="21"/>
              </w:rPr>
              <w:t>本项目使用</w:t>
            </w:r>
            <w:r>
              <w:rPr>
                <w:rFonts w:hint="eastAsia"/>
                <w:color w:val="auto"/>
                <w:szCs w:val="21"/>
                <w:lang w:val="en-US" w:eastAsia="zh-CN"/>
              </w:rPr>
              <w:t>破碎</w:t>
            </w:r>
            <w:r>
              <w:rPr>
                <w:rFonts w:hint="eastAsia"/>
                <w:color w:val="auto"/>
                <w:szCs w:val="21"/>
              </w:rPr>
              <w:t>机为密闭装置，进料口设置挡板、出料口为抽拉式箱体，在粉碎过程中进、出口可全封闭，待</w:t>
            </w:r>
            <w:r>
              <w:rPr>
                <w:rFonts w:hint="eastAsia"/>
                <w:color w:val="auto"/>
                <w:szCs w:val="21"/>
                <w:lang w:val="en-US" w:eastAsia="zh-CN"/>
              </w:rPr>
              <w:t>破碎</w:t>
            </w:r>
            <w:r>
              <w:rPr>
                <w:rFonts w:hint="eastAsia"/>
                <w:color w:val="auto"/>
                <w:szCs w:val="21"/>
              </w:rPr>
              <w:t>完成物料沉降后再将物料取出；且项目原料使用量较低，</w:t>
            </w:r>
            <w:r>
              <w:rPr>
                <w:rFonts w:hint="eastAsia"/>
                <w:color w:val="auto"/>
                <w:szCs w:val="21"/>
                <w:lang w:val="en-US" w:eastAsia="zh-CN"/>
              </w:rPr>
              <w:t>废</w:t>
            </w:r>
            <w:r>
              <w:rPr>
                <w:rFonts w:hint="eastAsia"/>
                <w:color w:val="auto"/>
                <w:szCs w:val="21"/>
              </w:rPr>
              <w:t>边角料、不合格品产生量较低，</w:t>
            </w:r>
            <w:r>
              <w:rPr>
                <w:rFonts w:hint="eastAsia"/>
                <w:color w:val="auto"/>
                <w:szCs w:val="21"/>
                <w:lang w:val="en-US" w:eastAsia="zh-CN"/>
              </w:rPr>
              <w:t>破碎</w:t>
            </w:r>
            <w:r>
              <w:rPr>
                <w:rFonts w:hint="eastAsia"/>
                <w:color w:val="auto"/>
                <w:szCs w:val="21"/>
              </w:rPr>
              <w:t>机不连续运行，因此此工序产生粉尘可忽略不计，本次仅做定性分析，不做定量核算</w:t>
            </w:r>
            <w:r>
              <w:rPr>
                <w:rFonts w:hint="eastAsia"/>
                <w:color w:val="auto"/>
                <w:szCs w:val="21"/>
                <w:lang w:eastAsia="zh-CN"/>
              </w:rPr>
              <w:t>。</w:t>
            </w:r>
          </w:p>
          <w:p w14:paraId="06AC5F73">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rPr>
              <w:t>本项目有组织废气产生源强见表4-</w:t>
            </w:r>
            <w:r>
              <w:rPr>
                <w:rFonts w:hint="eastAsia" w:ascii="Times New Roman" w:hAnsi="Times New Roman" w:eastAsia="宋体" w:cs="Times New Roman"/>
                <w:bCs/>
                <w:color w:val="auto"/>
                <w:sz w:val="21"/>
                <w:szCs w:val="21"/>
                <w:lang w:val="en-US" w:eastAsia="zh-CN"/>
              </w:rPr>
              <w:t>2</w:t>
            </w:r>
            <w:r>
              <w:rPr>
                <w:rFonts w:hint="default" w:ascii="Times New Roman" w:hAnsi="Times New Roman" w:eastAsia="宋体" w:cs="Times New Roman"/>
                <w:bCs/>
                <w:color w:val="auto"/>
                <w:sz w:val="21"/>
                <w:szCs w:val="21"/>
              </w:rPr>
              <w:t>，无组织废气产生源强见表4-</w:t>
            </w:r>
            <w:r>
              <w:rPr>
                <w:rFonts w:hint="eastAsia" w:ascii="Times New Roman" w:hAnsi="Times New Roman" w:eastAsia="宋体" w:cs="Times New Roman"/>
                <w:bCs/>
                <w:color w:val="auto"/>
                <w:sz w:val="21"/>
                <w:szCs w:val="21"/>
                <w:lang w:val="en-US" w:eastAsia="zh-CN"/>
              </w:rPr>
              <w:t>3</w:t>
            </w:r>
            <w:r>
              <w:rPr>
                <w:rFonts w:hint="default" w:ascii="Times New Roman" w:hAnsi="Times New Roman" w:eastAsia="宋体" w:cs="Times New Roman"/>
                <w:b w:val="0"/>
                <w:bCs w:val="0"/>
                <w:color w:val="auto"/>
                <w:szCs w:val="21"/>
                <w:lang w:val="en-US" w:eastAsia="zh-CN"/>
              </w:rPr>
              <w:t>。</w:t>
            </w:r>
          </w:p>
          <w:p w14:paraId="7B97FD71">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color w:val="auto"/>
                <w:sz w:val="21"/>
                <w:szCs w:val="21"/>
              </w:rPr>
            </w:pPr>
            <w:bookmarkStart w:id="17" w:name="_Toc68895591"/>
          </w:p>
          <w:p w14:paraId="167935C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color w:val="auto"/>
                <w:sz w:val="21"/>
                <w:szCs w:val="21"/>
              </w:rPr>
            </w:pPr>
          </w:p>
          <w:p w14:paraId="004B07BE">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color w:val="auto"/>
                <w:sz w:val="21"/>
                <w:szCs w:val="21"/>
              </w:rPr>
            </w:pPr>
          </w:p>
          <w:p w14:paraId="3F53F157">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表4-</w:t>
            </w:r>
            <w:r>
              <w:rPr>
                <w:rFonts w:hint="eastAsia" w:ascii="Times New Roman" w:hAnsi="Times New Roman" w:eastAsia="宋体" w:cs="Times New Roman"/>
                <w:b/>
                <w:color w:val="auto"/>
                <w:sz w:val="21"/>
                <w:szCs w:val="21"/>
                <w:lang w:val="en-US" w:eastAsia="zh-CN"/>
              </w:rPr>
              <w:t>2</w:t>
            </w:r>
            <w:r>
              <w:rPr>
                <w:rFonts w:hint="default" w:ascii="Times New Roman" w:hAnsi="Times New Roman" w:eastAsia="宋体" w:cs="Times New Roman"/>
                <w:b/>
                <w:color w:val="auto"/>
                <w:sz w:val="21"/>
                <w:szCs w:val="21"/>
                <w:lang w:val="en-US" w:eastAsia="zh-CN"/>
              </w:rPr>
              <w:t xml:space="preserve"> </w:t>
            </w:r>
            <w:r>
              <w:rPr>
                <w:rFonts w:hint="default" w:ascii="Times New Roman" w:hAnsi="Times New Roman" w:eastAsia="宋体" w:cs="Times New Roman"/>
                <w:b/>
                <w:color w:val="auto"/>
                <w:sz w:val="21"/>
                <w:szCs w:val="21"/>
              </w:rPr>
              <w:t>本项目有组织废气产生源强表</w:t>
            </w:r>
          </w:p>
          <w:tbl>
            <w:tblPr>
              <w:tblStyle w:val="28"/>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369"/>
              <w:gridCol w:w="1795"/>
              <w:gridCol w:w="1415"/>
              <w:gridCol w:w="1260"/>
              <w:gridCol w:w="1299"/>
              <w:gridCol w:w="1237"/>
            </w:tblGrid>
            <w:tr w14:paraId="562D1A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817" w:type="pct"/>
                  <w:noWrap w:val="0"/>
                  <w:vAlign w:val="center"/>
                </w:tcPr>
                <w:p w14:paraId="5490D343">
                  <w:pPr>
                    <w:keepNext w:val="0"/>
                    <w:keepLines w:val="0"/>
                    <w:widowControl/>
                    <w:suppressLineNumbers w:val="0"/>
                    <w:spacing w:before="0" w:beforeAutospacing="0" w:after="0" w:afterAutospacing="0" w:line="240" w:lineRule="atLeast"/>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点源名称</w:t>
                  </w:r>
                </w:p>
              </w:tc>
              <w:tc>
                <w:tcPr>
                  <w:tcW w:w="1071" w:type="pct"/>
                  <w:noWrap w:val="0"/>
                  <w:vAlign w:val="center"/>
                </w:tcPr>
                <w:p w14:paraId="0F9FCBB9">
                  <w:pPr>
                    <w:keepNext w:val="0"/>
                    <w:keepLines w:val="0"/>
                    <w:widowControl/>
                    <w:suppressLineNumbers w:val="0"/>
                    <w:spacing w:before="0" w:beforeAutospacing="0" w:after="0" w:afterAutospacing="0" w:line="240" w:lineRule="atLeast"/>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产生环节</w:t>
                  </w:r>
                </w:p>
              </w:tc>
              <w:tc>
                <w:tcPr>
                  <w:tcW w:w="844" w:type="pct"/>
                  <w:noWrap w:val="0"/>
                  <w:vAlign w:val="center"/>
                </w:tcPr>
                <w:p w14:paraId="3580A840">
                  <w:pPr>
                    <w:keepNext w:val="0"/>
                    <w:keepLines w:val="0"/>
                    <w:widowControl/>
                    <w:suppressLineNumbers w:val="0"/>
                    <w:spacing w:before="0" w:beforeAutospacing="0" w:after="0" w:afterAutospacing="0" w:line="240" w:lineRule="atLeast"/>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污染物名称</w:t>
                  </w:r>
                </w:p>
              </w:tc>
              <w:tc>
                <w:tcPr>
                  <w:tcW w:w="752" w:type="pct"/>
                  <w:noWrap w:val="0"/>
                  <w:vAlign w:val="center"/>
                </w:tcPr>
                <w:p w14:paraId="4E012EC6">
                  <w:pPr>
                    <w:keepNext w:val="0"/>
                    <w:keepLines w:val="0"/>
                    <w:suppressLineNumbers w:val="0"/>
                    <w:spacing w:before="0" w:beforeAutospacing="0" w:after="0" w:afterAutospacing="0" w:line="240" w:lineRule="atLeast"/>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产生量t/a</w:t>
                  </w:r>
                </w:p>
              </w:tc>
              <w:tc>
                <w:tcPr>
                  <w:tcW w:w="775" w:type="pct"/>
                  <w:noWrap w:val="0"/>
                  <w:vAlign w:val="center"/>
                </w:tcPr>
                <w:p w14:paraId="7B80E817">
                  <w:pPr>
                    <w:keepNext w:val="0"/>
                    <w:keepLines w:val="0"/>
                    <w:suppressLineNumbers w:val="0"/>
                    <w:spacing w:before="0" w:beforeAutospacing="0" w:after="0" w:afterAutospacing="0" w:line="240" w:lineRule="atLeast"/>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产生速率kg/h</w:t>
                  </w:r>
                </w:p>
              </w:tc>
              <w:tc>
                <w:tcPr>
                  <w:tcW w:w="738" w:type="pct"/>
                  <w:noWrap w:val="0"/>
                  <w:vAlign w:val="center"/>
                </w:tcPr>
                <w:p w14:paraId="6D4F13A2">
                  <w:pPr>
                    <w:keepNext w:val="0"/>
                    <w:keepLines w:val="0"/>
                    <w:widowControl/>
                    <w:suppressLineNumbers w:val="0"/>
                    <w:spacing w:before="0" w:beforeAutospacing="0" w:after="0" w:afterAutospacing="0" w:line="240" w:lineRule="atLeast"/>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排放时间h</w:t>
                  </w:r>
                </w:p>
              </w:tc>
            </w:tr>
            <w:tr w14:paraId="1A1B08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817" w:type="pct"/>
                  <w:noWrap w:val="0"/>
                  <w:vAlign w:val="center"/>
                </w:tcPr>
                <w:p w14:paraId="1E448183">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DA001</w:t>
                  </w:r>
                </w:p>
              </w:tc>
              <w:tc>
                <w:tcPr>
                  <w:tcW w:w="1071" w:type="pct"/>
                  <w:noWrap w:val="0"/>
                  <w:vAlign w:val="center"/>
                </w:tcPr>
                <w:p w14:paraId="1AA8DE9B">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配料、投料废气</w:t>
                  </w:r>
                </w:p>
              </w:tc>
              <w:tc>
                <w:tcPr>
                  <w:tcW w:w="844" w:type="pct"/>
                  <w:noWrap w:val="0"/>
                  <w:vAlign w:val="center"/>
                </w:tcPr>
                <w:p w14:paraId="2B69E7E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752" w:type="pct"/>
                  <w:noWrap w:val="0"/>
                  <w:tcMar>
                    <w:left w:w="28" w:type="dxa"/>
                    <w:right w:w="28" w:type="dxa"/>
                  </w:tcMar>
                  <w:vAlign w:val="center"/>
                </w:tcPr>
                <w:p w14:paraId="07F25B9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color w:val="auto"/>
                      <w:kern w:val="2"/>
                      <w:sz w:val="21"/>
                      <w:szCs w:val="21"/>
                      <w:lang w:val="en-US" w:eastAsia="zh-CN"/>
                    </w:rPr>
                    <w:t>0.1791</w:t>
                  </w:r>
                </w:p>
              </w:tc>
              <w:tc>
                <w:tcPr>
                  <w:tcW w:w="775" w:type="pct"/>
                  <w:noWrap w:val="0"/>
                  <w:vAlign w:val="center"/>
                </w:tcPr>
                <w:p w14:paraId="4CCC307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0.2985</w:t>
                  </w:r>
                </w:p>
              </w:tc>
              <w:tc>
                <w:tcPr>
                  <w:tcW w:w="738" w:type="pct"/>
                  <w:noWrap w:val="0"/>
                  <w:vAlign w:val="center"/>
                </w:tcPr>
                <w:p w14:paraId="2828EF3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600</w:t>
                  </w:r>
                </w:p>
              </w:tc>
            </w:tr>
            <w:tr w14:paraId="333C88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817" w:type="pct"/>
                  <w:vMerge w:val="restart"/>
                  <w:noWrap w:val="0"/>
                  <w:vAlign w:val="center"/>
                </w:tcPr>
                <w:p w14:paraId="395F7C6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DA002</w:t>
                  </w:r>
                </w:p>
              </w:tc>
              <w:tc>
                <w:tcPr>
                  <w:tcW w:w="1071" w:type="pct"/>
                  <w:vMerge w:val="restart"/>
                  <w:noWrap w:val="0"/>
                  <w:vAlign w:val="center"/>
                </w:tcPr>
                <w:p w14:paraId="1CC9EC4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lang w:val="en-US" w:eastAsia="zh-CN"/>
                    </w:rPr>
                    <w:t>挤出、烘干、测试废气</w:t>
                  </w:r>
                </w:p>
              </w:tc>
              <w:tc>
                <w:tcPr>
                  <w:tcW w:w="844" w:type="pct"/>
                  <w:noWrap w:val="0"/>
                  <w:vAlign w:val="center"/>
                </w:tcPr>
                <w:p w14:paraId="6DB3C5B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非甲烷总烃</w:t>
                  </w:r>
                </w:p>
              </w:tc>
              <w:tc>
                <w:tcPr>
                  <w:tcW w:w="752" w:type="pct"/>
                  <w:noWrap w:val="0"/>
                  <w:tcMar>
                    <w:left w:w="28" w:type="dxa"/>
                    <w:right w:w="28" w:type="dxa"/>
                  </w:tcMar>
                  <w:vAlign w:val="center"/>
                </w:tcPr>
                <w:p w14:paraId="1B8237A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color w:val="auto"/>
                      <w:szCs w:val="21"/>
                      <w:lang w:val="en-US" w:eastAsia="zh-CN"/>
                    </w:rPr>
                    <w:t>0.2885</w:t>
                  </w:r>
                </w:p>
              </w:tc>
              <w:tc>
                <w:tcPr>
                  <w:tcW w:w="775" w:type="pct"/>
                  <w:noWrap w:val="0"/>
                  <w:vAlign w:val="center"/>
                </w:tcPr>
                <w:p w14:paraId="1D56DF6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0.1202</w:t>
                  </w:r>
                </w:p>
              </w:tc>
              <w:tc>
                <w:tcPr>
                  <w:tcW w:w="738" w:type="pct"/>
                  <w:vMerge w:val="restart"/>
                  <w:noWrap w:val="0"/>
                  <w:vAlign w:val="center"/>
                </w:tcPr>
                <w:p w14:paraId="12C0679A">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2400</w:t>
                  </w:r>
                </w:p>
              </w:tc>
            </w:tr>
            <w:tr w14:paraId="50FDEC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817" w:type="pct"/>
                  <w:vMerge w:val="continue"/>
                  <w:noWrap w:val="0"/>
                  <w:vAlign w:val="center"/>
                </w:tcPr>
                <w:p w14:paraId="259EDE39">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auto"/>
                      <w:sz w:val="21"/>
                      <w:szCs w:val="21"/>
                      <w:lang w:val="en-US" w:eastAsia="zh-CN"/>
                    </w:rPr>
                  </w:pPr>
                </w:p>
              </w:tc>
              <w:tc>
                <w:tcPr>
                  <w:tcW w:w="1071" w:type="pct"/>
                  <w:vMerge w:val="continue"/>
                  <w:noWrap w:val="0"/>
                  <w:vAlign w:val="center"/>
                </w:tcPr>
                <w:p w14:paraId="5F4A7D03">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auto"/>
                      <w:lang w:val="en-US" w:eastAsia="zh-CN"/>
                    </w:rPr>
                  </w:pPr>
                </w:p>
              </w:tc>
              <w:tc>
                <w:tcPr>
                  <w:tcW w:w="844" w:type="pct"/>
                  <w:noWrap w:val="0"/>
                  <w:vAlign w:val="center"/>
                </w:tcPr>
                <w:p w14:paraId="223DAC9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752" w:type="pct"/>
                  <w:noWrap w:val="0"/>
                  <w:tcMar>
                    <w:left w:w="28" w:type="dxa"/>
                    <w:right w:w="28" w:type="dxa"/>
                  </w:tcMar>
                  <w:vAlign w:val="center"/>
                </w:tcPr>
                <w:p w14:paraId="1D40F128">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sz w:val="21"/>
                      <w:szCs w:val="21"/>
                      <w:lang w:val="en-US" w:eastAsia="zh-CN"/>
                    </w:rPr>
                  </w:pPr>
                  <w:r>
                    <w:rPr>
                      <w:rFonts w:hint="eastAsia"/>
                      <w:color w:val="auto"/>
                      <w:szCs w:val="21"/>
                      <w:lang w:val="en-US" w:eastAsia="zh-CN"/>
                    </w:rPr>
                    <w:t>0.5535</w:t>
                  </w:r>
                </w:p>
              </w:tc>
              <w:tc>
                <w:tcPr>
                  <w:tcW w:w="775" w:type="pct"/>
                  <w:noWrap w:val="0"/>
                  <w:vAlign w:val="center"/>
                </w:tcPr>
                <w:p w14:paraId="117C285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0.2306</w:t>
                  </w:r>
                </w:p>
              </w:tc>
              <w:tc>
                <w:tcPr>
                  <w:tcW w:w="738" w:type="pct"/>
                  <w:vMerge w:val="continue"/>
                  <w:noWrap w:val="0"/>
                  <w:vAlign w:val="center"/>
                </w:tcPr>
                <w:p w14:paraId="050CF2B7">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auto"/>
                      <w:sz w:val="21"/>
                      <w:szCs w:val="21"/>
                      <w:lang w:val="en-US" w:eastAsia="zh-CN"/>
                    </w:rPr>
                  </w:pPr>
                </w:p>
              </w:tc>
            </w:tr>
          </w:tbl>
          <w:p w14:paraId="53CE5C34">
            <w:pPr>
              <w:keepNext w:val="0"/>
              <w:keepLines w:val="0"/>
              <w:pageBreakBefore w:val="0"/>
              <w:widowControl w:val="0"/>
              <w:suppressLineNumbers w:val="0"/>
              <w:kinsoku/>
              <w:wordWrap/>
              <w:overflowPunct/>
              <w:topLinePunct w:val="0"/>
              <w:autoSpaceDE/>
              <w:autoSpaceDN/>
              <w:bidi w:val="0"/>
              <w:adjustRightInd w:val="0"/>
              <w:snapToGrid w:val="0"/>
              <w:spacing w:before="157" w:beforeLines="50" w:beforeAutospacing="0" w:after="0" w:afterAutospacing="0" w:line="240" w:lineRule="auto"/>
              <w:ind w:left="0" w:right="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
                <w:color w:val="auto"/>
                <w:sz w:val="21"/>
                <w:szCs w:val="21"/>
              </w:rPr>
              <w:t>表4-</w:t>
            </w:r>
            <w:r>
              <w:rPr>
                <w:rFonts w:hint="eastAsia" w:ascii="Times New Roman" w:hAnsi="Times New Roman" w:eastAsia="宋体" w:cs="Times New Roman"/>
                <w:b/>
                <w:color w:val="auto"/>
                <w:sz w:val="21"/>
                <w:szCs w:val="21"/>
                <w:lang w:val="en-US" w:eastAsia="zh-CN"/>
              </w:rPr>
              <w:t>3</w:t>
            </w:r>
            <w:r>
              <w:rPr>
                <w:rFonts w:hint="default" w:ascii="Times New Roman" w:hAnsi="Times New Roman" w:eastAsia="宋体" w:cs="Times New Roman"/>
                <w:b/>
                <w:color w:val="auto"/>
                <w:sz w:val="21"/>
                <w:szCs w:val="21"/>
                <w:lang w:val="en-US" w:eastAsia="zh-CN"/>
              </w:rPr>
              <w:t xml:space="preserve"> </w:t>
            </w:r>
            <w:r>
              <w:rPr>
                <w:rFonts w:hint="default" w:ascii="Times New Roman" w:hAnsi="Times New Roman" w:eastAsia="宋体" w:cs="Times New Roman"/>
                <w:b/>
                <w:color w:val="auto"/>
                <w:sz w:val="21"/>
                <w:szCs w:val="21"/>
              </w:rPr>
              <w:t>本项目无组织废气污染物产生源强表</w:t>
            </w:r>
          </w:p>
          <w:tbl>
            <w:tblPr>
              <w:tblStyle w:val="28"/>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931"/>
              <w:gridCol w:w="1703"/>
              <w:gridCol w:w="1393"/>
              <w:gridCol w:w="1093"/>
              <w:gridCol w:w="1281"/>
              <w:gridCol w:w="966"/>
              <w:gridCol w:w="1011"/>
            </w:tblGrid>
            <w:tr w14:paraId="608F3B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90" w:hRule="atLeast"/>
              </w:trPr>
              <w:tc>
                <w:tcPr>
                  <w:tcW w:w="555" w:type="pct"/>
                  <w:noWrap w:val="0"/>
                  <w:vAlign w:val="center"/>
                </w:tcPr>
                <w:p w14:paraId="371843B5">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面源名称</w:t>
                  </w:r>
                </w:p>
              </w:tc>
              <w:tc>
                <w:tcPr>
                  <w:tcW w:w="1016" w:type="pct"/>
                  <w:noWrap w:val="0"/>
                  <w:vAlign w:val="center"/>
                </w:tcPr>
                <w:p w14:paraId="1CAC6306">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产污环节</w:t>
                  </w:r>
                </w:p>
              </w:tc>
              <w:tc>
                <w:tcPr>
                  <w:tcW w:w="831" w:type="pct"/>
                  <w:noWrap w:val="0"/>
                  <w:vAlign w:val="center"/>
                </w:tcPr>
                <w:p w14:paraId="3FB1B3FC">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污染物名称</w:t>
                  </w:r>
                </w:p>
              </w:tc>
              <w:tc>
                <w:tcPr>
                  <w:tcW w:w="652" w:type="pct"/>
                  <w:noWrap w:val="0"/>
                  <w:vAlign w:val="center"/>
                </w:tcPr>
                <w:p w14:paraId="23395B64">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污染物产生量t/a</w:t>
                  </w:r>
                </w:p>
              </w:tc>
              <w:tc>
                <w:tcPr>
                  <w:tcW w:w="764" w:type="pct"/>
                  <w:noWrap w:val="0"/>
                  <w:vAlign w:val="center"/>
                </w:tcPr>
                <w:p w14:paraId="23C78199">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bCs/>
                      <w:color w:val="auto"/>
                      <w:sz w:val="21"/>
                      <w:szCs w:val="21"/>
                    </w:rPr>
                    <w:t>污染物产生速率kg/h</w:t>
                  </w:r>
                </w:p>
              </w:tc>
              <w:tc>
                <w:tcPr>
                  <w:tcW w:w="576" w:type="pct"/>
                  <w:noWrap w:val="0"/>
                  <w:vAlign w:val="center"/>
                </w:tcPr>
                <w:p w14:paraId="5D3387DE">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面源面积（m</w:t>
                  </w:r>
                  <w:r>
                    <w:rPr>
                      <w:rFonts w:hint="default" w:ascii="Times New Roman" w:hAnsi="Times New Roman" w:eastAsia="宋体" w:cs="Times New Roman"/>
                      <w:b/>
                      <w:color w:val="auto"/>
                      <w:sz w:val="21"/>
                      <w:szCs w:val="21"/>
                      <w:vertAlign w:val="superscript"/>
                    </w:rPr>
                    <w:t>2</w:t>
                  </w:r>
                  <w:r>
                    <w:rPr>
                      <w:rFonts w:hint="default" w:ascii="Times New Roman" w:hAnsi="Times New Roman" w:eastAsia="宋体" w:cs="Times New Roman"/>
                      <w:b/>
                      <w:color w:val="auto"/>
                      <w:sz w:val="21"/>
                      <w:szCs w:val="21"/>
                    </w:rPr>
                    <w:t>）</w:t>
                  </w:r>
                </w:p>
              </w:tc>
              <w:tc>
                <w:tcPr>
                  <w:tcW w:w="603" w:type="pct"/>
                  <w:noWrap w:val="0"/>
                  <w:vAlign w:val="center"/>
                </w:tcPr>
                <w:p w14:paraId="31030B0F">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面源高度（m）</w:t>
                  </w:r>
                </w:p>
              </w:tc>
            </w:tr>
            <w:tr w14:paraId="2E14A1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trPr>
              <w:tc>
                <w:tcPr>
                  <w:tcW w:w="555" w:type="pct"/>
                  <w:vMerge w:val="restart"/>
                  <w:noWrap w:val="0"/>
                  <w:vAlign w:val="center"/>
                </w:tcPr>
                <w:p w14:paraId="240C9473">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生产车间</w:t>
                  </w:r>
                </w:p>
              </w:tc>
              <w:tc>
                <w:tcPr>
                  <w:tcW w:w="1016" w:type="pct"/>
                  <w:noWrap w:val="0"/>
                  <w:vAlign w:val="center"/>
                </w:tcPr>
                <w:p w14:paraId="579B48CE">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配料、投料废气</w:t>
                  </w:r>
                </w:p>
              </w:tc>
              <w:tc>
                <w:tcPr>
                  <w:tcW w:w="831" w:type="pct"/>
                  <w:noWrap w:val="0"/>
                  <w:vAlign w:val="center"/>
                </w:tcPr>
                <w:p w14:paraId="78DE9785">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颗粒物</w:t>
                  </w:r>
                </w:p>
              </w:tc>
              <w:tc>
                <w:tcPr>
                  <w:tcW w:w="652" w:type="pct"/>
                  <w:noWrap w:val="0"/>
                  <w:vAlign w:val="center"/>
                </w:tcPr>
                <w:p w14:paraId="1A5FE5B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color w:val="auto"/>
                      <w:kern w:val="2"/>
                      <w:sz w:val="21"/>
                      <w:szCs w:val="21"/>
                      <w:lang w:val="en-US" w:eastAsia="zh-CN"/>
                    </w:rPr>
                    <w:t>0.0199</w:t>
                  </w:r>
                </w:p>
              </w:tc>
              <w:tc>
                <w:tcPr>
                  <w:tcW w:w="764" w:type="pct"/>
                  <w:noWrap w:val="0"/>
                  <w:vAlign w:val="center"/>
                </w:tcPr>
                <w:p w14:paraId="0AC49E8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0.033</w:t>
                  </w:r>
                </w:p>
              </w:tc>
              <w:tc>
                <w:tcPr>
                  <w:tcW w:w="576" w:type="pct"/>
                  <w:vMerge w:val="restart"/>
                  <w:noWrap w:val="0"/>
                  <w:vAlign w:val="center"/>
                </w:tcPr>
                <w:p w14:paraId="08376D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pacing w:val="-2"/>
                      <w:kern w:val="28"/>
                      <w:szCs w:val="21"/>
                      <w:lang w:val="en-US" w:eastAsia="zh-CN"/>
                    </w:rPr>
                    <w:t>1660</w:t>
                  </w:r>
                </w:p>
              </w:tc>
              <w:tc>
                <w:tcPr>
                  <w:tcW w:w="603" w:type="pct"/>
                  <w:vMerge w:val="restart"/>
                  <w:noWrap w:val="0"/>
                  <w:vAlign w:val="center"/>
                </w:tcPr>
                <w:p w14:paraId="1928F99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r>
            <w:tr w14:paraId="3C7567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trPr>
              <w:tc>
                <w:tcPr>
                  <w:tcW w:w="555" w:type="pct"/>
                  <w:vMerge w:val="continue"/>
                  <w:noWrap w:val="0"/>
                  <w:vAlign w:val="center"/>
                </w:tcPr>
                <w:p w14:paraId="582ABCC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016" w:type="pct"/>
                  <w:vMerge w:val="restart"/>
                  <w:noWrap w:val="0"/>
                  <w:vAlign w:val="center"/>
                </w:tcPr>
                <w:p w14:paraId="1CCDCAD3">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lang w:val="en-US" w:eastAsia="zh-CN"/>
                    </w:rPr>
                    <w:t>挤出</w:t>
                  </w:r>
                  <w:r>
                    <w:rPr>
                      <w:rFonts w:hint="eastAsia" w:ascii="Times New Roman" w:hAnsi="Times New Roman" w:eastAsia="宋体" w:cs="Times New Roman"/>
                      <w:color w:val="auto"/>
                      <w:kern w:val="2"/>
                      <w:sz w:val="21"/>
                      <w:szCs w:val="21"/>
                      <w:lang w:val="en-US" w:eastAsia="zh-CN" w:bidi="ar-SA"/>
                    </w:rPr>
                    <w:t>废气</w:t>
                  </w:r>
                </w:p>
              </w:tc>
              <w:tc>
                <w:tcPr>
                  <w:tcW w:w="831" w:type="pct"/>
                  <w:noWrap w:val="0"/>
                  <w:vAlign w:val="center"/>
                </w:tcPr>
                <w:p w14:paraId="4BBFC85A">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非甲烷总烃</w:t>
                  </w:r>
                </w:p>
              </w:tc>
              <w:tc>
                <w:tcPr>
                  <w:tcW w:w="652" w:type="pct"/>
                  <w:noWrap w:val="0"/>
                  <w:vAlign w:val="center"/>
                </w:tcPr>
                <w:p w14:paraId="5190B7EC">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sz w:val="21"/>
                      <w:szCs w:val="21"/>
                      <w:lang w:val="en-US" w:eastAsia="zh-CN"/>
                    </w:rPr>
                  </w:pPr>
                  <w:r>
                    <w:rPr>
                      <w:rFonts w:hint="eastAsia"/>
                      <w:color w:val="auto"/>
                      <w:szCs w:val="21"/>
                      <w:lang w:val="en-US" w:eastAsia="zh-CN"/>
                    </w:rPr>
                    <w:t>0.032</w:t>
                  </w:r>
                </w:p>
              </w:tc>
              <w:tc>
                <w:tcPr>
                  <w:tcW w:w="764" w:type="pct"/>
                  <w:noWrap w:val="0"/>
                  <w:vAlign w:val="center"/>
                </w:tcPr>
                <w:p w14:paraId="273B0C8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0.0133</w:t>
                  </w:r>
                </w:p>
              </w:tc>
              <w:tc>
                <w:tcPr>
                  <w:tcW w:w="576" w:type="pct"/>
                  <w:vMerge w:val="continue"/>
                  <w:noWrap w:val="0"/>
                  <w:vAlign w:val="center"/>
                </w:tcPr>
                <w:p w14:paraId="4A668DC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603" w:type="pct"/>
                  <w:vMerge w:val="continue"/>
                  <w:noWrap w:val="0"/>
                  <w:vAlign w:val="center"/>
                </w:tcPr>
                <w:p w14:paraId="3694A69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r>
            <w:tr w14:paraId="06E8CA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trPr>
              <w:tc>
                <w:tcPr>
                  <w:tcW w:w="555" w:type="pct"/>
                  <w:vMerge w:val="continue"/>
                  <w:noWrap w:val="0"/>
                  <w:vAlign w:val="center"/>
                </w:tcPr>
                <w:p w14:paraId="63858A83">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p>
              </w:tc>
              <w:tc>
                <w:tcPr>
                  <w:tcW w:w="1016" w:type="pct"/>
                  <w:vMerge w:val="continue"/>
                  <w:noWrap w:val="0"/>
                  <w:vAlign w:val="center"/>
                </w:tcPr>
                <w:p w14:paraId="14BE45C9">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p>
              </w:tc>
              <w:tc>
                <w:tcPr>
                  <w:tcW w:w="831" w:type="pct"/>
                  <w:noWrap w:val="0"/>
                  <w:vAlign w:val="center"/>
                </w:tcPr>
                <w:p w14:paraId="497DFCFF">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颗粒物</w:t>
                  </w:r>
                </w:p>
              </w:tc>
              <w:tc>
                <w:tcPr>
                  <w:tcW w:w="652" w:type="pct"/>
                  <w:noWrap w:val="0"/>
                  <w:vAlign w:val="center"/>
                </w:tcPr>
                <w:p w14:paraId="393F965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0.0615</w:t>
                  </w:r>
                </w:p>
              </w:tc>
              <w:tc>
                <w:tcPr>
                  <w:tcW w:w="764" w:type="pct"/>
                  <w:noWrap w:val="0"/>
                  <w:vAlign w:val="center"/>
                </w:tcPr>
                <w:p w14:paraId="3AD8FF7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0.0256</w:t>
                  </w:r>
                </w:p>
              </w:tc>
              <w:tc>
                <w:tcPr>
                  <w:tcW w:w="576" w:type="pct"/>
                  <w:vMerge w:val="continue"/>
                  <w:noWrap w:val="0"/>
                  <w:vAlign w:val="center"/>
                </w:tcPr>
                <w:p w14:paraId="1E00F1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sz w:val="21"/>
                      <w:szCs w:val="21"/>
                      <w:lang w:val="en-US" w:eastAsia="zh-CN"/>
                    </w:rPr>
                  </w:pPr>
                </w:p>
              </w:tc>
              <w:tc>
                <w:tcPr>
                  <w:tcW w:w="603" w:type="pct"/>
                  <w:vMerge w:val="continue"/>
                  <w:noWrap w:val="0"/>
                  <w:vAlign w:val="center"/>
                </w:tcPr>
                <w:p w14:paraId="2EC9963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r>
            <w:bookmarkEnd w:id="17"/>
          </w:tbl>
          <w:p w14:paraId="2F5EF922">
            <w:pPr>
              <w:pStyle w:val="7"/>
              <w:keepNext w:val="0"/>
              <w:keepLines w:val="0"/>
              <w:pageBreakBefore w:val="0"/>
              <w:widowControl w:val="0"/>
              <w:kinsoku/>
              <w:wordWrap/>
              <w:overflowPunct/>
              <w:topLinePunct w:val="0"/>
              <w:bidi w:val="0"/>
              <w:adjustRightInd w:val="0"/>
              <w:snapToGrid w:val="0"/>
              <w:spacing w:before="120" w:beforeLines="50" w:line="360" w:lineRule="auto"/>
              <w:ind w:firstLine="422"/>
              <w:textAlignment w:val="auto"/>
              <w:rPr>
                <w:b/>
                <w:bCs/>
                <w:color w:val="auto"/>
                <w:szCs w:val="21"/>
              </w:rPr>
            </w:pPr>
            <w:r>
              <w:rPr>
                <w:b/>
                <w:bCs/>
                <w:color w:val="auto"/>
                <w:szCs w:val="21"/>
              </w:rPr>
              <w:t>2、污染治理措施可行性分析</w:t>
            </w:r>
          </w:p>
          <w:p w14:paraId="2F9DE687">
            <w:pPr>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b/>
                <w:bCs/>
                <w:color w:val="auto"/>
                <w:kern w:val="0"/>
                <w:szCs w:val="21"/>
              </w:rPr>
            </w:pPr>
            <w:r>
              <w:rPr>
                <w:b w:val="0"/>
                <w:bCs w:val="0"/>
                <w:color w:val="auto"/>
                <w:kern w:val="0"/>
                <w:szCs w:val="21"/>
              </w:rPr>
              <w:t>（1）废气治理措施简述</w:t>
            </w:r>
          </w:p>
          <w:p w14:paraId="2DDB981E">
            <w:pPr>
              <w:keepNext w:val="0"/>
              <w:keepLines w:val="0"/>
              <w:pageBreakBefore w:val="0"/>
              <w:widowControl w:val="0"/>
              <w:kinsoku/>
              <w:wordWrap/>
              <w:overflowPunct/>
              <w:topLinePunct w:val="0"/>
              <w:autoSpaceDE w:val="0"/>
              <w:autoSpaceDN w:val="0"/>
              <w:bidi w:val="0"/>
              <w:adjustRightInd w:val="0"/>
              <w:snapToGrid w:val="0"/>
              <w:spacing w:line="360" w:lineRule="auto"/>
              <w:ind w:firstLine="420" w:firstLineChars="200"/>
              <w:textAlignment w:val="auto"/>
              <w:rPr>
                <w:rFonts w:hint="eastAsia"/>
                <w:bCs/>
                <w:color w:val="auto"/>
                <w:szCs w:val="21"/>
              </w:rPr>
            </w:pPr>
            <w:r>
              <w:rPr>
                <w:rFonts w:hint="eastAsia" w:ascii="Times New Roman" w:hAnsi="Times New Roman" w:eastAsia="宋体" w:cs="Times New Roman"/>
                <w:color w:val="auto"/>
                <w:szCs w:val="21"/>
              </w:rPr>
              <w:t>本项目废气包括</w:t>
            </w:r>
            <w:r>
              <w:rPr>
                <w:rFonts w:hint="eastAsia" w:cs="Times New Roman"/>
                <w:color w:val="auto"/>
                <w:sz w:val="21"/>
                <w:szCs w:val="21"/>
                <w:lang w:val="en-US" w:eastAsia="zh-CN"/>
              </w:rPr>
              <w:t>配料粉尘、</w:t>
            </w:r>
            <w:r>
              <w:rPr>
                <w:rFonts w:hint="eastAsia" w:ascii="Times New Roman" w:hAnsi="Times New Roman" w:eastAsia="宋体" w:cs="Times New Roman"/>
                <w:color w:val="auto"/>
                <w:sz w:val="21"/>
                <w:szCs w:val="21"/>
                <w:highlight w:val="none"/>
                <w:lang w:val="en-US" w:eastAsia="zh-CN"/>
              </w:rPr>
              <w:t>投料粉尘、</w:t>
            </w:r>
            <w:r>
              <w:rPr>
                <w:rFonts w:hint="eastAsia" w:ascii="Times New Roman" w:hAnsi="Times New Roman" w:eastAsia="宋体" w:cs="Times New Roman"/>
                <w:bCs/>
                <w:color w:val="auto"/>
                <w:kern w:val="2"/>
                <w:sz w:val="21"/>
                <w:szCs w:val="21"/>
                <w:lang w:val="en-US" w:eastAsia="zh-CN" w:bidi="ar-SA"/>
              </w:rPr>
              <w:t>挤出废气、烘干废气、测试废气、破碎粉尘</w:t>
            </w:r>
            <w:r>
              <w:rPr>
                <w:rFonts w:hint="eastAsia" w:ascii="Times New Roman" w:hAnsi="Times New Roman" w:eastAsia="宋体" w:cs="Times New Roman"/>
                <w:color w:val="auto"/>
                <w:szCs w:val="21"/>
                <w:lang w:val="en-US" w:eastAsia="zh-CN"/>
              </w:rPr>
              <w:t>，</w:t>
            </w:r>
            <w:r>
              <w:rPr>
                <w:rFonts w:hint="eastAsia" w:cs="Times New Roman"/>
                <w:color w:val="auto"/>
                <w:szCs w:val="21"/>
                <w:lang w:val="en-US" w:eastAsia="zh-CN"/>
              </w:rPr>
              <w:t>配料、投料粉尘半密闭</w:t>
            </w:r>
            <w:r>
              <w:rPr>
                <w:rFonts w:hint="eastAsia"/>
                <w:color w:val="auto"/>
                <w:kern w:val="2"/>
                <w:sz w:val="21"/>
                <w:szCs w:val="21"/>
                <w:lang w:val="en-US" w:eastAsia="zh-CN"/>
              </w:rPr>
              <w:t>收集</w:t>
            </w:r>
            <w:r>
              <w:rPr>
                <w:rFonts w:hint="eastAsia"/>
                <w:color w:val="auto"/>
                <w:szCs w:val="21"/>
                <w:lang w:val="en-US" w:eastAsia="zh-CN"/>
              </w:rPr>
              <w:t>至</w:t>
            </w:r>
            <w:r>
              <w:rPr>
                <w:rFonts w:hint="eastAsia"/>
                <w:color w:val="auto"/>
                <w:kern w:val="2"/>
                <w:sz w:val="21"/>
                <w:szCs w:val="21"/>
                <w:lang w:val="en-US" w:eastAsia="zh-CN"/>
              </w:rPr>
              <w:t>布袋除尘器处理后通过1根15米高排气筒DA001排放，挤出、烘干、</w:t>
            </w:r>
            <w:r>
              <w:rPr>
                <w:rFonts w:hint="eastAsia" w:ascii="Times New Roman" w:hAnsi="Times New Roman" w:eastAsia="宋体" w:cs="Times New Roman"/>
                <w:bCs/>
                <w:color w:val="auto"/>
                <w:kern w:val="2"/>
                <w:sz w:val="21"/>
                <w:szCs w:val="21"/>
                <w:lang w:val="en-US" w:eastAsia="zh-CN" w:bidi="ar-SA"/>
              </w:rPr>
              <w:t>测试</w:t>
            </w:r>
            <w:r>
              <w:rPr>
                <w:rFonts w:hint="eastAsia"/>
                <w:color w:val="auto"/>
                <w:kern w:val="2"/>
                <w:sz w:val="21"/>
                <w:szCs w:val="21"/>
                <w:lang w:val="en-US" w:eastAsia="zh-CN"/>
              </w:rPr>
              <w:t>废气</w:t>
            </w:r>
            <w:r>
              <w:rPr>
                <w:rFonts w:hint="eastAsia"/>
                <w:color w:val="auto"/>
                <w:szCs w:val="21"/>
                <w:lang w:val="en-US" w:eastAsia="zh-CN"/>
              </w:rPr>
              <w:t>半密闭收集至1套“水喷淋塔+除湿器+二级活性炭吸附装置”处理后通过1根15米高排气筒DA002排放，</w:t>
            </w:r>
            <w:r>
              <w:rPr>
                <w:rFonts w:hint="eastAsia" w:ascii="Times New Roman" w:hAnsi="Times New Roman" w:eastAsia="宋体" w:cs="Times New Roman"/>
                <w:color w:val="auto"/>
                <w:sz w:val="21"/>
                <w:szCs w:val="21"/>
                <w:lang w:val="en-US" w:eastAsia="zh-CN"/>
              </w:rPr>
              <w:t>破碎</w:t>
            </w:r>
            <w:r>
              <w:rPr>
                <w:rFonts w:hint="default" w:ascii="Times New Roman" w:hAnsi="Times New Roman" w:eastAsia="宋体" w:cs="Times New Roman"/>
                <w:color w:val="auto"/>
                <w:sz w:val="21"/>
                <w:szCs w:val="21"/>
                <w:lang w:val="en-US" w:eastAsia="zh-CN"/>
              </w:rPr>
              <w:t>过程密闭操作，产生的微量粉尘无组织排放</w:t>
            </w:r>
            <w:r>
              <w:rPr>
                <w:rFonts w:hint="eastAsia"/>
                <w:bCs/>
                <w:color w:val="auto"/>
                <w:szCs w:val="21"/>
              </w:rPr>
              <w:t>。</w:t>
            </w:r>
          </w:p>
          <w:p w14:paraId="7F80871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b/>
                <w:bCs/>
                <w:color w:val="auto"/>
                <w:szCs w:val="21"/>
              </w:rPr>
            </w:pPr>
            <w:r>
              <w:rPr>
                <w:rFonts w:hint="default" w:ascii="Times New Roman" w:hAnsi="Times New Roman" w:eastAsia="宋体" w:cs="Times New Roman"/>
                <w:bCs/>
                <w:color w:val="auto"/>
                <w:sz w:val="21"/>
                <w:szCs w:val="21"/>
                <w:lang w:val="en-US" w:eastAsia="zh-CN"/>
              </w:rPr>
              <w:object>
                <v:shape id="_x0000_i1028" o:spt="75" type="#_x0000_t75" style="height:104.25pt;width:416.65pt;" o:ole="t" filled="f" o:preferrelative="t" stroked="f" coordsize="21600,21600">
                  <v:path/>
                  <v:fill on="f" focussize="0,0"/>
                  <v:stroke on="f"/>
                  <v:imagedata r:id="rId19" cropbottom="28017f" o:title=""/>
                  <o:lock v:ext="edit" aspectratio="f"/>
                  <w10:wrap type="none"/>
                  <w10:anchorlock/>
                </v:shape>
                <o:OLEObject Type="Embed" ProgID="Visio.Drawing.11" ShapeID="_x0000_i1028" DrawAspect="Content" ObjectID="_1468075728" r:id="rId18">
                  <o:LockedField>false</o:LockedField>
                </o:OLEObject>
              </w:object>
            </w:r>
          </w:p>
          <w:p w14:paraId="55E139A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
                <w:bCs/>
                <w:color w:val="auto"/>
                <w:szCs w:val="21"/>
              </w:rPr>
            </w:pPr>
            <w:r>
              <w:rPr>
                <w:b/>
                <w:bCs/>
                <w:color w:val="auto"/>
                <w:szCs w:val="21"/>
              </w:rPr>
              <w:t>图4-1 本项目废气收集及处理工艺示意图</w:t>
            </w:r>
          </w:p>
          <w:p w14:paraId="317B3E7C">
            <w:pPr>
              <w:keepNext w:val="0"/>
              <w:keepLines w:val="0"/>
              <w:pageBreakBefore w:val="0"/>
              <w:widowControl w:val="0"/>
              <w:kinsoku/>
              <w:wordWrap/>
              <w:overflowPunct/>
              <w:topLinePunct w:val="0"/>
              <w:autoSpaceDE/>
              <w:autoSpaceDN/>
              <w:bidi w:val="0"/>
              <w:adjustRightInd w:val="0"/>
              <w:snapToGrid w:val="0"/>
              <w:jc w:val="center"/>
              <w:textAlignment w:val="auto"/>
              <w:rPr>
                <w:b/>
                <w:color w:val="auto"/>
                <w:szCs w:val="21"/>
              </w:rPr>
            </w:pPr>
            <w:r>
              <w:rPr>
                <w:b/>
                <w:color w:val="auto"/>
                <w:szCs w:val="21"/>
              </w:rPr>
              <w:t>表4-</w:t>
            </w:r>
            <w:r>
              <w:rPr>
                <w:rFonts w:hint="eastAsia"/>
                <w:b/>
                <w:color w:val="auto"/>
                <w:szCs w:val="21"/>
                <w:lang w:val="en-US" w:eastAsia="zh-CN"/>
              </w:rPr>
              <w:t>4</w:t>
            </w:r>
            <w:r>
              <w:rPr>
                <w:b/>
                <w:color w:val="auto"/>
                <w:szCs w:val="21"/>
              </w:rPr>
              <w:t xml:space="preserve"> 本项目废气收集、处置方案一览表</w:t>
            </w:r>
          </w:p>
          <w:tbl>
            <w:tblPr>
              <w:tblStyle w:val="28"/>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88"/>
              <w:gridCol w:w="1089"/>
              <w:gridCol w:w="921"/>
              <w:gridCol w:w="879"/>
              <w:gridCol w:w="1899"/>
              <w:gridCol w:w="886"/>
              <w:gridCol w:w="1410"/>
            </w:tblGrid>
            <w:tr w14:paraId="1E8CCA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69" w:type="pct"/>
                  <w:noWrap w:val="0"/>
                  <w:tcMar>
                    <w:top w:w="0" w:type="dxa"/>
                    <w:left w:w="0" w:type="dxa"/>
                    <w:bottom w:w="0" w:type="dxa"/>
                    <w:right w:w="0" w:type="dxa"/>
                  </w:tcMar>
                  <w:vAlign w:val="center"/>
                </w:tcPr>
                <w:p w14:paraId="422A7FE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产生环节</w:t>
                  </w:r>
                </w:p>
              </w:tc>
              <w:tc>
                <w:tcPr>
                  <w:tcW w:w="650" w:type="pct"/>
                  <w:noWrap w:val="0"/>
                  <w:tcMar>
                    <w:top w:w="0" w:type="dxa"/>
                    <w:left w:w="0" w:type="dxa"/>
                    <w:bottom w:w="0" w:type="dxa"/>
                    <w:right w:w="0" w:type="dxa"/>
                  </w:tcMar>
                  <w:vAlign w:val="center"/>
                </w:tcPr>
                <w:p w14:paraId="78D88A6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污染物</w:t>
                  </w:r>
                </w:p>
              </w:tc>
              <w:tc>
                <w:tcPr>
                  <w:tcW w:w="550" w:type="pct"/>
                  <w:noWrap w:val="0"/>
                  <w:tcMar>
                    <w:top w:w="0" w:type="dxa"/>
                    <w:left w:w="0" w:type="dxa"/>
                    <w:bottom w:w="0" w:type="dxa"/>
                    <w:right w:w="0" w:type="dxa"/>
                  </w:tcMar>
                  <w:vAlign w:val="center"/>
                </w:tcPr>
                <w:p w14:paraId="177ED57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收集方式</w:t>
                  </w:r>
                </w:p>
              </w:tc>
              <w:tc>
                <w:tcPr>
                  <w:tcW w:w="525" w:type="pct"/>
                  <w:noWrap w:val="0"/>
                  <w:tcMar>
                    <w:top w:w="0" w:type="dxa"/>
                    <w:left w:w="0" w:type="dxa"/>
                    <w:bottom w:w="0" w:type="dxa"/>
                    <w:right w:w="0" w:type="dxa"/>
                  </w:tcMar>
                  <w:vAlign w:val="center"/>
                </w:tcPr>
                <w:p w14:paraId="16DADEA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收集效率</w:t>
                  </w:r>
                </w:p>
              </w:tc>
              <w:tc>
                <w:tcPr>
                  <w:tcW w:w="1134" w:type="pct"/>
                  <w:noWrap w:val="0"/>
                  <w:tcMar>
                    <w:top w:w="0" w:type="dxa"/>
                    <w:left w:w="0" w:type="dxa"/>
                    <w:bottom w:w="0" w:type="dxa"/>
                    <w:right w:w="0" w:type="dxa"/>
                  </w:tcMar>
                  <w:vAlign w:val="center"/>
                </w:tcPr>
                <w:p w14:paraId="4E59CC3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治理措施</w:t>
                  </w:r>
                </w:p>
              </w:tc>
              <w:tc>
                <w:tcPr>
                  <w:tcW w:w="529" w:type="pct"/>
                  <w:noWrap w:val="0"/>
                  <w:tcMar>
                    <w:top w:w="0" w:type="dxa"/>
                    <w:left w:w="0" w:type="dxa"/>
                    <w:bottom w:w="0" w:type="dxa"/>
                    <w:right w:w="0" w:type="dxa"/>
                  </w:tcMar>
                  <w:vAlign w:val="center"/>
                </w:tcPr>
                <w:p w14:paraId="79744D6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处理效率</w:t>
                  </w:r>
                </w:p>
              </w:tc>
              <w:tc>
                <w:tcPr>
                  <w:tcW w:w="842" w:type="pct"/>
                  <w:noWrap w:val="0"/>
                  <w:tcMar>
                    <w:top w:w="0" w:type="dxa"/>
                    <w:left w:w="0" w:type="dxa"/>
                    <w:bottom w:w="0" w:type="dxa"/>
                    <w:right w:w="0" w:type="dxa"/>
                  </w:tcMar>
                  <w:vAlign w:val="center"/>
                </w:tcPr>
                <w:p w14:paraId="6369EE9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排放方式</w:t>
                  </w:r>
                </w:p>
              </w:tc>
            </w:tr>
            <w:tr w14:paraId="318CD9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69" w:type="pct"/>
                  <w:vMerge w:val="restart"/>
                  <w:noWrap w:val="0"/>
                  <w:tcMar>
                    <w:top w:w="0" w:type="dxa"/>
                    <w:left w:w="0" w:type="dxa"/>
                    <w:bottom w:w="0" w:type="dxa"/>
                    <w:right w:w="0" w:type="dxa"/>
                  </w:tcMar>
                  <w:vAlign w:val="center"/>
                </w:tcPr>
                <w:p w14:paraId="7F396E88">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挤出、烘干、测试</w:t>
                  </w:r>
                  <w:r>
                    <w:rPr>
                      <w:rFonts w:hint="default" w:ascii="Times New Roman" w:hAnsi="Times New Roman" w:eastAsia="宋体" w:cs="Times New Roman"/>
                      <w:bCs/>
                      <w:color w:val="auto"/>
                      <w:kern w:val="2"/>
                      <w:sz w:val="21"/>
                      <w:szCs w:val="21"/>
                      <w:lang w:val="en-US" w:eastAsia="zh-CN" w:bidi="ar-SA"/>
                    </w:rPr>
                    <w:t>废气</w:t>
                  </w:r>
                </w:p>
              </w:tc>
              <w:tc>
                <w:tcPr>
                  <w:tcW w:w="650" w:type="pct"/>
                  <w:noWrap w:val="0"/>
                  <w:tcMar>
                    <w:top w:w="0" w:type="dxa"/>
                    <w:left w:w="0" w:type="dxa"/>
                    <w:bottom w:w="0" w:type="dxa"/>
                    <w:right w:w="0" w:type="dxa"/>
                  </w:tcMar>
                  <w:vAlign w:val="center"/>
                </w:tcPr>
                <w:p w14:paraId="09C8DD4F">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非甲烷总烃</w:t>
                  </w:r>
                </w:p>
              </w:tc>
              <w:tc>
                <w:tcPr>
                  <w:tcW w:w="550" w:type="pct"/>
                  <w:vMerge w:val="restart"/>
                  <w:noWrap w:val="0"/>
                  <w:tcMar>
                    <w:top w:w="0" w:type="dxa"/>
                    <w:left w:w="0" w:type="dxa"/>
                    <w:bottom w:w="0" w:type="dxa"/>
                    <w:right w:w="0" w:type="dxa"/>
                  </w:tcMar>
                  <w:vAlign w:val="center"/>
                </w:tcPr>
                <w:p w14:paraId="6F5CB685">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lang w:val="en-US" w:eastAsia="zh-CN"/>
                    </w:rPr>
                    <w:t>集气罩</w:t>
                  </w:r>
                </w:p>
              </w:tc>
              <w:tc>
                <w:tcPr>
                  <w:tcW w:w="525" w:type="pct"/>
                  <w:vMerge w:val="restart"/>
                  <w:noWrap w:val="0"/>
                  <w:tcMar>
                    <w:top w:w="0" w:type="dxa"/>
                    <w:left w:w="0" w:type="dxa"/>
                    <w:bottom w:w="0" w:type="dxa"/>
                    <w:right w:w="0" w:type="dxa"/>
                  </w:tcMar>
                  <w:vAlign w:val="center"/>
                </w:tcPr>
                <w:p w14:paraId="4BE85134">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lang w:val="en-US" w:eastAsia="zh-CN"/>
                    </w:rPr>
                    <w:t>90%</w:t>
                  </w:r>
                </w:p>
              </w:tc>
              <w:tc>
                <w:tcPr>
                  <w:tcW w:w="1134" w:type="pct"/>
                  <w:vMerge w:val="restart"/>
                  <w:noWrap w:val="0"/>
                  <w:tcMar>
                    <w:top w:w="0" w:type="dxa"/>
                    <w:left w:w="0" w:type="dxa"/>
                    <w:bottom w:w="0" w:type="dxa"/>
                    <w:right w:w="0" w:type="dxa"/>
                  </w:tcMar>
                  <w:vAlign w:val="center"/>
                </w:tcPr>
                <w:p w14:paraId="01AC21EE">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color w:val="auto"/>
                      <w:szCs w:val="21"/>
                      <w:lang w:val="en-US" w:eastAsia="zh-CN"/>
                    </w:rPr>
                    <w:t>水喷淋塔+除湿器+二级活性炭吸附装置</w:t>
                  </w:r>
                </w:p>
              </w:tc>
              <w:tc>
                <w:tcPr>
                  <w:tcW w:w="529" w:type="pct"/>
                  <w:noWrap w:val="0"/>
                  <w:tcMar>
                    <w:top w:w="0" w:type="dxa"/>
                    <w:left w:w="0" w:type="dxa"/>
                    <w:bottom w:w="0" w:type="dxa"/>
                    <w:right w:w="0" w:type="dxa"/>
                  </w:tcMar>
                  <w:vAlign w:val="center"/>
                </w:tcPr>
                <w:p w14:paraId="66276E7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90%</w:t>
                  </w:r>
                </w:p>
              </w:tc>
              <w:tc>
                <w:tcPr>
                  <w:tcW w:w="842" w:type="pct"/>
                  <w:vMerge w:val="restart"/>
                  <w:noWrap w:val="0"/>
                  <w:tcMar>
                    <w:top w:w="0" w:type="dxa"/>
                    <w:left w:w="0" w:type="dxa"/>
                    <w:bottom w:w="0" w:type="dxa"/>
                    <w:right w:w="0" w:type="dxa"/>
                  </w:tcMar>
                  <w:vAlign w:val="center"/>
                </w:tcPr>
                <w:p w14:paraId="3668386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1根</w:t>
                  </w:r>
                  <w:r>
                    <w:rPr>
                      <w:rFonts w:hint="default" w:ascii="Times New Roman" w:hAnsi="Times New Roman" w:eastAsia="宋体" w:cs="Times New Roman"/>
                      <w:bCs/>
                      <w:color w:val="auto"/>
                      <w:sz w:val="21"/>
                      <w:szCs w:val="21"/>
                      <w:lang w:val="en-US" w:eastAsia="zh-CN"/>
                    </w:rPr>
                    <w:t>15</w:t>
                  </w:r>
                  <w:r>
                    <w:rPr>
                      <w:rFonts w:hint="default" w:ascii="Times New Roman" w:hAnsi="Times New Roman" w:eastAsia="宋体" w:cs="Times New Roman"/>
                      <w:bCs/>
                      <w:color w:val="auto"/>
                      <w:sz w:val="21"/>
                      <w:szCs w:val="21"/>
                    </w:rPr>
                    <w:t>米高排气筒</w:t>
                  </w:r>
                  <w:r>
                    <w:rPr>
                      <w:rFonts w:hint="default" w:ascii="Times New Roman" w:hAnsi="Times New Roman" w:eastAsia="宋体" w:cs="Times New Roman"/>
                      <w:color w:val="auto"/>
                      <w:szCs w:val="21"/>
                      <w:lang w:val="en-US" w:eastAsia="zh-CN"/>
                    </w:rPr>
                    <w:t>（DA00</w:t>
                  </w:r>
                  <w:r>
                    <w:rPr>
                      <w:rFonts w:hint="eastAsia" w:ascii="Times New Roman" w:hAnsi="Times New Roman" w:eastAsia="宋体" w:cs="Times New Roman"/>
                      <w:color w:val="auto"/>
                      <w:szCs w:val="21"/>
                      <w:lang w:val="en-US" w:eastAsia="zh-CN"/>
                    </w:rPr>
                    <w:t>2</w:t>
                  </w:r>
                  <w:r>
                    <w:rPr>
                      <w:rFonts w:hint="default" w:ascii="Times New Roman" w:hAnsi="Times New Roman" w:eastAsia="宋体" w:cs="Times New Roman"/>
                      <w:color w:val="auto"/>
                      <w:szCs w:val="21"/>
                      <w:lang w:val="en-US" w:eastAsia="zh-CN"/>
                    </w:rPr>
                    <w:t>）</w:t>
                  </w:r>
                </w:p>
              </w:tc>
            </w:tr>
            <w:tr w14:paraId="65659C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69" w:type="pct"/>
                  <w:vMerge w:val="continue"/>
                  <w:noWrap w:val="0"/>
                  <w:tcMar>
                    <w:top w:w="0" w:type="dxa"/>
                    <w:left w:w="0" w:type="dxa"/>
                    <w:bottom w:w="0" w:type="dxa"/>
                    <w:right w:w="0" w:type="dxa"/>
                  </w:tcMar>
                  <w:vAlign w:val="center"/>
                </w:tcPr>
                <w:p w14:paraId="292CB916">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宋体" w:cs="Times New Roman"/>
                      <w:bCs/>
                      <w:color w:val="auto"/>
                      <w:kern w:val="2"/>
                      <w:sz w:val="21"/>
                      <w:szCs w:val="21"/>
                      <w:lang w:val="en-US" w:eastAsia="zh-CN" w:bidi="ar-SA"/>
                    </w:rPr>
                  </w:pPr>
                </w:p>
              </w:tc>
              <w:tc>
                <w:tcPr>
                  <w:tcW w:w="650" w:type="pct"/>
                  <w:noWrap w:val="0"/>
                  <w:tcMar>
                    <w:top w:w="0" w:type="dxa"/>
                    <w:left w:w="0" w:type="dxa"/>
                    <w:bottom w:w="0" w:type="dxa"/>
                    <w:right w:w="0" w:type="dxa"/>
                  </w:tcMar>
                  <w:vAlign w:val="center"/>
                </w:tcPr>
                <w:p w14:paraId="5BFF853F">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颗粒物</w:t>
                  </w:r>
                </w:p>
              </w:tc>
              <w:tc>
                <w:tcPr>
                  <w:tcW w:w="550" w:type="pct"/>
                  <w:vMerge w:val="continue"/>
                  <w:noWrap w:val="0"/>
                  <w:tcMar>
                    <w:top w:w="0" w:type="dxa"/>
                    <w:left w:w="0" w:type="dxa"/>
                    <w:bottom w:w="0" w:type="dxa"/>
                    <w:right w:w="0" w:type="dxa"/>
                  </w:tcMar>
                  <w:vAlign w:val="center"/>
                </w:tcPr>
                <w:p w14:paraId="533E4688">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p>
              </w:tc>
              <w:tc>
                <w:tcPr>
                  <w:tcW w:w="525" w:type="pct"/>
                  <w:vMerge w:val="continue"/>
                  <w:noWrap w:val="0"/>
                  <w:tcMar>
                    <w:top w:w="0" w:type="dxa"/>
                    <w:left w:w="0" w:type="dxa"/>
                    <w:bottom w:w="0" w:type="dxa"/>
                    <w:right w:w="0" w:type="dxa"/>
                  </w:tcMar>
                  <w:vAlign w:val="center"/>
                </w:tcPr>
                <w:p w14:paraId="1E415063">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p>
              </w:tc>
              <w:tc>
                <w:tcPr>
                  <w:tcW w:w="1134" w:type="pct"/>
                  <w:vMerge w:val="continue"/>
                  <w:noWrap w:val="0"/>
                  <w:tcMar>
                    <w:top w:w="0" w:type="dxa"/>
                    <w:left w:w="0" w:type="dxa"/>
                    <w:bottom w:w="0" w:type="dxa"/>
                    <w:right w:w="0" w:type="dxa"/>
                  </w:tcMar>
                  <w:vAlign w:val="center"/>
                </w:tcPr>
                <w:p w14:paraId="1CD00BE6">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p>
              </w:tc>
              <w:tc>
                <w:tcPr>
                  <w:tcW w:w="529" w:type="pct"/>
                  <w:noWrap w:val="0"/>
                  <w:tcMar>
                    <w:top w:w="0" w:type="dxa"/>
                    <w:left w:w="0" w:type="dxa"/>
                    <w:bottom w:w="0" w:type="dxa"/>
                    <w:right w:w="0" w:type="dxa"/>
                  </w:tcMar>
                  <w:vAlign w:val="center"/>
                </w:tcPr>
                <w:p w14:paraId="47878D13">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85</w:t>
                  </w:r>
                  <w:r>
                    <w:rPr>
                      <w:rFonts w:hint="default" w:ascii="Times New Roman" w:hAnsi="Times New Roman" w:eastAsia="宋体" w:cs="Times New Roman"/>
                      <w:bCs/>
                      <w:color w:val="auto"/>
                      <w:sz w:val="21"/>
                      <w:szCs w:val="21"/>
                      <w:lang w:val="en-US" w:eastAsia="zh-CN"/>
                    </w:rPr>
                    <w:t>%</w:t>
                  </w:r>
                </w:p>
              </w:tc>
              <w:tc>
                <w:tcPr>
                  <w:tcW w:w="842" w:type="pct"/>
                  <w:vMerge w:val="continue"/>
                  <w:noWrap w:val="0"/>
                  <w:tcMar>
                    <w:top w:w="0" w:type="dxa"/>
                    <w:left w:w="0" w:type="dxa"/>
                    <w:bottom w:w="0" w:type="dxa"/>
                    <w:right w:w="0" w:type="dxa"/>
                  </w:tcMar>
                  <w:vAlign w:val="center"/>
                </w:tcPr>
                <w:p w14:paraId="28A2156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sz w:val="21"/>
                      <w:szCs w:val="21"/>
                    </w:rPr>
                  </w:pPr>
                </w:p>
              </w:tc>
            </w:tr>
            <w:tr w14:paraId="529754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69" w:type="pct"/>
                  <w:noWrap w:val="0"/>
                  <w:tcMar>
                    <w:top w:w="0" w:type="dxa"/>
                    <w:left w:w="0" w:type="dxa"/>
                    <w:bottom w:w="0" w:type="dxa"/>
                    <w:right w:w="0" w:type="dxa"/>
                  </w:tcMar>
                  <w:vAlign w:val="center"/>
                </w:tcPr>
                <w:p w14:paraId="4162EFB0">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配料、投料废气</w:t>
                  </w:r>
                </w:p>
              </w:tc>
              <w:tc>
                <w:tcPr>
                  <w:tcW w:w="650" w:type="pct"/>
                  <w:shd w:val="clear" w:color="auto" w:fill="auto"/>
                  <w:noWrap w:val="0"/>
                  <w:tcMar>
                    <w:top w:w="0" w:type="dxa"/>
                    <w:left w:w="0" w:type="dxa"/>
                    <w:bottom w:w="0" w:type="dxa"/>
                    <w:right w:w="0" w:type="dxa"/>
                  </w:tcMar>
                  <w:vAlign w:val="center"/>
                </w:tcPr>
                <w:p w14:paraId="7AEBAE98">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颗粒物</w:t>
                  </w:r>
                </w:p>
              </w:tc>
              <w:tc>
                <w:tcPr>
                  <w:tcW w:w="550" w:type="pct"/>
                  <w:shd w:val="clear" w:color="auto" w:fill="auto"/>
                  <w:noWrap w:val="0"/>
                  <w:tcMar>
                    <w:top w:w="0" w:type="dxa"/>
                    <w:left w:w="0" w:type="dxa"/>
                    <w:bottom w:w="0" w:type="dxa"/>
                    <w:right w:w="0" w:type="dxa"/>
                  </w:tcMar>
                  <w:vAlign w:val="center"/>
                </w:tcPr>
                <w:p w14:paraId="7802F31C">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 w:val="21"/>
                      <w:szCs w:val="21"/>
                      <w:lang w:val="en-US" w:eastAsia="zh-CN"/>
                    </w:rPr>
                    <w:t>集气罩</w:t>
                  </w:r>
                </w:p>
              </w:tc>
              <w:tc>
                <w:tcPr>
                  <w:tcW w:w="525" w:type="pct"/>
                  <w:shd w:val="clear" w:color="auto" w:fill="auto"/>
                  <w:noWrap w:val="0"/>
                  <w:tcMar>
                    <w:top w:w="0" w:type="dxa"/>
                    <w:left w:w="0" w:type="dxa"/>
                    <w:bottom w:w="0" w:type="dxa"/>
                    <w:right w:w="0" w:type="dxa"/>
                  </w:tcMar>
                  <w:vAlign w:val="center"/>
                </w:tcPr>
                <w:p w14:paraId="2897CA6E">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Cs/>
                      <w:color w:val="auto"/>
                      <w:sz w:val="21"/>
                      <w:szCs w:val="21"/>
                      <w:lang w:val="en-US" w:eastAsia="zh-CN"/>
                    </w:rPr>
                    <w:t>90</w:t>
                  </w:r>
                  <w:r>
                    <w:rPr>
                      <w:rFonts w:hint="default" w:ascii="Times New Roman" w:hAnsi="Times New Roman" w:eastAsia="宋体" w:cs="Times New Roman"/>
                      <w:bCs/>
                      <w:color w:val="auto"/>
                      <w:sz w:val="21"/>
                      <w:szCs w:val="21"/>
                      <w:lang w:val="en-US" w:eastAsia="zh-CN"/>
                    </w:rPr>
                    <w:t>%</w:t>
                  </w:r>
                </w:p>
              </w:tc>
              <w:tc>
                <w:tcPr>
                  <w:tcW w:w="1134" w:type="pct"/>
                  <w:shd w:val="clear" w:color="auto" w:fill="auto"/>
                  <w:noWrap w:val="0"/>
                  <w:tcMar>
                    <w:top w:w="0" w:type="dxa"/>
                    <w:left w:w="0" w:type="dxa"/>
                    <w:bottom w:w="0" w:type="dxa"/>
                    <w:right w:w="0" w:type="dxa"/>
                  </w:tcMar>
                  <w:vAlign w:val="center"/>
                </w:tcPr>
                <w:p w14:paraId="114B1F8C">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color w:val="auto"/>
                      <w:kern w:val="2"/>
                      <w:sz w:val="21"/>
                      <w:szCs w:val="21"/>
                      <w:lang w:val="en-US" w:eastAsia="zh-CN"/>
                    </w:rPr>
                    <w:t>布袋除尘器</w:t>
                  </w:r>
                </w:p>
              </w:tc>
              <w:tc>
                <w:tcPr>
                  <w:tcW w:w="529" w:type="pct"/>
                  <w:noWrap w:val="0"/>
                  <w:tcMar>
                    <w:top w:w="0" w:type="dxa"/>
                    <w:left w:w="0" w:type="dxa"/>
                    <w:bottom w:w="0" w:type="dxa"/>
                    <w:right w:w="0" w:type="dxa"/>
                  </w:tcMar>
                  <w:vAlign w:val="center"/>
                </w:tcPr>
                <w:p w14:paraId="1B419526">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95</w:t>
                  </w:r>
                  <w:r>
                    <w:rPr>
                      <w:rFonts w:hint="default" w:ascii="Times New Roman" w:hAnsi="Times New Roman" w:eastAsia="宋体" w:cs="Times New Roman"/>
                      <w:bCs/>
                      <w:color w:val="auto"/>
                      <w:sz w:val="21"/>
                      <w:szCs w:val="21"/>
                      <w:lang w:val="en-US" w:eastAsia="zh-CN"/>
                    </w:rPr>
                    <w:t>%</w:t>
                  </w:r>
                </w:p>
              </w:tc>
              <w:tc>
                <w:tcPr>
                  <w:tcW w:w="842" w:type="pct"/>
                  <w:noWrap w:val="0"/>
                  <w:tcMar>
                    <w:top w:w="0" w:type="dxa"/>
                    <w:left w:w="0" w:type="dxa"/>
                    <w:bottom w:w="0" w:type="dxa"/>
                    <w:right w:w="0" w:type="dxa"/>
                  </w:tcMar>
                  <w:vAlign w:val="center"/>
                </w:tcPr>
                <w:p w14:paraId="224DACC9">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1根</w:t>
                  </w:r>
                  <w:r>
                    <w:rPr>
                      <w:rFonts w:hint="default" w:ascii="Times New Roman" w:hAnsi="Times New Roman" w:eastAsia="宋体" w:cs="Times New Roman"/>
                      <w:bCs/>
                      <w:color w:val="auto"/>
                      <w:sz w:val="21"/>
                      <w:szCs w:val="21"/>
                      <w:lang w:val="en-US" w:eastAsia="zh-CN"/>
                    </w:rPr>
                    <w:t>15</w:t>
                  </w:r>
                  <w:r>
                    <w:rPr>
                      <w:rFonts w:hint="default" w:ascii="Times New Roman" w:hAnsi="Times New Roman" w:eastAsia="宋体" w:cs="Times New Roman"/>
                      <w:bCs/>
                      <w:color w:val="auto"/>
                      <w:sz w:val="21"/>
                      <w:szCs w:val="21"/>
                    </w:rPr>
                    <w:t>米高排气筒</w:t>
                  </w:r>
                  <w:r>
                    <w:rPr>
                      <w:rFonts w:hint="default" w:ascii="Times New Roman" w:hAnsi="Times New Roman" w:eastAsia="宋体" w:cs="Times New Roman"/>
                      <w:color w:val="auto"/>
                      <w:szCs w:val="21"/>
                      <w:lang w:val="en-US" w:eastAsia="zh-CN"/>
                    </w:rPr>
                    <w:t>（DA0</w:t>
                  </w:r>
                  <w:r>
                    <w:rPr>
                      <w:rFonts w:hint="eastAsia" w:ascii="Times New Roman" w:hAnsi="Times New Roman" w:eastAsia="宋体" w:cs="Times New Roman"/>
                      <w:color w:val="auto"/>
                      <w:szCs w:val="21"/>
                      <w:lang w:val="en-US" w:eastAsia="zh-CN"/>
                    </w:rPr>
                    <w:t>01</w:t>
                  </w:r>
                  <w:r>
                    <w:rPr>
                      <w:rFonts w:hint="default" w:ascii="Times New Roman" w:hAnsi="Times New Roman" w:eastAsia="宋体" w:cs="Times New Roman"/>
                      <w:color w:val="auto"/>
                      <w:szCs w:val="21"/>
                      <w:lang w:val="en-US" w:eastAsia="zh-CN"/>
                    </w:rPr>
                    <w:t>）</w:t>
                  </w:r>
                </w:p>
              </w:tc>
            </w:tr>
            <w:tr w14:paraId="43D487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69" w:type="pct"/>
                  <w:noWrap w:val="0"/>
                  <w:tcMar>
                    <w:top w:w="0" w:type="dxa"/>
                    <w:left w:w="0" w:type="dxa"/>
                    <w:bottom w:w="0" w:type="dxa"/>
                    <w:right w:w="0" w:type="dxa"/>
                  </w:tcMar>
                  <w:vAlign w:val="center"/>
                </w:tcPr>
                <w:p w14:paraId="1443359D">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破碎粉尘废气</w:t>
                  </w:r>
                </w:p>
              </w:tc>
              <w:tc>
                <w:tcPr>
                  <w:tcW w:w="650" w:type="pct"/>
                  <w:noWrap w:val="0"/>
                  <w:tcMar>
                    <w:top w:w="0" w:type="dxa"/>
                    <w:left w:w="0" w:type="dxa"/>
                    <w:bottom w:w="0" w:type="dxa"/>
                    <w:right w:w="0" w:type="dxa"/>
                  </w:tcMar>
                  <w:vAlign w:val="center"/>
                </w:tcPr>
                <w:p w14:paraId="6B5D9506">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颗粒物</w:t>
                  </w:r>
                </w:p>
              </w:tc>
              <w:tc>
                <w:tcPr>
                  <w:tcW w:w="550" w:type="pct"/>
                  <w:noWrap w:val="0"/>
                  <w:tcMar>
                    <w:top w:w="0" w:type="dxa"/>
                    <w:left w:w="0" w:type="dxa"/>
                    <w:bottom w:w="0" w:type="dxa"/>
                    <w:right w:w="0" w:type="dxa"/>
                  </w:tcMar>
                  <w:vAlign w:val="center"/>
                </w:tcPr>
                <w:p w14:paraId="2561941A">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w:t>
                  </w:r>
                </w:p>
              </w:tc>
              <w:tc>
                <w:tcPr>
                  <w:tcW w:w="525" w:type="pct"/>
                  <w:noWrap w:val="0"/>
                  <w:tcMar>
                    <w:top w:w="0" w:type="dxa"/>
                    <w:left w:w="0" w:type="dxa"/>
                    <w:bottom w:w="0" w:type="dxa"/>
                    <w:right w:w="0" w:type="dxa"/>
                  </w:tcMar>
                  <w:vAlign w:val="center"/>
                </w:tcPr>
                <w:p w14:paraId="04941FEB">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w:t>
                  </w:r>
                </w:p>
              </w:tc>
              <w:tc>
                <w:tcPr>
                  <w:tcW w:w="1134" w:type="pct"/>
                  <w:noWrap w:val="0"/>
                  <w:tcMar>
                    <w:top w:w="0" w:type="dxa"/>
                    <w:left w:w="0" w:type="dxa"/>
                    <w:bottom w:w="0" w:type="dxa"/>
                    <w:right w:w="0" w:type="dxa"/>
                  </w:tcMar>
                  <w:vAlign w:val="center"/>
                </w:tcPr>
                <w:p w14:paraId="6A4DBAB4">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密闭操作</w:t>
                  </w:r>
                </w:p>
              </w:tc>
              <w:tc>
                <w:tcPr>
                  <w:tcW w:w="529" w:type="pct"/>
                  <w:noWrap w:val="0"/>
                  <w:tcMar>
                    <w:top w:w="0" w:type="dxa"/>
                    <w:left w:w="0" w:type="dxa"/>
                    <w:bottom w:w="0" w:type="dxa"/>
                    <w:right w:w="0" w:type="dxa"/>
                  </w:tcMar>
                  <w:vAlign w:val="center"/>
                </w:tcPr>
                <w:p w14:paraId="1462C6AE">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w:t>
                  </w:r>
                </w:p>
              </w:tc>
              <w:tc>
                <w:tcPr>
                  <w:tcW w:w="842" w:type="pct"/>
                  <w:noWrap w:val="0"/>
                  <w:tcMar>
                    <w:top w:w="0" w:type="dxa"/>
                    <w:left w:w="0" w:type="dxa"/>
                    <w:bottom w:w="0" w:type="dxa"/>
                    <w:right w:w="0" w:type="dxa"/>
                  </w:tcMar>
                  <w:vAlign w:val="center"/>
                </w:tcPr>
                <w:p w14:paraId="17228975">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lang w:val="en-US" w:eastAsia="zh-CN"/>
                    </w:rPr>
                    <w:t>无组织排放</w:t>
                  </w:r>
                </w:p>
              </w:tc>
            </w:tr>
          </w:tbl>
          <w:p w14:paraId="50CB4CCD">
            <w:pPr>
              <w:keepNext w:val="0"/>
              <w:keepLines w:val="0"/>
              <w:pageBreakBefore w:val="0"/>
              <w:widowControl/>
              <w:suppressLineNumbers w:val="0"/>
              <w:kinsoku/>
              <w:wordWrap w:val="0"/>
              <w:overflowPunct/>
              <w:topLinePunct w:val="0"/>
              <w:autoSpaceDE/>
              <w:autoSpaceDN/>
              <w:bidi w:val="0"/>
              <w:adjustRightInd w:val="0"/>
              <w:snapToGrid w:val="0"/>
              <w:spacing w:before="157" w:beforeLines="50" w:beforeAutospacing="0" w:after="0" w:afterAutospacing="0" w:line="360" w:lineRule="auto"/>
              <w:ind w:left="0" w:right="0" w:firstLine="422" w:firstLineChars="200"/>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w:t>
            </w:r>
            <w:r>
              <w:rPr>
                <w:rFonts w:hint="default" w:ascii="Times New Roman" w:hAnsi="Times New Roman" w:eastAsia="宋体" w:cs="Times New Roman"/>
                <w:b/>
                <w:bCs w:val="0"/>
                <w:color w:val="auto"/>
                <w:sz w:val="21"/>
                <w:szCs w:val="21"/>
                <w:lang w:val="en-US" w:eastAsia="zh-CN"/>
              </w:rPr>
              <w:t>2</w:t>
            </w:r>
            <w:r>
              <w:rPr>
                <w:rFonts w:hint="default" w:ascii="Times New Roman" w:hAnsi="Times New Roman" w:eastAsia="宋体" w:cs="Times New Roman"/>
                <w:b/>
                <w:bCs w:val="0"/>
                <w:color w:val="auto"/>
                <w:sz w:val="21"/>
                <w:szCs w:val="21"/>
              </w:rPr>
              <w:t>）废气收集设计参数</w:t>
            </w:r>
          </w:p>
          <w:p w14:paraId="18BC958A">
            <w:pPr>
              <w:adjustRightInd w:val="0"/>
              <w:snapToGrid w:val="0"/>
              <w:spacing w:line="360" w:lineRule="auto"/>
              <w:ind w:firstLine="420" w:firstLineChars="200"/>
              <w:jc w:val="left"/>
              <w:rPr>
                <w:bCs/>
                <w:color w:val="auto"/>
                <w:szCs w:val="21"/>
              </w:rPr>
            </w:pPr>
            <w:r>
              <w:rPr>
                <w:rFonts w:hint="eastAsia"/>
                <w:bCs/>
                <w:color w:val="auto"/>
                <w:szCs w:val="21"/>
              </w:rPr>
              <w:t>①</w:t>
            </w:r>
            <w:r>
              <w:rPr>
                <w:bCs/>
                <w:color w:val="auto"/>
                <w:szCs w:val="21"/>
              </w:rPr>
              <w:t>根据《工业通风（第四版修订本）》（孙一坚，沈恒根主编）中外部集气罩排风量计算公式：</w:t>
            </w:r>
          </w:p>
          <w:p w14:paraId="49DC0593">
            <w:pPr>
              <w:adjustRightInd w:val="0"/>
              <w:snapToGrid w:val="0"/>
              <w:spacing w:line="360" w:lineRule="auto"/>
              <w:ind w:firstLine="420" w:firstLineChars="200"/>
              <w:jc w:val="center"/>
              <w:rPr>
                <w:bCs/>
                <w:color w:val="auto"/>
                <w:szCs w:val="21"/>
              </w:rPr>
            </w:pPr>
            <w:r>
              <w:rPr>
                <w:bCs/>
                <w:color w:val="auto"/>
                <w:szCs w:val="21"/>
              </w:rPr>
              <w:t>L=K·P·H·Vx*3600</w:t>
            </w:r>
          </w:p>
          <w:p w14:paraId="6D3C5C88">
            <w:pPr>
              <w:adjustRightInd w:val="0"/>
              <w:snapToGrid w:val="0"/>
              <w:spacing w:line="360" w:lineRule="auto"/>
              <w:ind w:firstLine="420" w:firstLineChars="200"/>
              <w:jc w:val="left"/>
              <w:rPr>
                <w:rFonts w:hint="eastAsia"/>
                <w:bCs/>
                <w:color w:val="auto"/>
                <w:szCs w:val="21"/>
              </w:rPr>
            </w:pPr>
            <w:r>
              <w:rPr>
                <w:bCs/>
                <w:color w:val="auto"/>
                <w:szCs w:val="21"/>
              </w:rPr>
              <w:t>式中：L——集气罩排风量，m</w:t>
            </w:r>
            <w:r>
              <w:rPr>
                <w:bCs/>
                <w:color w:val="auto"/>
                <w:szCs w:val="21"/>
                <w:vertAlign w:val="superscript"/>
              </w:rPr>
              <w:t>3</w:t>
            </w:r>
            <w:r>
              <w:rPr>
                <w:bCs/>
                <w:color w:val="auto"/>
                <w:szCs w:val="21"/>
              </w:rPr>
              <w:t>/h</w:t>
            </w:r>
            <w:r>
              <w:rPr>
                <w:rFonts w:hint="eastAsia"/>
                <w:bCs/>
                <w:color w:val="auto"/>
                <w:szCs w:val="21"/>
              </w:rPr>
              <w:t>；</w:t>
            </w:r>
          </w:p>
          <w:p w14:paraId="4EC4C004">
            <w:pPr>
              <w:adjustRightInd w:val="0"/>
              <w:snapToGrid w:val="0"/>
              <w:spacing w:line="360" w:lineRule="auto"/>
              <w:ind w:firstLine="420" w:firstLineChars="200"/>
              <w:jc w:val="left"/>
              <w:rPr>
                <w:rFonts w:hint="eastAsia"/>
                <w:bCs/>
                <w:color w:val="auto"/>
                <w:szCs w:val="21"/>
              </w:rPr>
            </w:pPr>
            <w:r>
              <w:rPr>
                <w:bCs/>
                <w:color w:val="auto"/>
                <w:szCs w:val="21"/>
              </w:rPr>
              <w:t>K——安全系数，通常取1.4</w:t>
            </w:r>
            <w:r>
              <w:rPr>
                <w:rFonts w:hint="eastAsia"/>
                <w:bCs/>
                <w:color w:val="auto"/>
                <w:szCs w:val="21"/>
              </w:rPr>
              <w:t>；</w:t>
            </w:r>
          </w:p>
          <w:p w14:paraId="6F06A7F5">
            <w:pPr>
              <w:adjustRightInd w:val="0"/>
              <w:snapToGrid w:val="0"/>
              <w:spacing w:line="360" w:lineRule="auto"/>
              <w:ind w:firstLine="420" w:firstLineChars="200"/>
              <w:jc w:val="left"/>
              <w:rPr>
                <w:rFonts w:hint="eastAsia"/>
                <w:bCs/>
                <w:color w:val="auto"/>
                <w:szCs w:val="21"/>
              </w:rPr>
            </w:pPr>
            <w:r>
              <w:rPr>
                <w:bCs/>
                <w:color w:val="auto"/>
                <w:szCs w:val="21"/>
              </w:rPr>
              <w:t>P——排风罩口敞口面的周长</w:t>
            </w:r>
            <w:r>
              <w:rPr>
                <w:rFonts w:hint="eastAsia"/>
                <w:bCs/>
                <w:color w:val="auto"/>
                <w:szCs w:val="21"/>
              </w:rPr>
              <w:t>；</w:t>
            </w:r>
          </w:p>
          <w:p w14:paraId="213C1095">
            <w:pPr>
              <w:adjustRightInd w:val="0"/>
              <w:snapToGrid w:val="0"/>
              <w:spacing w:line="360" w:lineRule="auto"/>
              <w:ind w:firstLine="420" w:firstLineChars="200"/>
              <w:jc w:val="left"/>
              <w:rPr>
                <w:rFonts w:hint="eastAsia"/>
                <w:bCs/>
                <w:color w:val="auto"/>
                <w:szCs w:val="21"/>
              </w:rPr>
            </w:pPr>
            <w:r>
              <w:rPr>
                <w:bCs/>
                <w:color w:val="auto"/>
                <w:szCs w:val="21"/>
              </w:rPr>
              <w:t>H——罩点到污染物的距离</w:t>
            </w:r>
            <w:r>
              <w:rPr>
                <w:rFonts w:hint="eastAsia"/>
                <w:bCs/>
                <w:color w:val="auto"/>
                <w:szCs w:val="21"/>
              </w:rPr>
              <w:t>；</w:t>
            </w:r>
          </w:p>
          <w:p w14:paraId="365CF3BF">
            <w:pPr>
              <w:adjustRightInd w:val="0"/>
              <w:snapToGrid w:val="0"/>
              <w:spacing w:line="360" w:lineRule="auto"/>
              <w:ind w:firstLine="420" w:firstLineChars="200"/>
              <w:jc w:val="left"/>
              <w:rPr>
                <w:rFonts w:hint="eastAsia"/>
                <w:bCs/>
                <w:color w:val="auto"/>
                <w:szCs w:val="21"/>
              </w:rPr>
            </w:pPr>
            <w:r>
              <w:rPr>
                <w:bCs/>
                <w:color w:val="auto"/>
                <w:szCs w:val="21"/>
              </w:rPr>
              <w:t>Vx——污染源气体流速，m/s，一般在0.5-1.5m/s</w:t>
            </w:r>
            <w:r>
              <w:rPr>
                <w:rFonts w:hint="eastAsia"/>
                <w:bCs/>
                <w:color w:val="auto"/>
                <w:szCs w:val="21"/>
              </w:rPr>
              <w:t>；</w:t>
            </w:r>
          </w:p>
          <w:p w14:paraId="6ADAF632">
            <w:pPr>
              <w:adjustRightInd w:val="0"/>
              <w:snapToGrid w:val="0"/>
              <w:spacing w:line="360" w:lineRule="auto"/>
              <w:ind w:firstLine="420" w:firstLineChars="200"/>
              <w:jc w:val="left"/>
              <w:rPr>
                <w:rFonts w:hint="eastAsia"/>
                <w:bCs/>
                <w:color w:val="auto"/>
                <w:szCs w:val="21"/>
              </w:rPr>
            </w:pPr>
            <w:r>
              <w:rPr>
                <w:bCs/>
                <w:color w:val="auto"/>
                <w:szCs w:val="21"/>
              </w:rPr>
              <w:t>根据《2020年挥发性有机物治理攻坚方案》（环大气〔2020〕33号）要求：按照</w:t>
            </w:r>
            <w:r>
              <w:rPr>
                <w:rFonts w:hint="eastAsia"/>
                <w:bCs/>
                <w:color w:val="auto"/>
                <w:szCs w:val="21"/>
              </w:rPr>
              <w:t>“</w:t>
            </w:r>
            <w:r>
              <w:rPr>
                <w:bCs/>
                <w:color w:val="auto"/>
                <w:szCs w:val="21"/>
              </w:rPr>
              <w:t>应收尽收</w:t>
            </w:r>
            <w:r>
              <w:rPr>
                <w:rFonts w:hint="eastAsia"/>
                <w:bCs/>
                <w:color w:val="auto"/>
                <w:szCs w:val="21"/>
              </w:rPr>
              <w:t>”</w:t>
            </w:r>
            <w:r>
              <w:rPr>
                <w:bCs/>
                <w:color w:val="auto"/>
                <w:szCs w:val="21"/>
              </w:rPr>
              <w:t>的原则提升废气收集率。对于采用局部集气罩的，应根据废气排放特点合理选择收集点位，距集气罩开口面最远处的VOCs无组织排放位置，控制风速不低于0.3米/秒，本次Vx取0.5m/s</w:t>
            </w:r>
            <w:r>
              <w:rPr>
                <w:rFonts w:hint="eastAsia"/>
                <w:bCs/>
                <w:color w:val="auto"/>
                <w:szCs w:val="21"/>
              </w:rPr>
              <w:t>。</w:t>
            </w:r>
          </w:p>
          <w:p w14:paraId="35972D74">
            <w:pPr>
              <w:keepNext w:val="0"/>
              <w:keepLines w:val="0"/>
              <w:pageBreakBefore w:val="0"/>
              <w:suppressLineNumbers w:val="0"/>
              <w:kinsoku/>
              <w:overflowPunct/>
              <w:topLinePunct w:val="0"/>
              <w:bidi w:val="0"/>
              <w:adjustRightInd w:val="0"/>
              <w:snapToGrid w:val="0"/>
              <w:spacing w:beforeAutospacing="0" w:after="0" w:afterAutospacing="0" w:line="360" w:lineRule="auto"/>
              <w:ind w:left="0" w:right="0" w:firstLine="420" w:firstLineChars="200"/>
              <w:jc w:val="left"/>
              <w:textAlignment w:val="auto"/>
              <w:rPr>
                <w:rFonts w:hint="eastAsia" w:ascii="Times New Roman" w:hAnsi="Times New Roman" w:eastAsia="宋体" w:cs="Times New Roman"/>
                <w:bCs/>
                <w:color w:val="auto"/>
                <w:sz w:val="21"/>
                <w:szCs w:val="21"/>
                <w:lang w:val="en-US" w:eastAsia="zh-CN"/>
              </w:rPr>
            </w:pPr>
            <w:r>
              <w:rPr>
                <w:bCs/>
                <w:color w:val="auto"/>
                <w:szCs w:val="21"/>
              </w:rPr>
              <w:t>本项目废气收集相关设计参数如下表</w:t>
            </w:r>
            <w:r>
              <w:rPr>
                <w:rFonts w:hint="eastAsia"/>
                <w:bCs/>
                <w:color w:val="auto"/>
                <w:szCs w:val="21"/>
                <w:lang w:eastAsia="zh-CN"/>
              </w:rPr>
              <w:t>。</w:t>
            </w:r>
          </w:p>
          <w:p w14:paraId="4FDA3697">
            <w:pPr>
              <w:jc w:val="center"/>
              <w:rPr>
                <w:b/>
                <w:color w:val="auto"/>
                <w:szCs w:val="21"/>
              </w:rPr>
            </w:pPr>
            <w:r>
              <w:rPr>
                <w:b/>
                <w:color w:val="auto"/>
                <w:szCs w:val="21"/>
              </w:rPr>
              <w:t>表4-</w:t>
            </w:r>
            <w:r>
              <w:rPr>
                <w:rFonts w:hint="eastAsia"/>
                <w:b/>
                <w:color w:val="auto"/>
                <w:szCs w:val="21"/>
                <w:lang w:val="en-US" w:eastAsia="zh-CN"/>
              </w:rPr>
              <w:t>5</w:t>
            </w:r>
            <w:r>
              <w:rPr>
                <w:b/>
                <w:color w:val="auto"/>
                <w:szCs w:val="21"/>
              </w:rPr>
              <w:t xml:space="preserve"> 本项目废气收集设计参数</w:t>
            </w:r>
          </w:p>
          <w:tbl>
            <w:tblPr>
              <w:tblStyle w:val="28"/>
              <w:tblW w:w="4996"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94"/>
              <w:gridCol w:w="1887"/>
              <w:gridCol w:w="783"/>
              <w:gridCol w:w="938"/>
              <w:gridCol w:w="1027"/>
              <w:gridCol w:w="1203"/>
              <w:gridCol w:w="1215"/>
              <w:gridCol w:w="826"/>
            </w:tblGrid>
            <w:tr w14:paraId="20BC5B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5" w:type="pct"/>
                  <w:noWrap w:val="0"/>
                  <w:tcMar>
                    <w:top w:w="0" w:type="dxa"/>
                    <w:left w:w="0" w:type="dxa"/>
                    <w:bottom w:w="0" w:type="dxa"/>
                    <w:right w:w="0" w:type="dxa"/>
                  </w:tcMar>
                  <w:vAlign w:val="center"/>
                </w:tcPr>
                <w:p w14:paraId="141E7227">
                  <w:pPr>
                    <w:jc w:val="center"/>
                    <w:rPr>
                      <w:b/>
                      <w:bCs/>
                      <w:color w:val="auto"/>
                      <w:szCs w:val="21"/>
                    </w:rPr>
                  </w:pPr>
                  <w:r>
                    <w:rPr>
                      <w:b/>
                      <w:bCs/>
                      <w:color w:val="auto"/>
                      <w:szCs w:val="21"/>
                    </w:rPr>
                    <w:t>废气来源</w:t>
                  </w:r>
                </w:p>
              </w:tc>
              <w:tc>
                <w:tcPr>
                  <w:tcW w:w="1126" w:type="pct"/>
                  <w:noWrap w:val="0"/>
                  <w:tcMar>
                    <w:top w:w="0" w:type="dxa"/>
                    <w:left w:w="0" w:type="dxa"/>
                    <w:bottom w:w="0" w:type="dxa"/>
                    <w:right w:w="0" w:type="dxa"/>
                  </w:tcMar>
                  <w:vAlign w:val="center"/>
                </w:tcPr>
                <w:p w14:paraId="26532B41">
                  <w:pPr>
                    <w:jc w:val="center"/>
                    <w:rPr>
                      <w:b/>
                      <w:bCs/>
                      <w:color w:val="auto"/>
                      <w:szCs w:val="21"/>
                    </w:rPr>
                  </w:pPr>
                  <w:r>
                    <w:rPr>
                      <w:b/>
                      <w:bCs/>
                      <w:color w:val="auto"/>
                      <w:szCs w:val="21"/>
                    </w:rPr>
                    <w:t>收集参数</w:t>
                  </w:r>
                </w:p>
              </w:tc>
              <w:tc>
                <w:tcPr>
                  <w:tcW w:w="467" w:type="pct"/>
                  <w:noWrap w:val="0"/>
                  <w:tcMar>
                    <w:top w:w="0" w:type="dxa"/>
                    <w:left w:w="0" w:type="dxa"/>
                    <w:bottom w:w="0" w:type="dxa"/>
                    <w:right w:w="0" w:type="dxa"/>
                  </w:tcMar>
                  <w:vAlign w:val="center"/>
                </w:tcPr>
                <w:p w14:paraId="51F6F6B4">
                  <w:pPr>
                    <w:jc w:val="center"/>
                    <w:rPr>
                      <w:b/>
                      <w:bCs/>
                      <w:color w:val="auto"/>
                      <w:szCs w:val="21"/>
                    </w:rPr>
                  </w:pPr>
                  <w:r>
                    <w:rPr>
                      <w:b/>
                      <w:bCs/>
                      <w:color w:val="auto"/>
                      <w:szCs w:val="21"/>
                    </w:rPr>
                    <w:t>各环节废气量（m</w:t>
                  </w:r>
                  <w:r>
                    <w:rPr>
                      <w:b/>
                      <w:bCs/>
                      <w:color w:val="auto"/>
                      <w:szCs w:val="21"/>
                      <w:vertAlign w:val="superscript"/>
                    </w:rPr>
                    <w:t>3</w:t>
                  </w:r>
                  <w:r>
                    <w:rPr>
                      <w:b/>
                      <w:bCs/>
                      <w:color w:val="auto"/>
                      <w:szCs w:val="21"/>
                    </w:rPr>
                    <w:t>/h）</w:t>
                  </w:r>
                </w:p>
              </w:tc>
              <w:tc>
                <w:tcPr>
                  <w:tcW w:w="560" w:type="pct"/>
                  <w:noWrap w:val="0"/>
                  <w:tcMar>
                    <w:top w:w="0" w:type="dxa"/>
                    <w:left w:w="0" w:type="dxa"/>
                    <w:bottom w:w="0" w:type="dxa"/>
                    <w:right w:w="0" w:type="dxa"/>
                  </w:tcMar>
                  <w:vAlign w:val="center"/>
                </w:tcPr>
                <w:p w14:paraId="01CD0152">
                  <w:pPr>
                    <w:jc w:val="center"/>
                    <w:rPr>
                      <w:b/>
                      <w:bCs/>
                      <w:color w:val="auto"/>
                      <w:szCs w:val="21"/>
                    </w:rPr>
                  </w:pPr>
                  <w:r>
                    <w:rPr>
                      <w:rFonts w:hint="eastAsia"/>
                      <w:b/>
                      <w:bCs/>
                      <w:color w:val="auto"/>
                      <w:szCs w:val="21"/>
                    </w:rPr>
                    <w:t>理论</w:t>
                  </w:r>
                  <w:r>
                    <w:rPr>
                      <w:b/>
                      <w:bCs/>
                      <w:color w:val="auto"/>
                      <w:szCs w:val="21"/>
                    </w:rPr>
                    <w:t>废气量合计（m</w:t>
                  </w:r>
                  <w:r>
                    <w:rPr>
                      <w:b/>
                      <w:bCs/>
                      <w:color w:val="auto"/>
                      <w:szCs w:val="21"/>
                      <w:vertAlign w:val="superscript"/>
                    </w:rPr>
                    <w:t>3</w:t>
                  </w:r>
                  <w:r>
                    <w:rPr>
                      <w:b/>
                      <w:bCs/>
                      <w:color w:val="auto"/>
                      <w:szCs w:val="21"/>
                    </w:rPr>
                    <w:t>/h）</w:t>
                  </w:r>
                </w:p>
              </w:tc>
              <w:tc>
                <w:tcPr>
                  <w:tcW w:w="613" w:type="pct"/>
                  <w:noWrap w:val="0"/>
                  <w:tcMar>
                    <w:top w:w="0" w:type="dxa"/>
                    <w:left w:w="0" w:type="dxa"/>
                    <w:bottom w:w="0" w:type="dxa"/>
                    <w:right w:w="0" w:type="dxa"/>
                  </w:tcMar>
                  <w:vAlign w:val="center"/>
                </w:tcPr>
                <w:p w14:paraId="1030F488">
                  <w:pPr>
                    <w:jc w:val="center"/>
                    <w:rPr>
                      <w:rFonts w:hint="eastAsia"/>
                      <w:b/>
                      <w:bCs/>
                      <w:color w:val="auto"/>
                      <w:szCs w:val="21"/>
                    </w:rPr>
                  </w:pPr>
                  <w:r>
                    <w:rPr>
                      <w:rFonts w:hint="eastAsia"/>
                      <w:b/>
                      <w:bCs/>
                      <w:color w:val="auto"/>
                      <w:szCs w:val="21"/>
                    </w:rPr>
                    <w:t>本次设计废气量</w:t>
                  </w:r>
                  <w:r>
                    <w:rPr>
                      <w:b/>
                      <w:bCs/>
                      <w:color w:val="auto"/>
                      <w:szCs w:val="21"/>
                    </w:rPr>
                    <w:t>合计（m</w:t>
                  </w:r>
                  <w:r>
                    <w:rPr>
                      <w:b/>
                      <w:bCs/>
                      <w:color w:val="auto"/>
                      <w:szCs w:val="21"/>
                      <w:vertAlign w:val="superscript"/>
                    </w:rPr>
                    <w:t>3</w:t>
                  </w:r>
                  <w:r>
                    <w:rPr>
                      <w:b/>
                      <w:bCs/>
                      <w:color w:val="auto"/>
                      <w:szCs w:val="21"/>
                    </w:rPr>
                    <w:t>/h</w:t>
                  </w:r>
                  <w:r>
                    <w:rPr>
                      <w:rFonts w:hint="eastAsia"/>
                      <w:b/>
                      <w:bCs/>
                      <w:color w:val="auto"/>
                      <w:szCs w:val="21"/>
                    </w:rPr>
                    <w:t>）</w:t>
                  </w:r>
                </w:p>
              </w:tc>
              <w:tc>
                <w:tcPr>
                  <w:tcW w:w="718" w:type="pct"/>
                  <w:noWrap w:val="0"/>
                  <w:tcMar>
                    <w:top w:w="0" w:type="dxa"/>
                    <w:left w:w="0" w:type="dxa"/>
                    <w:bottom w:w="0" w:type="dxa"/>
                    <w:right w:w="0" w:type="dxa"/>
                  </w:tcMar>
                  <w:vAlign w:val="center"/>
                </w:tcPr>
                <w:p w14:paraId="43E401F5">
                  <w:pPr>
                    <w:jc w:val="center"/>
                    <w:rPr>
                      <w:rFonts w:hint="eastAsia"/>
                      <w:b/>
                      <w:bCs/>
                      <w:color w:val="auto"/>
                      <w:szCs w:val="21"/>
                    </w:rPr>
                  </w:pPr>
                  <w:r>
                    <w:rPr>
                      <w:rFonts w:hint="eastAsia"/>
                      <w:b/>
                      <w:bCs/>
                      <w:color w:val="auto"/>
                      <w:szCs w:val="21"/>
                    </w:rPr>
                    <w:t>备注</w:t>
                  </w:r>
                </w:p>
              </w:tc>
              <w:tc>
                <w:tcPr>
                  <w:tcW w:w="725" w:type="pct"/>
                  <w:noWrap w:val="0"/>
                  <w:tcMar>
                    <w:top w:w="0" w:type="dxa"/>
                    <w:left w:w="0" w:type="dxa"/>
                    <w:bottom w:w="0" w:type="dxa"/>
                    <w:right w:w="0" w:type="dxa"/>
                  </w:tcMar>
                  <w:vAlign w:val="center"/>
                </w:tcPr>
                <w:p w14:paraId="4A924E12">
                  <w:pPr>
                    <w:jc w:val="center"/>
                    <w:rPr>
                      <w:b/>
                      <w:bCs/>
                      <w:color w:val="auto"/>
                      <w:szCs w:val="21"/>
                    </w:rPr>
                  </w:pPr>
                  <w:r>
                    <w:rPr>
                      <w:b/>
                      <w:bCs/>
                      <w:color w:val="auto"/>
                      <w:szCs w:val="21"/>
                    </w:rPr>
                    <w:t>处理措施</w:t>
                  </w:r>
                </w:p>
              </w:tc>
              <w:tc>
                <w:tcPr>
                  <w:tcW w:w="493" w:type="pct"/>
                  <w:noWrap w:val="0"/>
                  <w:tcMar>
                    <w:top w:w="0" w:type="dxa"/>
                    <w:left w:w="0" w:type="dxa"/>
                    <w:bottom w:w="0" w:type="dxa"/>
                    <w:right w:w="0" w:type="dxa"/>
                  </w:tcMar>
                  <w:vAlign w:val="center"/>
                </w:tcPr>
                <w:p w14:paraId="6A4335B9">
                  <w:pPr>
                    <w:jc w:val="center"/>
                    <w:rPr>
                      <w:b/>
                      <w:bCs/>
                      <w:color w:val="auto"/>
                      <w:szCs w:val="21"/>
                    </w:rPr>
                  </w:pPr>
                  <w:r>
                    <w:rPr>
                      <w:b/>
                      <w:bCs/>
                      <w:color w:val="auto"/>
                      <w:szCs w:val="21"/>
                    </w:rPr>
                    <w:t>排放口编号</w:t>
                  </w:r>
                </w:p>
              </w:tc>
            </w:tr>
            <w:tr w14:paraId="3E6BBC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95" w:type="pct"/>
                  <w:noWrap w:val="0"/>
                  <w:tcMar>
                    <w:top w:w="0" w:type="dxa"/>
                    <w:left w:w="0" w:type="dxa"/>
                    <w:bottom w:w="0" w:type="dxa"/>
                    <w:right w:w="0" w:type="dxa"/>
                  </w:tcMar>
                  <w:vAlign w:val="center"/>
                </w:tcPr>
                <w:p w14:paraId="6CF18634">
                  <w:pPr>
                    <w:jc w:val="center"/>
                    <w:rPr>
                      <w:rFonts w:hint="default"/>
                      <w:bCs/>
                      <w:color w:val="auto"/>
                      <w:szCs w:val="21"/>
                      <w:lang w:val="en-US"/>
                    </w:rPr>
                  </w:pPr>
                  <w:r>
                    <w:rPr>
                      <w:rFonts w:hint="eastAsia" w:ascii="Times New Roman" w:hAnsi="Times New Roman" w:eastAsia="宋体" w:cs="Times New Roman"/>
                      <w:color w:val="auto"/>
                      <w:sz w:val="21"/>
                      <w:szCs w:val="21"/>
                      <w:lang w:val="en-US" w:eastAsia="zh-CN"/>
                    </w:rPr>
                    <w:t>挤出</w:t>
                  </w:r>
                </w:p>
              </w:tc>
              <w:tc>
                <w:tcPr>
                  <w:tcW w:w="1126" w:type="pct"/>
                  <w:noWrap w:val="0"/>
                  <w:tcMar>
                    <w:top w:w="0" w:type="dxa"/>
                    <w:left w:w="0" w:type="dxa"/>
                    <w:bottom w:w="0" w:type="dxa"/>
                    <w:right w:w="0" w:type="dxa"/>
                  </w:tcMar>
                  <w:vAlign w:val="center"/>
                </w:tcPr>
                <w:p w14:paraId="130B87AB">
                  <w:pPr>
                    <w:jc w:val="center"/>
                    <w:rPr>
                      <w:bCs/>
                      <w:color w:val="auto"/>
                      <w:szCs w:val="21"/>
                    </w:rPr>
                  </w:pPr>
                  <w:r>
                    <w:rPr>
                      <w:rFonts w:hint="eastAsia"/>
                      <w:bCs/>
                      <w:color w:val="auto"/>
                      <w:szCs w:val="21"/>
                      <w:lang w:val="en-US" w:eastAsia="zh-CN"/>
                    </w:rPr>
                    <w:t>挤出</w:t>
                  </w:r>
                  <w:r>
                    <w:rPr>
                      <w:rFonts w:hint="eastAsia"/>
                      <w:bCs/>
                      <w:color w:val="auto"/>
                      <w:szCs w:val="21"/>
                    </w:rPr>
                    <w:t>机</w:t>
                  </w:r>
                  <w:r>
                    <w:rPr>
                      <w:bCs/>
                      <w:color w:val="auto"/>
                      <w:szCs w:val="21"/>
                    </w:rPr>
                    <w:t>上方设</w:t>
                  </w:r>
                  <w:r>
                    <w:rPr>
                      <w:rFonts w:hint="eastAsia"/>
                      <w:bCs/>
                      <w:color w:val="auto"/>
                      <w:szCs w:val="21"/>
                    </w:rPr>
                    <w:t>1</w:t>
                  </w:r>
                  <w:r>
                    <w:rPr>
                      <w:bCs/>
                      <w:color w:val="auto"/>
                      <w:szCs w:val="21"/>
                    </w:rPr>
                    <w:t>个集气罩，为</w:t>
                  </w:r>
                  <w:r>
                    <w:rPr>
                      <w:rFonts w:hint="eastAsia"/>
                      <w:bCs/>
                      <w:color w:val="auto"/>
                      <w:szCs w:val="21"/>
                    </w:rPr>
                    <w:t>方形</w:t>
                  </w:r>
                  <w:r>
                    <w:rPr>
                      <w:bCs/>
                      <w:color w:val="auto"/>
                      <w:szCs w:val="21"/>
                    </w:rPr>
                    <w:t>，</w:t>
                  </w:r>
                  <w:r>
                    <w:rPr>
                      <w:rFonts w:hint="eastAsia"/>
                      <w:bCs/>
                      <w:color w:val="auto"/>
                      <w:szCs w:val="21"/>
                    </w:rPr>
                    <w:t>长×宽</w:t>
                  </w:r>
                  <w:r>
                    <w:rPr>
                      <w:rFonts w:hint="eastAsia"/>
                      <w:bCs/>
                      <w:color w:val="auto"/>
                      <w:szCs w:val="21"/>
                      <w:lang w:val="en-US" w:eastAsia="zh-CN"/>
                    </w:rPr>
                    <w:t>3</w:t>
                  </w:r>
                  <w:r>
                    <w:rPr>
                      <w:rFonts w:hint="eastAsia"/>
                      <w:bCs/>
                      <w:color w:val="auto"/>
                      <w:szCs w:val="21"/>
                    </w:rPr>
                    <w:t>00×</w:t>
                  </w:r>
                  <w:r>
                    <w:rPr>
                      <w:rFonts w:hint="eastAsia"/>
                      <w:bCs/>
                      <w:color w:val="auto"/>
                      <w:szCs w:val="21"/>
                      <w:lang w:val="en-US" w:eastAsia="zh-CN"/>
                    </w:rPr>
                    <w:t>3</w:t>
                  </w:r>
                  <w:r>
                    <w:rPr>
                      <w:rFonts w:hint="eastAsia"/>
                      <w:bCs/>
                      <w:color w:val="auto"/>
                      <w:szCs w:val="21"/>
                    </w:rPr>
                    <w:t>00</w:t>
                  </w:r>
                  <w:r>
                    <w:rPr>
                      <w:bCs/>
                      <w:color w:val="auto"/>
                      <w:szCs w:val="21"/>
                    </w:rPr>
                    <w:t>mm，距污染源距离为</w:t>
                  </w:r>
                  <w:r>
                    <w:rPr>
                      <w:rFonts w:hint="eastAsia"/>
                      <w:bCs/>
                      <w:color w:val="auto"/>
                      <w:szCs w:val="21"/>
                    </w:rPr>
                    <w:t>0.</w:t>
                  </w:r>
                  <w:r>
                    <w:rPr>
                      <w:rFonts w:hint="eastAsia"/>
                      <w:bCs/>
                      <w:color w:val="auto"/>
                      <w:szCs w:val="21"/>
                      <w:lang w:val="en-US" w:eastAsia="zh-CN"/>
                    </w:rPr>
                    <w:t>2</w:t>
                  </w:r>
                  <w:r>
                    <w:rPr>
                      <w:rFonts w:hint="eastAsia"/>
                      <w:bCs/>
                      <w:color w:val="auto"/>
                      <w:szCs w:val="21"/>
                    </w:rPr>
                    <w:t>m，建设单位设置</w:t>
                  </w:r>
                  <w:r>
                    <w:rPr>
                      <w:rFonts w:hint="eastAsia"/>
                      <w:bCs/>
                      <w:color w:val="auto"/>
                      <w:szCs w:val="21"/>
                      <w:lang w:val="en-US" w:eastAsia="zh-CN"/>
                    </w:rPr>
                    <w:t>10台挤出</w:t>
                  </w:r>
                  <w:r>
                    <w:rPr>
                      <w:rFonts w:hint="eastAsia"/>
                      <w:bCs/>
                      <w:color w:val="auto"/>
                      <w:szCs w:val="21"/>
                    </w:rPr>
                    <w:t>机</w:t>
                  </w:r>
                </w:p>
              </w:tc>
              <w:tc>
                <w:tcPr>
                  <w:tcW w:w="467" w:type="pct"/>
                  <w:noWrap w:val="0"/>
                  <w:tcMar>
                    <w:top w:w="0" w:type="dxa"/>
                    <w:left w:w="0" w:type="dxa"/>
                    <w:bottom w:w="0" w:type="dxa"/>
                    <w:right w:w="0" w:type="dxa"/>
                  </w:tcMar>
                  <w:vAlign w:val="center"/>
                </w:tcPr>
                <w:p w14:paraId="6CC91BD7">
                  <w:pPr>
                    <w:jc w:val="center"/>
                    <w:rPr>
                      <w:rFonts w:hint="default" w:eastAsia="宋体"/>
                      <w:bCs/>
                      <w:color w:val="auto"/>
                      <w:szCs w:val="21"/>
                      <w:lang w:val="en-US" w:eastAsia="zh-CN"/>
                    </w:rPr>
                  </w:pPr>
                  <w:r>
                    <w:rPr>
                      <w:rFonts w:hint="eastAsia"/>
                      <w:bCs/>
                      <w:color w:val="auto"/>
                      <w:szCs w:val="21"/>
                      <w:lang w:val="en-US" w:eastAsia="zh-CN"/>
                    </w:rPr>
                    <w:t>6048</w:t>
                  </w:r>
                </w:p>
              </w:tc>
              <w:tc>
                <w:tcPr>
                  <w:tcW w:w="560" w:type="pct"/>
                  <w:shd w:val="clear" w:color="auto" w:fill="auto"/>
                  <w:noWrap w:val="0"/>
                  <w:tcMar>
                    <w:top w:w="0" w:type="dxa"/>
                    <w:left w:w="0" w:type="dxa"/>
                    <w:bottom w:w="0" w:type="dxa"/>
                    <w:right w:w="0" w:type="dxa"/>
                  </w:tcMar>
                  <w:vAlign w:val="center"/>
                </w:tcPr>
                <w:p w14:paraId="6E9B4C33">
                  <w:pPr>
                    <w:jc w:val="center"/>
                    <w:rPr>
                      <w:rFonts w:hint="default" w:ascii="Times New Roman" w:hAnsi="Times New Roman" w:eastAsia="宋体" w:cs="Times New Roman"/>
                      <w:bCs/>
                      <w:color w:val="auto"/>
                      <w:kern w:val="2"/>
                      <w:sz w:val="21"/>
                      <w:szCs w:val="21"/>
                      <w:lang w:val="en-US" w:eastAsia="zh-CN" w:bidi="ar-SA"/>
                    </w:rPr>
                  </w:pPr>
                  <w:r>
                    <w:rPr>
                      <w:rFonts w:hint="eastAsia"/>
                      <w:bCs/>
                      <w:color w:val="auto"/>
                      <w:szCs w:val="21"/>
                      <w:lang w:val="en-US" w:eastAsia="zh-CN"/>
                    </w:rPr>
                    <w:t>6048</w:t>
                  </w:r>
                </w:p>
              </w:tc>
              <w:tc>
                <w:tcPr>
                  <w:tcW w:w="613" w:type="pct"/>
                  <w:vMerge w:val="restart"/>
                  <w:noWrap w:val="0"/>
                  <w:tcMar>
                    <w:top w:w="0" w:type="dxa"/>
                    <w:left w:w="0" w:type="dxa"/>
                    <w:bottom w:w="0" w:type="dxa"/>
                    <w:right w:w="0" w:type="dxa"/>
                  </w:tcMar>
                  <w:vAlign w:val="center"/>
                </w:tcPr>
                <w:p w14:paraId="0FFD0F69">
                  <w:pPr>
                    <w:jc w:val="center"/>
                    <w:rPr>
                      <w:rFonts w:hint="default" w:eastAsia="宋体"/>
                      <w:color w:val="auto"/>
                      <w:lang w:val="en-US" w:eastAsia="zh-CN"/>
                    </w:rPr>
                  </w:pPr>
                  <w:r>
                    <w:rPr>
                      <w:rFonts w:hint="eastAsia" w:eastAsia="宋体"/>
                      <w:color w:val="auto"/>
                      <w:lang w:val="en-US" w:eastAsia="zh-CN"/>
                    </w:rPr>
                    <w:t>8064</w:t>
                  </w:r>
                </w:p>
              </w:tc>
              <w:tc>
                <w:tcPr>
                  <w:tcW w:w="718" w:type="pct"/>
                  <w:vMerge w:val="restart"/>
                  <w:noWrap w:val="0"/>
                  <w:tcMar>
                    <w:top w:w="0" w:type="dxa"/>
                    <w:left w:w="0" w:type="dxa"/>
                    <w:bottom w:w="0" w:type="dxa"/>
                    <w:right w:w="0" w:type="dxa"/>
                  </w:tcMar>
                  <w:vAlign w:val="center"/>
                </w:tcPr>
                <w:p w14:paraId="64B0EDA9">
                  <w:pPr>
                    <w:jc w:val="center"/>
                    <w:rPr>
                      <w:bCs/>
                      <w:color w:val="auto"/>
                      <w:szCs w:val="21"/>
                    </w:rPr>
                  </w:pPr>
                  <w:r>
                    <w:rPr>
                      <w:bCs/>
                      <w:color w:val="auto"/>
                      <w:szCs w:val="21"/>
                    </w:rPr>
                    <w:t>考虑到在废气管道和处理装置中的风量损失，故本项目废气处理装置设计风量确定为</w:t>
                  </w:r>
                  <w:r>
                    <w:rPr>
                      <w:rFonts w:hint="eastAsia"/>
                      <w:bCs/>
                      <w:color w:val="auto"/>
                      <w:szCs w:val="21"/>
                      <w:lang w:val="en-US" w:eastAsia="zh-CN"/>
                    </w:rPr>
                    <w:t>10000</w:t>
                  </w:r>
                  <w:r>
                    <w:rPr>
                      <w:color w:val="auto"/>
                      <w:szCs w:val="21"/>
                    </w:rPr>
                    <w:t>m</w:t>
                  </w:r>
                  <w:r>
                    <w:rPr>
                      <w:color w:val="auto"/>
                      <w:szCs w:val="21"/>
                      <w:vertAlign w:val="superscript"/>
                    </w:rPr>
                    <w:t>3</w:t>
                  </w:r>
                  <w:r>
                    <w:rPr>
                      <w:color w:val="auto"/>
                      <w:szCs w:val="21"/>
                    </w:rPr>
                    <w:t>/h</w:t>
                  </w:r>
                </w:p>
              </w:tc>
              <w:tc>
                <w:tcPr>
                  <w:tcW w:w="725" w:type="pct"/>
                  <w:vMerge w:val="restart"/>
                  <w:noWrap w:val="0"/>
                  <w:tcMar>
                    <w:top w:w="0" w:type="dxa"/>
                    <w:left w:w="0" w:type="dxa"/>
                    <w:bottom w:w="0" w:type="dxa"/>
                    <w:right w:w="0" w:type="dxa"/>
                  </w:tcMar>
                  <w:vAlign w:val="center"/>
                </w:tcPr>
                <w:p w14:paraId="0DDB70BF">
                  <w:pPr>
                    <w:jc w:val="center"/>
                    <w:rPr>
                      <w:bCs/>
                      <w:color w:val="auto"/>
                      <w:szCs w:val="21"/>
                    </w:rPr>
                  </w:pPr>
                  <w:r>
                    <w:rPr>
                      <w:rFonts w:hint="eastAsia"/>
                      <w:color w:val="auto"/>
                      <w:szCs w:val="21"/>
                      <w:lang w:val="en-US" w:eastAsia="zh-CN"/>
                    </w:rPr>
                    <w:t>水喷淋塔+除湿器+二级活性炭吸附装置</w:t>
                  </w:r>
                </w:p>
              </w:tc>
              <w:tc>
                <w:tcPr>
                  <w:tcW w:w="493" w:type="pct"/>
                  <w:vMerge w:val="restart"/>
                  <w:noWrap w:val="0"/>
                  <w:tcMar>
                    <w:top w:w="0" w:type="dxa"/>
                    <w:left w:w="0" w:type="dxa"/>
                    <w:bottom w:w="0" w:type="dxa"/>
                    <w:right w:w="0" w:type="dxa"/>
                  </w:tcMar>
                  <w:vAlign w:val="center"/>
                </w:tcPr>
                <w:p w14:paraId="17EE95AF">
                  <w:pPr>
                    <w:jc w:val="center"/>
                    <w:rPr>
                      <w:rFonts w:hint="eastAsia" w:eastAsia="宋体"/>
                      <w:bCs/>
                      <w:color w:val="auto"/>
                      <w:szCs w:val="21"/>
                      <w:lang w:eastAsia="zh-CN"/>
                    </w:rPr>
                  </w:pPr>
                  <w:r>
                    <w:rPr>
                      <w:rFonts w:hint="eastAsia"/>
                      <w:bCs/>
                      <w:color w:val="auto"/>
                      <w:szCs w:val="21"/>
                    </w:rPr>
                    <w:t>通过</w:t>
                  </w:r>
                  <w:r>
                    <w:rPr>
                      <w:bCs/>
                      <w:color w:val="auto"/>
                      <w:szCs w:val="21"/>
                    </w:rPr>
                    <w:t>1根</w:t>
                  </w:r>
                  <w:r>
                    <w:rPr>
                      <w:rFonts w:hint="eastAsia"/>
                      <w:bCs/>
                      <w:color w:val="auto"/>
                      <w:szCs w:val="21"/>
                      <w:lang w:val="en-US" w:eastAsia="zh-CN"/>
                    </w:rPr>
                    <w:t>15</w:t>
                  </w:r>
                  <w:r>
                    <w:rPr>
                      <w:bCs/>
                      <w:color w:val="auto"/>
                      <w:szCs w:val="21"/>
                    </w:rPr>
                    <w:t>米高排气筒</w:t>
                  </w:r>
                  <w:r>
                    <w:rPr>
                      <w:rFonts w:hint="eastAsia"/>
                      <w:bCs/>
                      <w:color w:val="auto"/>
                      <w:szCs w:val="21"/>
                    </w:rPr>
                    <w:t>DA00</w:t>
                  </w:r>
                  <w:r>
                    <w:rPr>
                      <w:rFonts w:hint="eastAsia"/>
                      <w:bCs/>
                      <w:color w:val="auto"/>
                      <w:szCs w:val="21"/>
                      <w:lang w:val="en-US" w:eastAsia="zh-CN"/>
                    </w:rPr>
                    <w:t>2</w:t>
                  </w:r>
                </w:p>
              </w:tc>
            </w:tr>
            <w:tr w14:paraId="6836E6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95" w:type="pct"/>
                  <w:noWrap w:val="0"/>
                  <w:tcMar>
                    <w:top w:w="0" w:type="dxa"/>
                    <w:left w:w="0" w:type="dxa"/>
                    <w:bottom w:w="0" w:type="dxa"/>
                    <w:right w:w="0" w:type="dxa"/>
                  </w:tcMar>
                  <w:vAlign w:val="center"/>
                </w:tcPr>
                <w:p w14:paraId="23E68A76">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烘干</w:t>
                  </w:r>
                </w:p>
              </w:tc>
              <w:tc>
                <w:tcPr>
                  <w:tcW w:w="1126" w:type="pct"/>
                  <w:noWrap w:val="0"/>
                  <w:tcMar>
                    <w:top w:w="0" w:type="dxa"/>
                    <w:left w:w="0" w:type="dxa"/>
                    <w:bottom w:w="0" w:type="dxa"/>
                    <w:right w:w="0" w:type="dxa"/>
                  </w:tcMar>
                  <w:vAlign w:val="center"/>
                </w:tcPr>
                <w:p w14:paraId="32F9B90B">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Cs w:val="21"/>
                      <w:lang w:val="en-US" w:eastAsia="zh-CN"/>
                    </w:rPr>
                    <w:t>烘干机</w:t>
                  </w:r>
                  <w:r>
                    <w:rPr>
                      <w:bCs/>
                      <w:color w:val="auto"/>
                      <w:szCs w:val="21"/>
                    </w:rPr>
                    <w:t>上方设</w:t>
                  </w:r>
                  <w:r>
                    <w:rPr>
                      <w:rFonts w:hint="eastAsia"/>
                      <w:bCs/>
                      <w:color w:val="auto"/>
                      <w:szCs w:val="21"/>
                    </w:rPr>
                    <w:t>1</w:t>
                  </w:r>
                  <w:r>
                    <w:rPr>
                      <w:bCs/>
                      <w:color w:val="auto"/>
                      <w:szCs w:val="21"/>
                    </w:rPr>
                    <w:t>个集气罩，为</w:t>
                  </w:r>
                  <w:r>
                    <w:rPr>
                      <w:rFonts w:hint="eastAsia"/>
                      <w:bCs/>
                      <w:color w:val="auto"/>
                      <w:szCs w:val="21"/>
                    </w:rPr>
                    <w:t>方形</w:t>
                  </w:r>
                  <w:r>
                    <w:rPr>
                      <w:bCs/>
                      <w:color w:val="auto"/>
                      <w:szCs w:val="21"/>
                    </w:rPr>
                    <w:t>，</w:t>
                  </w:r>
                  <w:r>
                    <w:rPr>
                      <w:rFonts w:hint="eastAsia"/>
                      <w:bCs/>
                      <w:color w:val="auto"/>
                      <w:szCs w:val="21"/>
                    </w:rPr>
                    <w:t>长×宽</w:t>
                  </w:r>
                  <w:r>
                    <w:rPr>
                      <w:rFonts w:hint="eastAsia"/>
                      <w:bCs/>
                      <w:color w:val="auto"/>
                      <w:szCs w:val="21"/>
                      <w:lang w:val="en-US" w:eastAsia="zh-CN"/>
                    </w:rPr>
                    <w:t>2</w:t>
                  </w:r>
                  <w:r>
                    <w:rPr>
                      <w:rFonts w:hint="eastAsia"/>
                      <w:bCs/>
                      <w:color w:val="auto"/>
                      <w:szCs w:val="21"/>
                    </w:rPr>
                    <w:t>00×</w:t>
                  </w:r>
                  <w:r>
                    <w:rPr>
                      <w:rFonts w:hint="eastAsia"/>
                      <w:bCs/>
                      <w:color w:val="auto"/>
                      <w:szCs w:val="21"/>
                      <w:lang w:val="en-US" w:eastAsia="zh-CN"/>
                    </w:rPr>
                    <w:t>2</w:t>
                  </w:r>
                  <w:r>
                    <w:rPr>
                      <w:rFonts w:hint="eastAsia"/>
                      <w:bCs/>
                      <w:color w:val="auto"/>
                      <w:szCs w:val="21"/>
                    </w:rPr>
                    <w:t>00</w:t>
                  </w:r>
                  <w:r>
                    <w:rPr>
                      <w:bCs/>
                      <w:color w:val="auto"/>
                      <w:szCs w:val="21"/>
                    </w:rPr>
                    <w:t>mm，距污染源距离为</w:t>
                  </w:r>
                  <w:r>
                    <w:rPr>
                      <w:rFonts w:hint="eastAsia"/>
                      <w:bCs/>
                      <w:color w:val="auto"/>
                      <w:szCs w:val="21"/>
                    </w:rPr>
                    <w:t>0.</w:t>
                  </w:r>
                  <w:r>
                    <w:rPr>
                      <w:rFonts w:hint="eastAsia"/>
                      <w:bCs/>
                      <w:color w:val="auto"/>
                      <w:szCs w:val="21"/>
                      <w:lang w:val="en-US" w:eastAsia="zh-CN"/>
                    </w:rPr>
                    <w:t>2</w:t>
                  </w:r>
                  <w:r>
                    <w:rPr>
                      <w:rFonts w:hint="eastAsia"/>
                      <w:bCs/>
                      <w:color w:val="auto"/>
                      <w:szCs w:val="21"/>
                    </w:rPr>
                    <w:t>m，建设单位设置</w:t>
                  </w:r>
                  <w:r>
                    <w:rPr>
                      <w:rFonts w:hint="eastAsia"/>
                      <w:bCs/>
                      <w:color w:val="auto"/>
                      <w:szCs w:val="21"/>
                      <w:lang w:val="en-US" w:eastAsia="zh-CN"/>
                    </w:rPr>
                    <w:t>3</w:t>
                  </w:r>
                  <w:r>
                    <w:rPr>
                      <w:rFonts w:hint="eastAsia"/>
                      <w:bCs/>
                      <w:color w:val="auto"/>
                      <w:szCs w:val="21"/>
                    </w:rPr>
                    <w:t>台</w:t>
                  </w:r>
                  <w:r>
                    <w:rPr>
                      <w:rFonts w:hint="eastAsia"/>
                      <w:bCs/>
                      <w:color w:val="auto"/>
                      <w:szCs w:val="21"/>
                      <w:lang w:val="en-US" w:eastAsia="zh-CN"/>
                    </w:rPr>
                    <w:t>烘干</w:t>
                  </w:r>
                  <w:r>
                    <w:rPr>
                      <w:rFonts w:hint="eastAsia"/>
                      <w:bCs/>
                      <w:color w:val="auto"/>
                      <w:szCs w:val="21"/>
                    </w:rPr>
                    <w:t>机</w:t>
                  </w:r>
                </w:p>
              </w:tc>
              <w:tc>
                <w:tcPr>
                  <w:tcW w:w="467" w:type="pct"/>
                  <w:noWrap w:val="0"/>
                  <w:tcMar>
                    <w:top w:w="0" w:type="dxa"/>
                    <w:left w:w="0" w:type="dxa"/>
                    <w:bottom w:w="0" w:type="dxa"/>
                    <w:right w:w="0" w:type="dxa"/>
                  </w:tcMar>
                  <w:vAlign w:val="center"/>
                </w:tcPr>
                <w:p w14:paraId="205DFDA3">
                  <w:pPr>
                    <w:jc w:val="center"/>
                    <w:rPr>
                      <w:rFonts w:hint="default" w:ascii="Times New Roman" w:hAnsi="Times New Roman" w:eastAsia="宋体" w:cs="Times New Roman"/>
                      <w:bCs/>
                      <w:color w:val="auto"/>
                      <w:kern w:val="2"/>
                      <w:sz w:val="21"/>
                      <w:szCs w:val="21"/>
                      <w:lang w:val="en-US" w:eastAsia="zh-CN" w:bidi="ar-SA"/>
                    </w:rPr>
                  </w:pPr>
                  <w:r>
                    <w:rPr>
                      <w:rFonts w:hint="eastAsia" w:eastAsia="宋体" w:cs="Times New Roman"/>
                      <w:bCs/>
                      <w:color w:val="auto"/>
                      <w:kern w:val="2"/>
                      <w:sz w:val="21"/>
                      <w:szCs w:val="21"/>
                      <w:lang w:val="en-US" w:eastAsia="zh-CN" w:bidi="ar-SA"/>
                    </w:rPr>
                    <w:t>1209.6</w:t>
                  </w:r>
                </w:p>
              </w:tc>
              <w:tc>
                <w:tcPr>
                  <w:tcW w:w="560" w:type="pct"/>
                  <w:noWrap w:val="0"/>
                  <w:tcMar>
                    <w:top w:w="0" w:type="dxa"/>
                    <w:left w:w="0" w:type="dxa"/>
                    <w:bottom w:w="0" w:type="dxa"/>
                    <w:right w:w="0" w:type="dxa"/>
                  </w:tcMar>
                  <w:vAlign w:val="center"/>
                </w:tcPr>
                <w:p w14:paraId="10C409FF">
                  <w:pPr>
                    <w:jc w:val="center"/>
                    <w:rPr>
                      <w:rFonts w:hint="eastAsia" w:ascii="Times New Roman" w:hAnsi="Times New Roman" w:eastAsia="宋体" w:cs="Times New Roman"/>
                      <w:bCs/>
                      <w:color w:val="auto"/>
                      <w:kern w:val="2"/>
                      <w:sz w:val="21"/>
                      <w:szCs w:val="21"/>
                      <w:lang w:val="en-US" w:eastAsia="zh-CN" w:bidi="ar-SA"/>
                    </w:rPr>
                  </w:pPr>
                  <w:r>
                    <w:rPr>
                      <w:rFonts w:hint="eastAsia" w:eastAsia="宋体" w:cs="Times New Roman"/>
                      <w:bCs/>
                      <w:color w:val="auto"/>
                      <w:kern w:val="2"/>
                      <w:sz w:val="21"/>
                      <w:szCs w:val="21"/>
                      <w:lang w:val="en-US" w:eastAsia="zh-CN" w:bidi="ar-SA"/>
                    </w:rPr>
                    <w:t>1209.6</w:t>
                  </w:r>
                </w:p>
              </w:tc>
              <w:tc>
                <w:tcPr>
                  <w:tcW w:w="613" w:type="pct"/>
                  <w:vMerge w:val="continue"/>
                  <w:noWrap w:val="0"/>
                  <w:tcMar>
                    <w:top w:w="0" w:type="dxa"/>
                    <w:left w:w="0" w:type="dxa"/>
                    <w:bottom w:w="0" w:type="dxa"/>
                    <w:right w:w="0" w:type="dxa"/>
                  </w:tcMar>
                  <w:vAlign w:val="center"/>
                </w:tcPr>
                <w:p w14:paraId="2802BB8D">
                  <w:pPr>
                    <w:jc w:val="center"/>
                    <w:rPr>
                      <w:rFonts w:hint="eastAsia"/>
                      <w:color w:val="auto"/>
                    </w:rPr>
                  </w:pPr>
                </w:p>
              </w:tc>
              <w:tc>
                <w:tcPr>
                  <w:tcW w:w="718" w:type="pct"/>
                  <w:vMerge w:val="continue"/>
                  <w:noWrap w:val="0"/>
                  <w:tcMar>
                    <w:top w:w="0" w:type="dxa"/>
                    <w:left w:w="0" w:type="dxa"/>
                    <w:bottom w:w="0" w:type="dxa"/>
                    <w:right w:w="0" w:type="dxa"/>
                  </w:tcMar>
                  <w:vAlign w:val="center"/>
                </w:tcPr>
                <w:p w14:paraId="0D469BDC">
                  <w:pPr>
                    <w:jc w:val="center"/>
                    <w:rPr>
                      <w:bCs/>
                      <w:color w:val="auto"/>
                      <w:szCs w:val="21"/>
                    </w:rPr>
                  </w:pPr>
                </w:p>
              </w:tc>
              <w:tc>
                <w:tcPr>
                  <w:tcW w:w="725" w:type="pct"/>
                  <w:vMerge w:val="continue"/>
                  <w:noWrap w:val="0"/>
                  <w:tcMar>
                    <w:top w:w="0" w:type="dxa"/>
                    <w:left w:w="0" w:type="dxa"/>
                    <w:bottom w:w="0" w:type="dxa"/>
                    <w:right w:w="0" w:type="dxa"/>
                  </w:tcMar>
                  <w:vAlign w:val="center"/>
                </w:tcPr>
                <w:p w14:paraId="167460A7">
                  <w:pPr>
                    <w:jc w:val="center"/>
                    <w:rPr>
                      <w:rFonts w:hint="eastAsia"/>
                      <w:color w:val="auto"/>
                      <w:szCs w:val="21"/>
                      <w:lang w:val="en-US" w:eastAsia="zh-CN"/>
                    </w:rPr>
                  </w:pPr>
                </w:p>
              </w:tc>
              <w:tc>
                <w:tcPr>
                  <w:tcW w:w="493" w:type="pct"/>
                  <w:vMerge w:val="continue"/>
                  <w:noWrap w:val="0"/>
                  <w:tcMar>
                    <w:top w:w="0" w:type="dxa"/>
                    <w:left w:w="0" w:type="dxa"/>
                    <w:bottom w:w="0" w:type="dxa"/>
                    <w:right w:w="0" w:type="dxa"/>
                  </w:tcMar>
                  <w:vAlign w:val="center"/>
                </w:tcPr>
                <w:p w14:paraId="4D391119">
                  <w:pPr>
                    <w:jc w:val="center"/>
                    <w:rPr>
                      <w:rFonts w:hint="eastAsia"/>
                      <w:bCs/>
                      <w:color w:val="auto"/>
                      <w:szCs w:val="21"/>
                    </w:rPr>
                  </w:pPr>
                </w:p>
              </w:tc>
            </w:tr>
            <w:tr w14:paraId="43654B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95" w:type="pct"/>
                  <w:noWrap w:val="0"/>
                  <w:tcMar>
                    <w:top w:w="0" w:type="dxa"/>
                    <w:left w:w="0" w:type="dxa"/>
                    <w:bottom w:w="0" w:type="dxa"/>
                    <w:right w:w="0" w:type="dxa"/>
                  </w:tcMar>
                  <w:vAlign w:val="center"/>
                </w:tcPr>
                <w:p w14:paraId="7C059F71">
                  <w:pPr>
                    <w:jc w:val="center"/>
                    <w:rPr>
                      <w:rFonts w:hint="default" w:eastAsia="宋体"/>
                      <w:bCs/>
                      <w:color w:val="auto"/>
                      <w:szCs w:val="21"/>
                      <w:lang w:val="en-US" w:eastAsia="zh-CN"/>
                    </w:rPr>
                  </w:pPr>
                  <w:r>
                    <w:rPr>
                      <w:rFonts w:hint="eastAsia"/>
                      <w:bCs/>
                      <w:color w:val="auto"/>
                      <w:szCs w:val="21"/>
                      <w:lang w:val="en-US" w:eastAsia="zh-CN"/>
                    </w:rPr>
                    <w:t>测试</w:t>
                  </w:r>
                </w:p>
              </w:tc>
              <w:tc>
                <w:tcPr>
                  <w:tcW w:w="1126" w:type="pct"/>
                  <w:noWrap w:val="0"/>
                  <w:tcMar>
                    <w:top w:w="0" w:type="dxa"/>
                    <w:left w:w="0" w:type="dxa"/>
                    <w:bottom w:w="0" w:type="dxa"/>
                    <w:right w:w="0" w:type="dxa"/>
                  </w:tcMar>
                  <w:vAlign w:val="center"/>
                </w:tcPr>
                <w:p w14:paraId="19B5734E">
                  <w:pPr>
                    <w:jc w:val="center"/>
                    <w:rPr>
                      <w:rFonts w:hint="default" w:ascii="Times New Roman" w:hAnsi="Times New Roman" w:eastAsia="宋体" w:cs="Times New Roman"/>
                      <w:bCs/>
                      <w:color w:val="auto"/>
                      <w:kern w:val="2"/>
                      <w:sz w:val="21"/>
                      <w:szCs w:val="21"/>
                      <w:lang w:val="en-US" w:eastAsia="zh-CN" w:bidi="ar-SA"/>
                    </w:rPr>
                  </w:pPr>
                  <w:r>
                    <w:rPr>
                      <w:rFonts w:hint="eastAsia"/>
                      <w:bCs/>
                      <w:color w:val="auto"/>
                      <w:szCs w:val="21"/>
                      <w:lang w:val="en-US" w:eastAsia="zh-CN"/>
                    </w:rPr>
                    <w:t>注塑机</w:t>
                  </w:r>
                  <w:r>
                    <w:rPr>
                      <w:bCs/>
                      <w:color w:val="auto"/>
                      <w:szCs w:val="21"/>
                    </w:rPr>
                    <w:t>上方设</w:t>
                  </w:r>
                  <w:r>
                    <w:rPr>
                      <w:rFonts w:hint="eastAsia"/>
                      <w:bCs/>
                      <w:color w:val="auto"/>
                      <w:szCs w:val="21"/>
                    </w:rPr>
                    <w:t>1</w:t>
                  </w:r>
                  <w:r>
                    <w:rPr>
                      <w:bCs/>
                      <w:color w:val="auto"/>
                      <w:szCs w:val="21"/>
                    </w:rPr>
                    <w:t>个集气罩，共设</w:t>
                  </w:r>
                  <w:r>
                    <w:rPr>
                      <w:rFonts w:hint="eastAsia"/>
                      <w:bCs/>
                      <w:color w:val="auto"/>
                      <w:szCs w:val="21"/>
                    </w:rPr>
                    <w:t>1</w:t>
                  </w:r>
                  <w:r>
                    <w:rPr>
                      <w:bCs/>
                      <w:color w:val="auto"/>
                      <w:szCs w:val="21"/>
                    </w:rPr>
                    <w:t>个集气罩，为</w:t>
                  </w:r>
                  <w:r>
                    <w:rPr>
                      <w:rFonts w:hint="eastAsia"/>
                      <w:bCs/>
                      <w:color w:val="auto"/>
                      <w:szCs w:val="21"/>
                    </w:rPr>
                    <w:t>方形</w:t>
                  </w:r>
                  <w:r>
                    <w:rPr>
                      <w:bCs/>
                      <w:color w:val="auto"/>
                      <w:szCs w:val="21"/>
                    </w:rPr>
                    <w:t>，</w:t>
                  </w:r>
                  <w:r>
                    <w:rPr>
                      <w:rFonts w:hint="eastAsia"/>
                      <w:bCs/>
                      <w:color w:val="auto"/>
                      <w:szCs w:val="21"/>
                    </w:rPr>
                    <w:t>长×宽</w:t>
                  </w:r>
                  <w:r>
                    <w:rPr>
                      <w:rFonts w:hint="eastAsia"/>
                      <w:bCs/>
                      <w:color w:val="auto"/>
                      <w:szCs w:val="21"/>
                      <w:lang w:val="en-US" w:eastAsia="zh-CN"/>
                    </w:rPr>
                    <w:t>2</w:t>
                  </w:r>
                  <w:r>
                    <w:rPr>
                      <w:rFonts w:hint="eastAsia"/>
                      <w:bCs/>
                      <w:color w:val="auto"/>
                      <w:szCs w:val="21"/>
                    </w:rPr>
                    <w:t>00×</w:t>
                  </w:r>
                  <w:r>
                    <w:rPr>
                      <w:rFonts w:hint="eastAsia"/>
                      <w:bCs/>
                      <w:color w:val="auto"/>
                      <w:szCs w:val="21"/>
                      <w:lang w:val="en-US" w:eastAsia="zh-CN"/>
                    </w:rPr>
                    <w:t>2</w:t>
                  </w:r>
                  <w:r>
                    <w:rPr>
                      <w:rFonts w:hint="eastAsia"/>
                      <w:bCs/>
                      <w:color w:val="auto"/>
                      <w:szCs w:val="21"/>
                    </w:rPr>
                    <w:t>00</w:t>
                  </w:r>
                  <w:r>
                    <w:rPr>
                      <w:bCs/>
                      <w:color w:val="auto"/>
                      <w:szCs w:val="21"/>
                    </w:rPr>
                    <w:t>mm，距污染源距离为</w:t>
                  </w:r>
                  <w:r>
                    <w:rPr>
                      <w:rFonts w:hint="eastAsia"/>
                      <w:bCs/>
                      <w:color w:val="auto"/>
                      <w:szCs w:val="21"/>
                    </w:rPr>
                    <w:t>0.</w:t>
                  </w:r>
                  <w:r>
                    <w:rPr>
                      <w:rFonts w:hint="eastAsia"/>
                      <w:bCs/>
                      <w:color w:val="auto"/>
                      <w:szCs w:val="21"/>
                      <w:lang w:val="en-US" w:eastAsia="zh-CN"/>
                    </w:rPr>
                    <w:t>2</w:t>
                  </w:r>
                  <w:r>
                    <w:rPr>
                      <w:rFonts w:hint="eastAsia"/>
                      <w:bCs/>
                      <w:color w:val="auto"/>
                      <w:szCs w:val="21"/>
                    </w:rPr>
                    <w:t>m，建设单位设置</w:t>
                  </w:r>
                  <w:r>
                    <w:rPr>
                      <w:rFonts w:hint="eastAsia"/>
                      <w:bCs/>
                      <w:color w:val="auto"/>
                      <w:szCs w:val="21"/>
                      <w:lang w:val="en-US" w:eastAsia="zh-CN"/>
                    </w:rPr>
                    <w:t>1台注塑机、烘箱</w:t>
                  </w:r>
                </w:p>
              </w:tc>
              <w:tc>
                <w:tcPr>
                  <w:tcW w:w="467" w:type="pct"/>
                  <w:noWrap w:val="0"/>
                  <w:tcMar>
                    <w:top w:w="0" w:type="dxa"/>
                    <w:left w:w="0" w:type="dxa"/>
                    <w:bottom w:w="0" w:type="dxa"/>
                    <w:right w:w="0" w:type="dxa"/>
                  </w:tcMar>
                  <w:vAlign w:val="center"/>
                </w:tcPr>
                <w:p w14:paraId="732DA9DB">
                  <w:pPr>
                    <w:jc w:val="center"/>
                    <w:rPr>
                      <w:rFonts w:hint="default" w:ascii="Times New Roman" w:hAnsi="Times New Roman" w:eastAsia="宋体" w:cs="Times New Roman"/>
                      <w:bCs/>
                      <w:color w:val="auto"/>
                      <w:kern w:val="2"/>
                      <w:sz w:val="21"/>
                      <w:szCs w:val="21"/>
                      <w:lang w:val="en-US" w:eastAsia="zh-CN" w:bidi="ar-SA"/>
                    </w:rPr>
                  </w:pPr>
                  <w:r>
                    <w:rPr>
                      <w:rFonts w:hint="eastAsia"/>
                      <w:bCs/>
                      <w:color w:val="auto"/>
                      <w:szCs w:val="21"/>
                      <w:lang w:val="en-US" w:eastAsia="zh-CN"/>
                    </w:rPr>
                    <w:t>806.4</w:t>
                  </w:r>
                </w:p>
              </w:tc>
              <w:tc>
                <w:tcPr>
                  <w:tcW w:w="560" w:type="pct"/>
                  <w:shd w:val="clear" w:color="auto" w:fill="auto"/>
                  <w:noWrap w:val="0"/>
                  <w:tcMar>
                    <w:top w:w="0" w:type="dxa"/>
                    <w:left w:w="0" w:type="dxa"/>
                    <w:bottom w:w="0" w:type="dxa"/>
                    <w:right w:w="0" w:type="dxa"/>
                  </w:tcMar>
                  <w:vAlign w:val="center"/>
                </w:tcPr>
                <w:p w14:paraId="3ED231A2">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Cs w:val="21"/>
                      <w:lang w:val="en-US" w:eastAsia="zh-CN"/>
                    </w:rPr>
                    <w:t>806.4</w:t>
                  </w:r>
                </w:p>
              </w:tc>
              <w:tc>
                <w:tcPr>
                  <w:tcW w:w="613" w:type="pct"/>
                  <w:vMerge w:val="continue"/>
                  <w:noWrap w:val="0"/>
                  <w:tcMar>
                    <w:top w:w="0" w:type="dxa"/>
                    <w:left w:w="0" w:type="dxa"/>
                    <w:bottom w:w="0" w:type="dxa"/>
                    <w:right w:w="0" w:type="dxa"/>
                  </w:tcMar>
                  <w:vAlign w:val="center"/>
                </w:tcPr>
                <w:p w14:paraId="78112E6F">
                  <w:pPr>
                    <w:jc w:val="center"/>
                    <w:rPr>
                      <w:rFonts w:hint="eastAsia"/>
                      <w:color w:val="auto"/>
                    </w:rPr>
                  </w:pPr>
                </w:p>
              </w:tc>
              <w:tc>
                <w:tcPr>
                  <w:tcW w:w="718" w:type="pct"/>
                  <w:vMerge w:val="continue"/>
                  <w:noWrap w:val="0"/>
                  <w:tcMar>
                    <w:top w:w="0" w:type="dxa"/>
                    <w:left w:w="0" w:type="dxa"/>
                    <w:bottom w:w="0" w:type="dxa"/>
                    <w:right w:w="0" w:type="dxa"/>
                  </w:tcMar>
                  <w:vAlign w:val="center"/>
                </w:tcPr>
                <w:p w14:paraId="1F3B9800">
                  <w:pPr>
                    <w:jc w:val="center"/>
                    <w:rPr>
                      <w:bCs/>
                      <w:color w:val="auto"/>
                      <w:szCs w:val="21"/>
                    </w:rPr>
                  </w:pPr>
                </w:p>
              </w:tc>
              <w:tc>
                <w:tcPr>
                  <w:tcW w:w="725" w:type="pct"/>
                  <w:vMerge w:val="continue"/>
                  <w:noWrap w:val="0"/>
                  <w:tcMar>
                    <w:top w:w="0" w:type="dxa"/>
                    <w:left w:w="0" w:type="dxa"/>
                    <w:bottom w:w="0" w:type="dxa"/>
                    <w:right w:w="0" w:type="dxa"/>
                  </w:tcMar>
                  <w:vAlign w:val="center"/>
                </w:tcPr>
                <w:p w14:paraId="793377B0">
                  <w:pPr>
                    <w:jc w:val="center"/>
                    <w:rPr>
                      <w:rFonts w:hint="eastAsia"/>
                      <w:color w:val="auto"/>
                      <w:szCs w:val="21"/>
                      <w:lang w:val="en-US" w:eastAsia="zh-CN"/>
                    </w:rPr>
                  </w:pPr>
                </w:p>
              </w:tc>
              <w:tc>
                <w:tcPr>
                  <w:tcW w:w="493" w:type="pct"/>
                  <w:vMerge w:val="continue"/>
                  <w:noWrap w:val="0"/>
                  <w:tcMar>
                    <w:top w:w="0" w:type="dxa"/>
                    <w:left w:w="0" w:type="dxa"/>
                    <w:bottom w:w="0" w:type="dxa"/>
                    <w:right w:w="0" w:type="dxa"/>
                  </w:tcMar>
                  <w:vAlign w:val="center"/>
                </w:tcPr>
                <w:p w14:paraId="139BE4E7">
                  <w:pPr>
                    <w:jc w:val="center"/>
                    <w:rPr>
                      <w:rFonts w:hint="eastAsia"/>
                      <w:bCs/>
                      <w:color w:val="auto"/>
                      <w:szCs w:val="21"/>
                    </w:rPr>
                  </w:pPr>
                </w:p>
              </w:tc>
            </w:tr>
            <w:tr w14:paraId="2CD8F7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95" w:type="pct"/>
                  <w:noWrap w:val="0"/>
                  <w:tcMar>
                    <w:top w:w="0" w:type="dxa"/>
                    <w:left w:w="0" w:type="dxa"/>
                    <w:bottom w:w="0" w:type="dxa"/>
                    <w:right w:w="0" w:type="dxa"/>
                  </w:tcMar>
                  <w:vAlign w:val="center"/>
                </w:tcPr>
                <w:p w14:paraId="21E4633D">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配料、投料</w:t>
                  </w:r>
                </w:p>
              </w:tc>
              <w:tc>
                <w:tcPr>
                  <w:tcW w:w="1126" w:type="pct"/>
                  <w:noWrap w:val="0"/>
                  <w:tcMar>
                    <w:top w:w="0" w:type="dxa"/>
                    <w:left w:w="0" w:type="dxa"/>
                    <w:bottom w:w="0" w:type="dxa"/>
                    <w:right w:w="0" w:type="dxa"/>
                  </w:tcMar>
                  <w:vAlign w:val="center"/>
                </w:tcPr>
                <w:p w14:paraId="156360C6">
                  <w:pPr>
                    <w:jc w:val="center"/>
                    <w:rPr>
                      <w:rFonts w:hint="default" w:ascii="Times New Roman" w:hAnsi="Times New Roman" w:eastAsia="宋体" w:cs="Times New Roman"/>
                      <w:bCs/>
                      <w:color w:val="auto"/>
                      <w:kern w:val="2"/>
                      <w:sz w:val="21"/>
                      <w:szCs w:val="21"/>
                      <w:lang w:val="en-US" w:eastAsia="zh-CN" w:bidi="ar-SA"/>
                    </w:rPr>
                  </w:pPr>
                  <w:r>
                    <w:rPr>
                      <w:rFonts w:hint="eastAsia"/>
                      <w:bCs/>
                      <w:color w:val="auto"/>
                      <w:szCs w:val="21"/>
                      <w:lang w:val="en-US" w:eastAsia="zh-CN"/>
                    </w:rPr>
                    <w:t>混料机、告诉搅拌机</w:t>
                  </w:r>
                  <w:r>
                    <w:rPr>
                      <w:bCs/>
                      <w:color w:val="auto"/>
                      <w:szCs w:val="21"/>
                    </w:rPr>
                    <w:t>上方设</w:t>
                  </w:r>
                  <w:r>
                    <w:rPr>
                      <w:rFonts w:hint="eastAsia"/>
                      <w:bCs/>
                      <w:color w:val="auto"/>
                      <w:szCs w:val="21"/>
                    </w:rPr>
                    <w:t>1</w:t>
                  </w:r>
                  <w:r>
                    <w:rPr>
                      <w:bCs/>
                      <w:color w:val="auto"/>
                      <w:szCs w:val="21"/>
                    </w:rPr>
                    <w:t>个集气罩，为</w:t>
                  </w:r>
                  <w:r>
                    <w:rPr>
                      <w:rFonts w:hint="eastAsia"/>
                      <w:bCs/>
                      <w:color w:val="auto"/>
                      <w:szCs w:val="21"/>
                    </w:rPr>
                    <w:t>方形</w:t>
                  </w:r>
                  <w:r>
                    <w:rPr>
                      <w:bCs/>
                      <w:color w:val="auto"/>
                      <w:szCs w:val="21"/>
                    </w:rPr>
                    <w:t>，</w:t>
                  </w:r>
                  <w:r>
                    <w:rPr>
                      <w:rFonts w:hint="eastAsia"/>
                      <w:bCs/>
                      <w:color w:val="auto"/>
                      <w:szCs w:val="21"/>
                    </w:rPr>
                    <w:t>长×宽</w:t>
                  </w:r>
                  <w:r>
                    <w:rPr>
                      <w:rFonts w:hint="eastAsia"/>
                      <w:bCs/>
                      <w:color w:val="auto"/>
                      <w:szCs w:val="21"/>
                      <w:lang w:val="en-US" w:eastAsia="zh-CN"/>
                    </w:rPr>
                    <w:t>2</w:t>
                  </w:r>
                  <w:r>
                    <w:rPr>
                      <w:rFonts w:hint="eastAsia"/>
                      <w:bCs/>
                      <w:color w:val="auto"/>
                      <w:szCs w:val="21"/>
                    </w:rPr>
                    <w:t>00×</w:t>
                  </w:r>
                  <w:r>
                    <w:rPr>
                      <w:rFonts w:hint="eastAsia"/>
                      <w:bCs/>
                      <w:color w:val="auto"/>
                      <w:szCs w:val="21"/>
                      <w:lang w:val="en-US" w:eastAsia="zh-CN"/>
                    </w:rPr>
                    <w:t>2</w:t>
                  </w:r>
                  <w:r>
                    <w:rPr>
                      <w:rFonts w:hint="eastAsia"/>
                      <w:bCs/>
                      <w:color w:val="auto"/>
                      <w:szCs w:val="21"/>
                    </w:rPr>
                    <w:t>00</w:t>
                  </w:r>
                  <w:r>
                    <w:rPr>
                      <w:bCs/>
                      <w:color w:val="auto"/>
                      <w:szCs w:val="21"/>
                    </w:rPr>
                    <w:t>mm，距污染源距离为</w:t>
                  </w:r>
                  <w:r>
                    <w:rPr>
                      <w:rFonts w:hint="eastAsia"/>
                      <w:bCs/>
                      <w:color w:val="auto"/>
                      <w:szCs w:val="21"/>
                      <w:lang w:val="en-US" w:eastAsia="zh-CN"/>
                    </w:rPr>
                    <w:t>0.5</w:t>
                  </w:r>
                  <w:r>
                    <w:rPr>
                      <w:rFonts w:hint="eastAsia"/>
                      <w:bCs/>
                      <w:color w:val="auto"/>
                      <w:szCs w:val="21"/>
                    </w:rPr>
                    <w:t>m，</w:t>
                  </w:r>
                  <w:r>
                    <w:rPr>
                      <w:rFonts w:hint="eastAsia"/>
                      <w:bCs/>
                      <w:color w:val="auto"/>
                      <w:szCs w:val="21"/>
                      <w:lang w:val="en-US" w:eastAsia="zh-CN"/>
                    </w:rPr>
                    <w:t>共6台设备</w:t>
                  </w:r>
                </w:p>
              </w:tc>
              <w:tc>
                <w:tcPr>
                  <w:tcW w:w="467" w:type="pct"/>
                  <w:noWrap w:val="0"/>
                  <w:tcMar>
                    <w:top w:w="0" w:type="dxa"/>
                    <w:left w:w="0" w:type="dxa"/>
                    <w:bottom w:w="0" w:type="dxa"/>
                    <w:right w:w="0" w:type="dxa"/>
                  </w:tcMar>
                  <w:vAlign w:val="center"/>
                </w:tcPr>
                <w:p w14:paraId="363D938F">
                  <w:pPr>
                    <w:jc w:val="center"/>
                    <w:rPr>
                      <w:rFonts w:hint="default"/>
                      <w:bCs/>
                      <w:color w:val="auto"/>
                      <w:szCs w:val="21"/>
                      <w:lang w:val="en-US" w:eastAsia="zh-CN"/>
                    </w:rPr>
                  </w:pPr>
                  <w:r>
                    <w:rPr>
                      <w:rFonts w:hint="eastAsia"/>
                      <w:bCs/>
                      <w:color w:val="auto"/>
                      <w:szCs w:val="21"/>
                      <w:lang w:val="en-US" w:eastAsia="zh-CN"/>
                    </w:rPr>
                    <w:t>2419.2</w:t>
                  </w:r>
                </w:p>
              </w:tc>
              <w:tc>
                <w:tcPr>
                  <w:tcW w:w="560" w:type="pct"/>
                  <w:shd w:val="clear" w:color="auto" w:fill="auto"/>
                  <w:noWrap w:val="0"/>
                  <w:tcMar>
                    <w:top w:w="0" w:type="dxa"/>
                    <w:left w:w="0" w:type="dxa"/>
                    <w:bottom w:w="0" w:type="dxa"/>
                    <w:right w:w="0" w:type="dxa"/>
                  </w:tcMar>
                  <w:vAlign w:val="center"/>
                </w:tcPr>
                <w:p w14:paraId="759CEF37">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Cs w:val="21"/>
                      <w:lang w:val="en-US" w:eastAsia="zh-CN"/>
                    </w:rPr>
                    <w:t>2419.2</w:t>
                  </w:r>
                </w:p>
              </w:tc>
              <w:tc>
                <w:tcPr>
                  <w:tcW w:w="613" w:type="pct"/>
                  <w:noWrap w:val="0"/>
                  <w:tcMar>
                    <w:top w:w="0" w:type="dxa"/>
                    <w:left w:w="0" w:type="dxa"/>
                    <w:bottom w:w="0" w:type="dxa"/>
                    <w:right w:w="0" w:type="dxa"/>
                  </w:tcMar>
                  <w:vAlign w:val="center"/>
                </w:tcPr>
                <w:p w14:paraId="2F39A652">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Cs w:val="21"/>
                      <w:lang w:val="en-US" w:eastAsia="zh-CN"/>
                    </w:rPr>
                    <w:t>3000</w:t>
                  </w:r>
                </w:p>
              </w:tc>
              <w:tc>
                <w:tcPr>
                  <w:tcW w:w="718" w:type="pct"/>
                  <w:noWrap w:val="0"/>
                  <w:tcMar>
                    <w:top w:w="0" w:type="dxa"/>
                    <w:left w:w="0" w:type="dxa"/>
                    <w:bottom w:w="0" w:type="dxa"/>
                    <w:right w:w="0" w:type="dxa"/>
                  </w:tcMar>
                  <w:vAlign w:val="center"/>
                </w:tcPr>
                <w:p w14:paraId="43705A38">
                  <w:pPr>
                    <w:jc w:val="center"/>
                    <w:rPr>
                      <w:rFonts w:ascii="Times New Roman" w:hAnsi="Times New Roman" w:eastAsia="宋体" w:cs="Times New Roman"/>
                      <w:bCs/>
                      <w:color w:val="auto"/>
                      <w:kern w:val="2"/>
                      <w:sz w:val="21"/>
                      <w:szCs w:val="21"/>
                      <w:lang w:val="en-US" w:eastAsia="zh-CN" w:bidi="ar-SA"/>
                    </w:rPr>
                  </w:pPr>
                  <w:r>
                    <w:rPr>
                      <w:bCs/>
                      <w:color w:val="auto"/>
                      <w:szCs w:val="21"/>
                    </w:rPr>
                    <w:t>考虑到在废气管道和处理装置中的风量损失，故本项目废气处理装置设计风量确定为</w:t>
                  </w:r>
                  <w:r>
                    <w:rPr>
                      <w:rFonts w:hint="eastAsia"/>
                      <w:bCs/>
                      <w:color w:val="auto"/>
                      <w:szCs w:val="21"/>
                      <w:lang w:val="en-US" w:eastAsia="zh-CN"/>
                    </w:rPr>
                    <w:t>3000</w:t>
                  </w:r>
                  <w:r>
                    <w:rPr>
                      <w:color w:val="auto"/>
                      <w:szCs w:val="21"/>
                    </w:rPr>
                    <w:t>m</w:t>
                  </w:r>
                  <w:r>
                    <w:rPr>
                      <w:color w:val="auto"/>
                      <w:szCs w:val="21"/>
                      <w:vertAlign w:val="superscript"/>
                    </w:rPr>
                    <w:t>3</w:t>
                  </w:r>
                  <w:r>
                    <w:rPr>
                      <w:color w:val="auto"/>
                      <w:szCs w:val="21"/>
                    </w:rPr>
                    <w:t>/h</w:t>
                  </w:r>
                </w:p>
              </w:tc>
              <w:tc>
                <w:tcPr>
                  <w:tcW w:w="725" w:type="pct"/>
                  <w:noWrap w:val="0"/>
                  <w:tcMar>
                    <w:top w:w="0" w:type="dxa"/>
                    <w:left w:w="0" w:type="dxa"/>
                    <w:bottom w:w="0" w:type="dxa"/>
                    <w:right w:w="0" w:type="dxa"/>
                  </w:tcMar>
                  <w:vAlign w:val="center"/>
                </w:tcPr>
                <w:p w14:paraId="6C0E7F59">
                  <w:pPr>
                    <w:jc w:val="center"/>
                    <w:rPr>
                      <w:rFonts w:hint="eastAsia" w:ascii="Times New Roman" w:hAnsi="Times New Roman" w:eastAsia="宋体" w:cs="Times New Roman"/>
                      <w:bCs/>
                      <w:color w:val="auto"/>
                      <w:kern w:val="2"/>
                      <w:sz w:val="21"/>
                      <w:szCs w:val="21"/>
                      <w:lang w:val="en-US" w:eastAsia="zh-CN" w:bidi="ar-SA"/>
                    </w:rPr>
                  </w:pPr>
                  <w:r>
                    <w:rPr>
                      <w:rFonts w:hint="eastAsia"/>
                      <w:color w:val="auto"/>
                      <w:kern w:val="2"/>
                      <w:sz w:val="21"/>
                      <w:szCs w:val="21"/>
                      <w:lang w:val="en-US" w:eastAsia="zh-CN"/>
                    </w:rPr>
                    <w:t>布袋除尘器</w:t>
                  </w:r>
                </w:p>
              </w:tc>
              <w:tc>
                <w:tcPr>
                  <w:tcW w:w="493" w:type="pct"/>
                  <w:noWrap w:val="0"/>
                  <w:tcMar>
                    <w:top w:w="0" w:type="dxa"/>
                    <w:left w:w="0" w:type="dxa"/>
                    <w:bottom w:w="0" w:type="dxa"/>
                    <w:right w:w="0" w:type="dxa"/>
                  </w:tcMar>
                  <w:vAlign w:val="center"/>
                </w:tcPr>
                <w:p w14:paraId="6917EFC8">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Cs w:val="21"/>
                    </w:rPr>
                    <w:t>通过</w:t>
                  </w:r>
                  <w:r>
                    <w:rPr>
                      <w:bCs/>
                      <w:color w:val="auto"/>
                      <w:szCs w:val="21"/>
                    </w:rPr>
                    <w:t>1根</w:t>
                  </w:r>
                  <w:r>
                    <w:rPr>
                      <w:rFonts w:hint="eastAsia"/>
                      <w:bCs/>
                      <w:color w:val="auto"/>
                      <w:szCs w:val="21"/>
                      <w:lang w:val="en-US" w:eastAsia="zh-CN"/>
                    </w:rPr>
                    <w:t>15</w:t>
                  </w:r>
                  <w:r>
                    <w:rPr>
                      <w:bCs/>
                      <w:color w:val="auto"/>
                      <w:szCs w:val="21"/>
                    </w:rPr>
                    <w:t>米高排气筒</w:t>
                  </w:r>
                  <w:r>
                    <w:rPr>
                      <w:rFonts w:hint="eastAsia"/>
                      <w:bCs/>
                      <w:color w:val="auto"/>
                      <w:szCs w:val="21"/>
                    </w:rPr>
                    <w:t>DA00</w:t>
                  </w:r>
                  <w:r>
                    <w:rPr>
                      <w:rFonts w:hint="eastAsia"/>
                      <w:bCs/>
                      <w:color w:val="auto"/>
                      <w:szCs w:val="21"/>
                      <w:lang w:val="en-US" w:eastAsia="zh-CN"/>
                    </w:rPr>
                    <w:t>1</w:t>
                  </w:r>
                </w:p>
              </w:tc>
            </w:tr>
          </w:tbl>
          <w:p w14:paraId="361EDDDC">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20" w:firstLineChars="200"/>
              <w:textAlignment w:val="auto"/>
              <w:rPr>
                <w:rFonts w:ascii="Times New Roman" w:hAnsi="Times New Roman" w:eastAsia="宋体" w:cs="Times New Roman"/>
                <w:b w:val="0"/>
                <w:bCs w:val="0"/>
                <w:color w:val="auto"/>
                <w:kern w:val="0"/>
                <w:szCs w:val="21"/>
              </w:rPr>
            </w:pPr>
            <w:r>
              <w:rPr>
                <w:rFonts w:ascii="Times New Roman" w:hAnsi="Times New Roman" w:eastAsia="宋体" w:cs="Times New Roman"/>
                <w:b w:val="0"/>
                <w:bCs w:val="0"/>
                <w:color w:val="auto"/>
                <w:kern w:val="0"/>
                <w:szCs w:val="21"/>
              </w:rPr>
              <w:t>（</w:t>
            </w:r>
            <w:r>
              <w:rPr>
                <w:rFonts w:hint="eastAsia" w:cs="Times New Roman"/>
                <w:b w:val="0"/>
                <w:bCs w:val="0"/>
                <w:color w:val="auto"/>
                <w:kern w:val="0"/>
                <w:szCs w:val="21"/>
                <w:lang w:val="en-US" w:eastAsia="zh-CN"/>
              </w:rPr>
              <w:t>3</w:t>
            </w:r>
            <w:r>
              <w:rPr>
                <w:rFonts w:ascii="Times New Roman" w:hAnsi="Times New Roman" w:eastAsia="宋体" w:cs="Times New Roman"/>
                <w:b w:val="0"/>
                <w:bCs w:val="0"/>
                <w:color w:val="auto"/>
                <w:kern w:val="0"/>
                <w:szCs w:val="21"/>
              </w:rPr>
              <w:t>）技术可行性分析</w:t>
            </w:r>
          </w:p>
          <w:p w14:paraId="7BE1A6FA">
            <w:pPr>
              <w:keepNext w:val="0"/>
              <w:keepLines w:val="0"/>
              <w:pageBreakBefore w:val="0"/>
              <w:suppressLineNumbers w:val="0"/>
              <w:kinsoku/>
              <w:overflowPunct/>
              <w:topLinePunct w:val="0"/>
              <w:bidi w:val="0"/>
              <w:spacing w:beforeAutospacing="0" w:after="0" w:afterAutospacing="0" w:line="360" w:lineRule="auto"/>
              <w:ind w:left="0" w:right="0" w:firstLine="420" w:firstLineChars="200"/>
              <w:textAlignment w:val="auto"/>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1）二级</w:t>
            </w:r>
            <w:r>
              <w:rPr>
                <w:rFonts w:hint="default" w:ascii="Times New Roman" w:hAnsi="Times New Roman" w:eastAsia="宋体" w:cs="Times New Roman"/>
                <w:bCs/>
                <w:color w:val="auto"/>
                <w:sz w:val="21"/>
                <w:szCs w:val="21"/>
              </w:rPr>
              <w:t>活性炭吸附装置</w:t>
            </w:r>
            <w:r>
              <w:rPr>
                <w:rFonts w:hint="default" w:ascii="Times New Roman" w:hAnsi="Times New Roman" w:eastAsia="宋体" w:cs="Times New Roman"/>
                <w:bCs/>
                <w:color w:val="auto"/>
                <w:sz w:val="21"/>
                <w:szCs w:val="21"/>
                <w:lang w:val="en-US" w:eastAsia="zh-CN"/>
              </w:rPr>
              <w:t>参数</w:t>
            </w:r>
          </w:p>
          <w:p w14:paraId="6EC8CDF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表4</w:t>
            </w:r>
            <w:r>
              <w:rPr>
                <w:rFonts w:hint="default" w:ascii="Times New Roman" w:hAnsi="Times New Roman" w:eastAsia="宋体" w:cs="Times New Roman"/>
                <w:b/>
                <w:bCs/>
                <w:color w:val="auto"/>
                <w:sz w:val="21"/>
                <w:szCs w:val="21"/>
                <w:lang w:val="en-US" w:eastAsia="zh-CN"/>
              </w:rPr>
              <w:t>-</w:t>
            </w:r>
            <w:r>
              <w:rPr>
                <w:rFonts w:hint="eastAsia" w:ascii="Times New Roman" w:hAnsi="Times New Roman" w:eastAsia="宋体" w:cs="Times New Roman"/>
                <w:b/>
                <w:bCs/>
                <w:color w:val="auto"/>
                <w:sz w:val="21"/>
                <w:szCs w:val="21"/>
                <w:lang w:val="en-US" w:eastAsia="zh-CN"/>
              </w:rPr>
              <w:t>6</w:t>
            </w:r>
            <w:r>
              <w:rPr>
                <w:rFonts w:hint="default" w:ascii="Times New Roman" w:hAnsi="Times New Roman" w:eastAsia="宋体" w:cs="Times New Roman"/>
                <w:b/>
                <w:bCs/>
                <w:color w:val="auto"/>
                <w:sz w:val="21"/>
                <w:szCs w:val="21"/>
                <w:lang w:val="en-US" w:eastAsia="zh-CN"/>
              </w:rPr>
              <w:t xml:space="preserve"> </w:t>
            </w:r>
            <w:r>
              <w:rPr>
                <w:rFonts w:hint="default" w:ascii="Times New Roman" w:hAnsi="Times New Roman" w:eastAsia="宋体" w:cs="Times New Roman"/>
                <w:b/>
                <w:bCs/>
                <w:color w:val="auto"/>
                <w:sz w:val="21"/>
                <w:szCs w:val="21"/>
              </w:rPr>
              <w:t>活性炭技术参数</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982"/>
              <w:gridCol w:w="2988"/>
              <w:gridCol w:w="1404"/>
              <w:gridCol w:w="3003"/>
            </w:tblGrid>
            <w:tr w14:paraId="5941EC6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22992395">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序号</w:t>
                  </w:r>
                </w:p>
              </w:tc>
              <w:tc>
                <w:tcPr>
                  <w:tcW w:w="1783" w:type="pct"/>
                  <w:noWrap w:val="0"/>
                  <w:tcMar>
                    <w:top w:w="0" w:type="dxa"/>
                    <w:left w:w="0" w:type="dxa"/>
                    <w:bottom w:w="0" w:type="dxa"/>
                    <w:right w:w="0" w:type="dxa"/>
                  </w:tcMar>
                  <w:vAlign w:val="center"/>
                </w:tcPr>
                <w:p w14:paraId="0FF48452">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项目</w:t>
                  </w:r>
                </w:p>
              </w:tc>
              <w:tc>
                <w:tcPr>
                  <w:tcW w:w="838" w:type="pct"/>
                  <w:noWrap w:val="0"/>
                  <w:tcMar>
                    <w:top w:w="0" w:type="dxa"/>
                    <w:left w:w="0" w:type="dxa"/>
                    <w:bottom w:w="0" w:type="dxa"/>
                    <w:right w:w="0" w:type="dxa"/>
                  </w:tcMar>
                  <w:vAlign w:val="center"/>
                </w:tcPr>
                <w:p w14:paraId="30A89C2F">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单位</w:t>
                  </w:r>
                </w:p>
              </w:tc>
              <w:tc>
                <w:tcPr>
                  <w:tcW w:w="1791" w:type="pct"/>
                  <w:noWrap w:val="0"/>
                  <w:tcMar>
                    <w:top w:w="0" w:type="dxa"/>
                    <w:left w:w="0" w:type="dxa"/>
                    <w:bottom w:w="0" w:type="dxa"/>
                    <w:right w:w="0" w:type="dxa"/>
                  </w:tcMar>
                  <w:vAlign w:val="center"/>
                </w:tcPr>
                <w:p w14:paraId="602D029E">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lang w:val="en-US" w:eastAsia="zh-CN"/>
                    </w:rPr>
                    <w:t>TA00</w:t>
                  </w:r>
                  <w:r>
                    <w:rPr>
                      <w:rFonts w:hint="eastAsia" w:ascii="Times New Roman" w:hAnsi="Times New Roman" w:eastAsia="宋体" w:cs="Times New Roman"/>
                      <w:b/>
                      <w:color w:val="auto"/>
                      <w:szCs w:val="21"/>
                      <w:lang w:val="en-US" w:eastAsia="zh-CN"/>
                    </w:rPr>
                    <w:t>1</w:t>
                  </w:r>
                  <w:r>
                    <w:rPr>
                      <w:rFonts w:hint="default" w:ascii="Times New Roman" w:hAnsi="Times New Roman" w:eastAsia="宋体" w:cs="Times New Roman"/>
                      <w:b/>
                      <w:color w:val="auto"/>
                      <w:szCs w:val="21"/>
                    </w:rPr>
                    <w:t>技术指标</w:t>
                  </w:r>
                </w:p>
              </w:tc>
            </w:tr>
            <w:tr w14:paraId="2EE0D6E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0D46B5C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w:t>
                  </w:r>
                </w:p>
              </w:tc>
              <w:tc>
                <w:tcPr>
                  <w:tcW w:w="1783" w:type="pct"/>
                  <w:noWrap w:val="0"/>
                  <w:tcMar>
                    <w:top w:w="0" w:type="dxa"/>
                    <w:left w:w="0" w:type="dxa"/>
                    <w:bottom w:w="0" w:type="dxa"/>
                    <w:right w:w="0" w:type="dxa"/>
                  </w:tcMar>
                  <w:vAlign w:val="center"/>
                </w:tcPr>
                <w:p w14:paraId="346B948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单级活性炭吸附箱尺寸</w:t>
                  </w:r>
                </w:p>
              </w:tc>
              <w:tc>
                <w:tcPr>
                  <w:tcW w:w="838" w:type="pct"/>
                  <w:noWrap w:val="0"/>
                  <w:tcMar>
                    <w:top w:w="0" w:type="dxa"/>
                    <w:left w:w="0" w:type="dxa"/>
                    <w:bottom w:w="0" w:type="dxa"/>
                    <w:right w:w="0" w:type="dxa"/>
                  </w:tcMar>
                  <w:vAlign w:val="center"/>
                </w:tcPr>
                <w:p w14:paraId="377A350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m</w:t>
                  </w:r>
                </w:p>
              </w:tc>
              <w:tc>
                <w:tcPr>
                  <w:tcW w:w="1791" w:type="pct"/>
                  <w:noWrap w:val="0"/>
                  <w:tcMar>
                    <w:top w:w="0" w:type="dxa"/>
                    <w:left w:w="0" w:type="dxa"/>
                    <w:bottom w:w="0" w:type="dxa"/>
                    <w:right w:w="0" w:type="dxa"/>
                  </w:tcMar>
                  <w:vAlign w:val="center"/>
                </w:tcPr>
                <w:p w14:paraId="2C7F798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3</w:t>
                  </w:r>
                  <w:r>
                    <w:rPr>
                      <w:rFonts w:hint="default" w:ascii="Times New Roman" w:hAnsi="Times New Roman" w:eastAsia="宋体" w:cs="Times New Roman"/>
                      <w:color w:val="auto"/>
                      <w:szCs w:val="21"/>
                    </w:rPr>
                    <w:t>m*</w:t>
                  </w:r>
                  <w:r>
                    <w:rPr>
                      <w:rFonts w:hint="eastAsia" w:ascii="Times New Roman" w:hAnsi="Times New Roman" w:eastAsia="宋体" w:cs="Times New Roman"/>
                      <w:color w:val="auto"/>
                      <w:szCs w:val="21"/>
                      <w:lang w:val="en-US" w:eastAsia="zh-CN"/>
                    </w:rPr>
                    <w:t>3</w:t>
                  </w:r>
                  <w:r>
                    <w:rPr>
                      <w:rFonts w:hint="default" w:ascii="Times New Roman" w:hAnsi="Times New Roman" w:eastAsia="宋体" w:cs="Times New Roman"/>
                      <w:color w:val="auto"/>
                      <w:szCs w:val="21"/>
                    </w:rPr>
                    <w:t>m*</w:t>
                  </w:r>
                  <w:r>
                    <w:rPr>
                      <w:rFonts w:hint="default" w:ascii="Times New Roman" w:hAnsi="Times New Roman" w:eastAsia="宋体" w:cs="Times New Roman"/>
                      <w:color w:val="auto"/>
                      <w:szCs w:val="21"/>
                      <w:lang w:val="en-US" w:eastAsia="zh-CN"/>
                    </w:rPr>
                    <w:t>1.5</w:t>
                  </w:r>
                  <w:r>
                    <w:rPr>
                      <w:rFonts w:hint="default" w:ascii="Times New Roman" w:hAnsi="Times New Roman" w:eastAsia="宋体" w:cs="Times New Roman"/>
                      <w:color w:val="auto"/>
                      <w:szCs w:val="21"/>
                    </w:rPr>
                    <w:t>m</w:t>
                  </w:r>
                </w:p>
              </w:tc>
            </w:tr>
            <w:tr w14:paraId="396476D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6522223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w:t>
                  </w:r>
                </w:p>
              </w:tc>
              <w:tc>
                <w:tcPr>
                  <w:tcW w:w="1783" w:type="pct"/>
                  <w:noWrap w:val="0"/>
                  <w:tcMar>
                    <w:top w:w="0" w:type="dxa"/>
                    <w:left w:w="0" w:type="dxa"/>
                    <w:bottom w:w="0" w:type="dxa"/>
                    <w:right w:w="0" w:type="dxa"/>
                  </w:tcMar>
                  <w:vAlign w:val="center"/>
                </w:tcPr>
                <w:p w14:paraId="537893A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填充物</w:t>
                  </w:r>
                </w:p>
              </w:tc>
              <w:tc>
                <w:tcPr>
                  <w:tcW w:w="838" w:type="pct"/>
                  <w:noWrap w:val="0"/>
                  <w:tcMar>
                    <w:top w:w="0" w:type="dxa"/>
                    <w:left w:w="0" w:type="dxa"/>
                    <w:bottom w:w="0" w:type="dxa"/>
                    <w:right w:w="0" w:type="dxa"/>
                  </w:tcMar>
                  <w:vAlign w:val="center"/>
                </w:tcPr>
                <w:p w14:paraId="5BEBC32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eastAsia="zh-CN"/>
                    </w:rPr>
                    <w:t>—</w:t>
                  </w:r>
                </w:p>
              </w:tc>
              <w:tc>
                <w:tcPr>
                  <w:tcW w:w="1791" w:type="pct"/>
                  <w:noWrap w:val="0"/>
                  <w:tcMar>
                    <w:top w:w="0" w:type="dxa"/>
                    <w:left w:w="0" w:type="dxa"/>
                    <w:bottom w:w="0" w:type="dxa"/>
                    <w:right w:w="0" w:type="dxa"/>
                  </w:tcMar>
                  <w:vAlign w:val="center"/>
                </w:tcPr>
                <w:p w14:paraId="4FB6293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蜂窝式活性炭</w:t>
                  </w:r>
                </w:p>
              </w:tc>
            </w:tr>
            <w:tr w14:paraId="39A7450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03E0FCD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w:t>
                  </w:r>
                </w:p>
              </w:tc>
              <w:tc>
                <w:tcPr>
                  <w:tcW w:w="1783" w:type="pct"/>
                  <w:noWrap w:val="0"/>
                  <w:tcMar>
                    <w:top w:w="0" w:type="dxa"/>
                    <w:left w:w="0" w:type="dxa"/>
                    <w:bottom w:w="0" w:type="dxa"/>
                    <w:right w:w="0" w:type="dxa"/>
                  </w:tcMar>
                  <w:vAlign w:val="center"/>
                </w:tcPr>
                <w:p w14:paraId="2D29C25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活性炭</w:t>
                  </w:r>
                  <w:r>
                    <w:rPr>
                      <w:rFonts w:hint="default" w:ascii="Times New Roman" w:hAnsi="Times New Roman" w:eastAsia="宋体" w:cs="Times New Roman"/>
                      <w:color w:val="auto"/>
                      <w:szCs w:val="21"/>
                    </w:rPr>
                    <w:t>碘值</w:t>
                  </w:r>
                </w:p>
              </w:tc>
              <w:tc>
                <w:tcPr>
                  <w:tcW w:w="838" w:type="pct"/>
                  <w:noWrap w:val="0"/>
                  <w:tcMar>
                    <w:top w:w="0" w:type="dxa"/>
                    <w:left w:w="0" w:type="dxa"/>
                    <w:bottom w:w="0" w:type="dxa"/>
                    <w:right w:w="0" w:type="dxa"/>
                  </w:tcMar>
                  <w:vAlign w:val="center"/>
                </w:tcPr>
                <w:p w14:paraId="63DE7F8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mg/g</w:t>
                  </w:r>
                </w:p>
              </w:tc>
              <w:tc>
                <w:tcPr>
                  <w:tcW w:w="1791" w:type="pct"/>
                  <w:noWrap w:val="0"/>
                  <w:tcMar>
                    <w:top w:w="0" w:type="dxa"/>
                    <w:left w:w="0" w:type="dxa"/>
                    <w:bottom w:w="0" w:type="dxa"/>
                    <w:right w:w="0" w:type="dxa"/>
                  </w:tcMar>
                  <w:vAlign w:val="center"/>
                </w:tcPr>
                <w:p w14:paraId="0D2592E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650</w:t>
                  </w:r>
                </w:p>
              </w:tc>
            </w:tr>
            <w:tr w14:paraId="4E45B0F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29821C5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w:t>
                  </w:r>
                </w:p>
              </w:tc>
              <w:tc>
                <w:tcPr>
                  <w:tcW w:w="1783" w:type="pct"/>
                  <w:noWrap w:val="0"/>
                  <w:tcMar>
                    <w:top w:w="0" w:type="dxa"/>
                    <w:left w:w="0" w:type="dxa"/>
                    <w:bottom w:w="0" w:type="dxa"/>
                    <w:right w:w="0" w:type="dxa"/>
                  </w:tcMar>
                  <w:vAlign w:val="center"/>
                </w:tcPr>
                <w:p w14:paraId="5803512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活性炭</w:t>
                  </w:r>
                  <w:r>
                    <w:rPr>
                      <w:rFonts w:hint="default" w:ascii="Times New Roman" w:hAnsi="Times New Roman" w:eastAsia="宋体" w:cs="Times New Roman"/>
                      <w:color w:val="auto"/>
                      <w:szCs w:val="21"/>
                    </w:rPr>
                    <w:t>密度</w:t>
                  </w:r>
                </w:p>
              </w:tc>
              <w:tc>
                <w:tcPr>
                  <w:tcW w:w="838" w:type="pct"/>
                  <w:noWrap w:val="0"/>
                  <w:tcMar>
                    <w:top w:w="0" w:type="dxa"/>
                    <w:left w:w="0" w:type="dxa"/>
                    <w:bottom w:w="0" w:type="dxa"/>
                    <w:right w:w="0" w:type="dxa"/>
                  </w:tcMar>
                  <w:vAlign w:val="center"/>
                </w:tcPr>
                <w:p w14:paraId="19CDEF2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g/cm</w:t>
                  </w:r>
                  <w:r>
                    <w:rPr>
                      <w:rFonts w:hint="default" w:ascii="Times New Roman" w:hAnsi="Times New Roman" w:eastAsia="宋体" w:cs="Times New Roman"/>
                      <w:color w:val="auto"/>
                      <w:szCs w:val="21"/>
                      <w:vertAlign w:val="superscript"/>
                    </w:rPr>
                    <w:t>3</w:t>
                  </w:r>
                </w:p>
              </w:tc>
              <w:tc>
                <w:tcPr>
                  <w:tcW w:w="1791" w:type="pct"/>
                  <w:noWrap w:val="0"/>
                  <w:tcMar>
                    <w:top w:w="0" w:type="dxa"/>
                    <w:left w:w="0" w:type="dxa"/>
                    <w:bottom w:w="0" w:type="dxa"/>
                    <w:right w:w="0" w:type="dxa"/>
                  </w:tcMar>
                  <w:vAlign w:val="center"/>
                </w:tcPr>
                <w:p w14:paraId="46748E4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0.5</w:t>
                  </w:r>
                </w:p>
              </w:tc>
            </w:tr>
            <w:tr w14:paraId="1A61C2F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3C7EEA3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w:t>
                  </w:r>
                </w:p>
              </w:tc>
              <w:tc>
                <w:tcPr>
                  <w:tcW w:w="1783" w:type="pct"/>
                  <w:noWrap w:val="0"/>
                  <w:tcMar>
                    <w:top w:w="0" w:type="dxa"/>
                    <w:left w:w="0" w:type="dxa"/>
                    <w:bottom w:w="0" w:type="dxa"/>
                    <w:right w:w="0" w:type="dxa"/>
                  </w:tcMar>
                  <w:vAlign w:val="center"/>
                </w:tcPr>
                <w:p w14:paraId="6355AA9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过滤风速</w:t>
                  </w:r>
                </w:p>
              </w:tc>
              <w:tc>
                <w:tcPr>
                  <w:tcW w:w="838" w:type="pct"/>
                  <w:noWrap w:val="0"/>
                  <w:tcMar>
                    <w:top w:w="0" w:type="dxa"/>
                    <w:left w:w="0" w:type="dxa"/>
                    <w:bottom w:w="0" w:type="dxa"/>
                    <w:right w:w="0" w:type="dxa"/>
                  </w:tcMar>
                  <w:vAlign w:val="center"/>
                </w:tcPr>
                <w:p w14:paraId="33EF29E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m/s</w:t>
                  </w:r>
                </w:p>
              </w:tc>
              <w:tc>
                <w:tcPr>
                  <w:tcW w:w="1791" w:type="pct"/>
                  <w:noWrap w:val="0"/>
                  <w:tcMar>
                    <w:top w:w="0" w:type="dxa"/>
                    <w:left w:w="0" w:type="dxa"/>
                    <w:bottom w:w="0" w:type="dxa"/>
                    <w:right w:w="0" w:type="dxa"/>
                  </w:tcMar>
                  <w:vAlign w:val="center"/>
                </w:tcPr>
                <w:p w14:paraId="00180DD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0.93</w:t>
                  </w:r>
                </w:p>
              </w:tc>
            </w:tr>
            <w:tr w14:paraId="265FE4D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60B25B3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w:t>
                  </w:r>
                </w:p>
              </w:tc>
              <w:tc>
                <w:tcPr>
                  <w:tcW w:w="1783" w:type="pct"/>
                  <w:noWrap w:val="0"/>
                  <w:tcMar>
                    <w:top w:w="0" w:type="dxa"/>
                    <w:left w:w="0" w:type="dxa"/>
                    <w:bottom w:w="0" w:type="dxa"/>
                    <w:right w:w="0" w:type="dxa"/>
                  </w:tcMar>
                  <w:vAlign w:val="center"/>
                </w:tcPr>
                <w:p w14:paraId="209C25D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设备数量</w:t>
                  </w:r>
                </w:p>
              </w:tc>
              <w:tc>
                <w:tcPr>
                  <w:tcW w:w="838" w:type="pct"/>
                  <w:noWrap w:val="0"/>
                  <w:tcMar>
                    <w:top w:w="0" w:type="dxa"/>
                    <w:left w:w="0" w:type="dxa"/>
                    <w:bottom w:w="0" w:type="dxa"/>
                    <w:right w:w="0" w:type="dxa"/>
                  </w:tcMar>
                  <w:vAlign w:val="center"/>
                </w:tcPr>
                <w:p w14:paraId="4091899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台</w:t>
                  </w:r>
                </w:p>
              </w:tc>
              <w:tc>
                <w:tcPr>
                  <w:tcW w:w="1791" w:type="pct"/>
                  <w:noWrap w:val="0"/>
                  <w:tcMar>
                    <w:top w:w="0" w:type="dxa"/>
                    <w:left w:w="0" w:type="dxa"/>
                    <w:bottom w:w="0" w:type="dxa"/>
                    <w:right w:w="0" w:type="dxa"/>
                  </w:tcMar>
                  <w:vAlign w:val="center"/>
                </w:tcPr>
                <w:p w14:paraId="1838D01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2</w:t>
                  </w:r>
                </w:p>
              </w:tc>
            </w:tr>
            <w:tr w14:paraId="04FD2C1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2AF1A41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7</w:t>
                  </w:r>
                </w:p>
              </w:tc>
              <w:tc>
                <w:tcPr>
                  <w:tcW w:w="1783" w:type="pct"/>
                  <w:noWrap w:val="0"/>
                  <w:tcMar>
                    <w:top w:w="0" w:type="dxa"/>
                    <w:left w:w="0" w:type="dxa"/>
                    <w:bottom w:w="0" w:type="dxa"/>
                    <w:right w:w="0" w:type="dxa"/>
                  </w:tcMar>
                  <w:vAlign w:val="center"/>
                </w:tcPr>
                <w:p w14:paraId="4DFBA23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填充量</w:t>
                  </w:r>
                </w:p>
              </w:tc>
              <w:tc>
                <w:tcPr>
                  <w:tcW w:w="838" w:type="pct"/>
                  <w:noWrap w:val="0"/>
                  <w:tcMar>
                    <w:top w:w="0" w:type="dxa"/>
                    <w:left w:w="0" w:type="dxa"/>
                    <w:bottom w:w="0" w:type="dxa"/>
                    <w:right w:w="0" w:type="dxa"/>
                  </w:tcMar>
                  <w:vAlign w:val="center"/>
                </w:tcPr>
                <w:p w14:paraId="419CB92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t/a</w:t>
                  </w:r>
                </w:p>
              </w:tc>
              <w:tc>
                <w:tcPr>
                  <w:tcW w:w="1791" w:type="pct"/>
                  <w:noWrap w:val="0"/>
                  <w:tcMar>
                    <w:top w:w="0" w:type="dxa"/>
                    <w:left w:w="0" w:type="dxa"/>
                    <w:bottom w:w="0" w:type="dxa"/>
                    <w:right w:w="0" w:type="dxa"/>
                  </w:tcMar>
                  <w:vAlign w:val="center"/>
                </w:tcPr>
                <w:p w14:paraId="1B17D51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二</w:t>
                  </w:r>
                  <w:r>
                    <w:rPr>
                      <w:rFonts w:hint="default" w:ascii="Times New Roman" w:hAnsi="Times New Roman" w:eastAsia="宋体" w:cs="Times New Roman"/>
                      <w:color w:val="auto"/>
                      <w:kern w:val="2"/>
                      <w:sz w:val="21"/>
                      <w:szCs w:val="21"/>
                      <w:lang w:val="en-US" w:eastAsia="zh-CN" w:bidi="ar-SA"/>
                    </w:rPr>
                    <w:t>级，</w:t>
                  </w:r>
                  <w:r>
                    <w:rPr>
                      <w:rFonts w:hint="eastAsia" w:ascii="Times New Roman" w:hAnsi="Times New Roman" w:eastAsia="宋体" w:cs="Times New Roman"/>
                      <w:color w:val="auto"/>
                      <w:kern w:val="2"/>
                      <w:sz w:val="21"/>
                      <w:szCs w:val="21"/>
                      <w:lang w:val="en-US" w:eastAsia="zh-CN" w:bidi="ar-SA"/>
                    </w:rPr>
                    <w:t>1.4</w:t>
                  </w:r>
                  <w:r>
                    <w:rPr>
                      <w:rFonts w:hint="default" w:ascii="Times New Roman" w:hAnsi="Times New Roman" w:eastAsia="宋体" w:cs="Times New Roman"/>
                      <w:color w:val="auto"/>
                      <w:kern w:val="2"/>
                      <w:sz w:val="21"/>
                      <w:szCs w:val="21"/>
                      <w:lang w:val="en-US" w:eastAsia="zh-CN" w:bidi="ar-SA"/>
                    </w:rPr>
                    <w:t>t</w:t>
                  </w:r>
                </w:p>
              </w:tc>
            </w:tr>
            <w:tr w14:paraId="3D4BF81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1976033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8</w:t>
                  </w:r>
                </w:p>
              </w:tc>
              <w:tc>
                <w:tcPr>
                  <w:tcW w:w="1783" w:type="pct"/>
                  <w:noWrap w:val="0"/>
                  <w:tcMar>
                    <w:top w:w="0" w:type="dxa"/>
                    <w:left w:w="0" w:type="dxa"/>
                    <w:bottom w:w="0" w:type="dxa"/>
                    <w:right w:w="0" w:type="dxa"/>
                  </w:tcMar>
                  <w:vAlign w:val="center"/>
                </w:tcPr>
                <w:p w14:paraId="1B6C263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填充层</w:t>
                  </w:r>
                </w:p>
              </w:tc>
              <w:tc>
                <w:tcPr>
                  <w:tcW w:w="838" w:type="pct"/>
                  <w:noWrap w:val="0"/>
                  <w:tcMar>
                    <w:top w:w="0" w:type="dxa"/>
                    <w:left w:w="0" w:type="dxa"/>
                    <w:bottom w:w="0" w:type="dxa"/>
                    <w:right w:w="0" w:type="dxa"/>
                  </w:tcMar>
                  <w:vAlign w:val="center"/>
                </w:tcPr>
                <w:p w14:paraId="0A3BDA5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val="0"/>
                      <w:bCs w:val="0"/>
                      <w:color w:val="auto"/>
                      <w:sz w:val="21"/>
                      <w:szCs w:val="21"/>
                      <w:vertAlign w:val="baseline"/>
                      <w:lang w:val="en-US" w:eastAsia="zh-CN"/>
                    </w:rPr>
                    <w:t>层</w:t>
                  </w:r>
                </w:p>
              </w:tc>
              <w:tc>
                <w:tcPr>
                  <w:tcW w:w="1791" w:type="pct"/>
                  <w:noWrap w:val="0"/>
                  <w:tcMar>
                    <w:top w:w="0" w:type="dxa"/>
                    <w:left w:w="0" w:type="dxa"/>
                    <w:bottom w:w="0" w:type="dxa"/>
                    <w:right w:w="0" w:type="dxa"/>
                  </w:tcMar>
                  <w:vAlign w:val="center"/>
                </w:tcPr>
                <w:p w14:paraId="6F4E62F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2</w:t>
                  </w:r>
                </w:p>
              </w:tc>
            </w:tr>
            <w:tr w14:paraId="780B2F2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11613E3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9</w:t>
                  </w:r>
                </w:p>
              </w:tc>
              <w:tc>
                <w:tcPr>
                  <w:tcW w:w="1783" w:type="pct"/>
                  <w:noWrap w:val="0"/>
                  <w:tcMar>
                    <w:top w:w="0" w:type="dxa"/>
                    <w:left w:w="0" w:type="dxa"/>
                    <w:bottom w:w="0" w:type="dxa"/>
                    <w:right w:w="0" w:type="dxa"/>
                  </w:tcMar>
                  <w:vAlign w:val="center"/>
                </w:tcPr>
                <w:p w14:paraId="256E691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更换周期</w:t>
                  </w:r>
                </w:p>
              </w:tc>
              <w:tc>
                <w:tcPr>
                  <w:tcW w:w="838" w:type="pct"/>
                  <w:noWrap w:val="0"/>
                  <w:tcMar>
                    <w:top w:w="0" w:type="dxa"/>
                    <w:left w:w="0" w:type="dxa"/>
                    <w:bottom w:w="0" w:type="dxa"/>
                    <w:right w:w="0" w:type="dxa"/>
                  </w:tcMar>
                  <w:vAlign w:val="center"/>
                </w:tcPr>
                <w:p w14:paraId="54E47A7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eastAsia="zh-CN"/>
                    </w:rPr>
                    <w:t>—</w:t>
                  </w:r>
                </w:p>
              </w:tc>
              <w:tc>
                <w:tcPr>
                  <w:tcW w:w="1791" w:type="pct"/>
                  <w:noWrap w:val="0"/>
                  <w:tcMar>
                    <w:top w:w="0" w:type="dxa"/>
                    <w:left w:w="0" w:type="dxa"/>
                    <w:bottom w:w="0" w:type="dxa"/>
                    <w:right w:w="0" w:type="dxa"/>
                  </w:tcMar>
                  <w:vAlign w:val="center"/>
                </w:tcPr>
                <w:p w14:paraId="1F6BB1A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每</w:t>
                  </w:r>
                  <w:r>
                    <w:rPr>
                      <w:rFonts w:hint="eastAsia" w:ascii="Times New Roman" w:hAnsi="Times New Roman" w:eastAsia="宋体" w:cs="Times New Roman"/>
                      <w:color w:val="auto"/>
                      <w:szCs w:val="21"/>
                      <w:lang w:val="en-US" w:eastAsia="zh-CN"/>
                    </w:rPr>
                    <w:t>3</w:t>
                  </w:r>
                  <w:r>
                    <w:rPr>
                      <w:rFonts w:hint="default" w:ascii="Times New Roman" w:hAnsi="Times New Roman" w:eastAsia="宋体" w:cs="Times New Roman"/>
                      <w:color w:val="auto"/>
                      <w:szCs w:val="21"/>
                    </w:rPr>
                    <w:t>月更换</w:t>
                  </w:r>
                  <w:r>
                    <w:rPr>
                      <w:rFonts w:hint="default" w:ascii="Times New Roman" w:hAnsi="Times New Roman" w:eastAsia="宋体" w:cs="Times New Roman"/>
                      <w:color w:val="auto"/>
                      <w:szCs w:val="21"/>
                      <w:lang w:val="en-US" w:eastAsia="zh-CN"/>
                    </w:rPr>
                    <w:t>1</w:t>
                  </w:r>
                  <w:r>
                    <w:rPr>
                      <w:rFonts w:hint="default" w:ascii="Times New Roman" w:hAnsi="Times New Roman" w:eastAsia="宋体" w:cs="Times New Roman"/>
                      <w:color w:val="auto"/>
                      <w:szCs w:val="21"/>
                    </w:rPr>
                    <w:t>次</w:t>
                  </w:r>
                </w:p>
              </w:tc>
            </w:tr>
            <w:tr w14:paraId="741E6FE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2197E20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10</w:t>
                  </w:r>
                </w:p>
              </w:tc>
              <w:tc>
                <w:tcPr>
                  <w:tcW w:w="1783" w:type="pct"/>
                  <w:vMerge w:val="restart"/>
                  <w:noWrap w:val="0"/>
                  <w:tcMar>
                    <w:top w:w="0" w:type="dxa"/>
                    <w:left w:w="0" w:type="dxa"/>
                    <w:bottom w:w="0" w:type="dxa"/>
                    <w:right w:w="0" w:type="dxa"/>
                  </w:tcMar>
                  <w:vAlign w:val="center"/>
                </w:tcPr>
                <w:p w14:paraId="7B656DC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 w:val="0"/>
                      <w:bCs w:val="0"/>
                      <w:color w:val="auto"/>
                      <w:sz w:val="21"/>
                      <w:szCs w:val="21"/>
                      <w:vertAlign w:val="baseline"/>
                      <w:lang w:eastAsia="zh-CN"/>
                    </w:rPr>
                    <w:t>排气筒参数</w:t>
                  </w:r>
                </w:p>
              </w:tc>
              <w:tc>
                <w:tcPr>
                  <w:tcW w:w="838" w:type="pct"/>
                  <w:noWrap w:val="0"/>
                  <w:tcMar>
                    <w:top w:w="0" w:type="dxa"/>
                    <w:left w:w="0" w:type="dxa"/>
                    <w:bottom w:w="0" w:type="dxa"/>
                    <w:right w:w="0" w:type="dxa"/>
                  </w:tcMar>
                  <w:vAlign w:val="center"/>
                </w:tcPr>
                <w:p w14:paraId="723C47C1">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高度</w:t>
                  </w:r>
                </w:p>
              </w:tc>
              <w:tc>
                <w:tcPr>
                  <w:tcW w:w="1791" w:type="pct"/>
                  <w:noWrap w:val="0"/>
                  <w:tcMar>
                    <w:top w:w="0" w:type="dxa"/>
                    <w:left w:w="0" w:type="dxa"/>
                    <w:bottom w:w="0" w:type="dxa"/>
                    <w:right w:w="0" w:type="dxa"/>
                  </w:tcMar>
                  <w:vAlign w:val="center"/>
                </w:tcPr>
                <w:p w14:paraId="73624A0C">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15</w:t>
                  </w:r>
                </w:p>
              </w:tc>
            </w:tr>
            <w:tr w14:paraId="0FF2ABC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73CD1DF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11</w:t>
                  </w:r>
                </w:p>
              </w:tc>
              <w:tc>
                <w:tcPr>
                  <w:tcW w:w="1783" w:type="pct"/>
                  <w:vMerge w:val="continue"/>
                  <w:noWrap w:val="0"/>
                  <w:tcMar>
                    <w:top w:w="0" w:type="dxa"/>
                    <w:left w:w="0" w:type="dxa"/>
                    <w:bottom w:w="0" w:type="dxa"/>
                    <w:right w:w="0" w:type="dxa"/>
                  </w:tcMar>
                  <w:vAlign w:val="center"/>
                </w:tcPr>
                <w:p w14:paraId="02EB8D4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p>
              </w:tc>
              <w:tc>
                <w:tcPr>
                  <w:tcW w:w="838" w:type="pct"/>
                  <w:noWrap w:val="0"/>
                  <w:tcMar>
                    <w:top w:w="0" w:type="dxa"/>
                    <w:left w:w="0" w:type="dxa"/>
                    <w:bottom w:w="0" w:type="dxa"/>
                    <w:right w:w="0" w:type="dxa"/>
                  </w:tcMar>
                  <w:vAlign w:val="center"/>
                </w:tcPr>
                <w:p w14:paraId="504EC402">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eastAsia="宋体" w:cs="Times New Roman"/>
                      <w:b w:val="0"/>
                      <w:bCs w:val="0"/>
                      <w:color w:val="auto"/>
                      <w:sz w:val="21"/>
                      <w:szCs w:val="21"/>
                      <w:vertAlign w:val="baseline"/>
                      <w:lang w:val="en-US" w:eastAsia="zh-CN"/>
                    </w:rPr>
                    <w:t>直径</w:t>
                  </w:r>
                </w:p>
              </w:tc>
              <w:tc>
                <w:tcPr>
                  <w:tcW w:w="1791" w:type="pct"/>
                  <w:noWrap w:val="0"/>
                  <w:tcMar>
                    <w:top w:w="0" w:type="dxa"/>
                    <w:left w:w="0" w:type="dxa"/>
                    <w:bottom w:w="0" w:type="dxa"/>
                    <w:right w:w="0" w:type="dxa"/>
                  </w:tcMar>
                  <w:vAlign w:val="center"/>
                </w:tcPr>
                <w:p w14:paraId="6D36AFDC">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auto"/>
                      <w:kern w:val="2"/>
                      <w:sz w:val="21"/>
                      <w:szCs w:val="21"/>
                      <w:vertAlign w:val="baseline"/>
                      <w:lang w:val="en-US" w:eastAsia="zh-CN" w:bidi="ar-SA"/>
                    </w:rPr>
                  </w:pPr>
                  <w:r>
                    <w:rPr>
                      <w:rFonts w:hint="eastAsia" w:ascii="Times New Roman" w:hAnsi="Times New Roman" w:eastAsia="宋体" w:cs="Times New Roman"/>
                      <w:bCs/>
                      <w:color w:val="auto"/>
                      <w:sz w:val="21"/>
                      <w:szCs w:val="21"/>
                      <w:lang w:val="en-US" w:eastAsia="zh-CN"/>
                    </w:rPr>
                    <w:t>0.5</w:t>
                  </w:r>
                  <w:r>
                    <w:rPr>
                      <w:rFonts w:hint="default" w:ascii="Times New Roman" w:hAnsi="Times New Roman" w:eastAsia="宋体" w:cs="Times New Roman"/>
                      <w:b w:val="0"/>
                      <w:bCs w:val="0"/>
                      <w:color w:val="auto"/>
                      <w:sz w:val="21"/>
                      <w:szCs w:val="21"/>
                      <w:vertAlign w:val="baseline"/>
                      <w:lang w:val="en-US" w:eastAsia="zh-CN"/>
                    </w:rPr>
                    <w:t>m</w:t>
                  </w:r>
                </w:p>
              </w:tc>
            </w:tr>
            <w:tr w14:paraId="28EE892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6" w:type="pct"/>
                  <w:noWrap w:val="0"/>
                  <w:tcMar>
                    <w:top w:w="0" w:type="dxa"/>
                    <w:left w:w="0" w:type="dxa"/>
                    <w:bottom w:w="0" w:type="dxa"/>
                    <w:right w:w="0" w:type="dxa"/>
                  </w:tcMar>
                  <w:vAlign w:val="center"/>
                </w:tcPr>
                <w:p w14:paraId="4A2E160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12</w:t>
                  </w:r>
                </w:p>
              </w:tc>
              <w:tc>
                <w:tcPr>
                  <w:tcW w:w="1783" w:type="pct"/>
                  <w:vMerge w:val="continue"/>
                  <w:noWrap w:val="0"/>
                  <w:tcMar>
                    <w:top w:w="0" w:type="dxa"/>
                    <w:left w:w="0" w:type="dxa"/>
                    <w:bottom w:w="0" w:type="dxa"/>
                    <w:right w:w="0" w:type="dxa"/>
                  </w:tcMar>
                  <w:vAlign w:val="center"/>
                </w:tcPr>
                <w:p w14:paraId="76107C78">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auto"/>
                      <w:kern w:val="2"/>
                      <w:sz w:val="21"/>
                      <w:szCs w:val="21"/>
                      <w:lang w:val="en-US" w:eastAsia="zh-CN" w:bidi="ar-SA"/>
                    </w:rPr>
                  </w:pPr>
                </w:p>
              </w:tc>
              <w:tc>
                <w:tcPr>
                  <w:tcW w:w="838" w:type="pct"/>
                  <w:noWrap w:val="0"/>
                  <w:tcMar>
                    <w:top w:w="0" w:type="dxa"/>
                    <w:left w:w="0" w:type="dxa"/>
                    <w:bottom w:w="0" w:type="dxa"/>
                    <w:right w:w="0" w:type="dxa"/>
                  </w:tcMar>
                  <w:vAlign w:val="center"/>
                </w:tcPr>
                <w:p w14:paraId="3E12026F">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auto"/>
                      <w:kern w:val="2"/>
                      <w:sz w:val="21"/>
                      <w:szCs w:val="21"/>
                      <w:lang w:val="en-US" w:eastAsia="zh-CN" w:bidi="ar-SA"/>
                    </w:rPr>
                  </w:pPr>
                  <w:r>
                    <w:rPr>
                      <w:rFonts w:hint="default" w:ascii="Times New Roman" w:hAnsi="Times New Roman" w:eastAsia="宋体" w:cs="Times New Roman"/>
                      <w:b w:val="0"/>
                      <w:bCs w:val="0"/>
                      <w:color w:val="auto"/>
                      <w:sz w:val="21"/>
                      <w:szCs w:val="21"/>
                      <w:vertAlign w:val="baseline"/>
                      <w:lang w:eastAsia="zh-CN"/>
                    </w:rPr>
                    <w:t>风量</w:t>
                  </w:r>
                </w:p>
              </w:tc>
              <w:tc>
                <w:tcPr>
                  <w:tcW w:w="1791" w:type="pct"/>
                  <w:noWrap w:val="0"/>
                  <w:tcMar>
                    <w:top w:w="0" w:type="dxa"/>
                    <w:left w:w="0" w:type="dxa"/>
                    <w:bottom w:w="0" w:type="dxa"/>
                    <w:right w:w="0" w:type="dxa"/>
                  </w:tcMar>
                  <w:vAlign w:val="center"/>
                </w:tcPr>
                <w:p w14:paraId="68912C12">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auto"/>
                      <w:kern w:val="2"/>
                      <w:sz w:val="21"/>
                      <w:szCs w:val="21"/>
                      <w:vertAlign w:val="baseline"/>
                      <w:lang w:val="en-US" w:eastAsia="zh-CN" w:bidi="ar-SA"/>
                    </w:rPr>
                  </w:pPr>
                  <w:r>
                    <w:rPr>
                      <w:rFonts w:hint="eastAsia" w:ascii="Times New Roman" w:hAnsi="Times New Roman" w:eastAsia="宋体" w:cs="Times New Roman"/>
                      <w:b w:val="0"/>
                      <w:bCs w:val="0"/>
                      <w:color w:val="auto"/>
                      <w:sz w:val="21"/>
                      <w:szCs w:val="21"/>
                      <w:vertAlign w:val="baseline"/>
                      <w:lang w:val="en-US" w:eastAsia="zh-CN"/>
                    </w:rPr>
                    <w:t>10</w:t>
                  </w:r>
                  <w:r>
                    <w:rPr>
                      <w:rFonts w:hint="default" w:ascii="Times New Roman" w:hAnsi="Times New Roman" w:eastAsia="宋体" w:cs="Times New Roman"/>
                      <w:b w:val="0"/>
                      <w:bCs w:val="0"/>
                      <w:color w:val="auto"/>
                      <w:sz w:val="21"/>
                      <w:szCs w:val="21"/>
                      <w:vertAlign w:val="baseline"/>
                      <w:lang w:val="en-US" w:eastAsia="zh-CN"/>
                    </w:rPr>
                    <w:t>000m</w:t>
                  </w:r>
                  <w:r>
                    <w:rPr>
                      <w:rFonts w:hint="default" w:ascii="Times New Roman" w:hAnsi="Times New Roman" w:eastAsia="宋体" w:cs="Times New Roman"/>
                      <w:b w:val="0"/>
                      <w:bCs w:val="0"/>
                      <w:color w:val="auto"/>
                      <w:sz w:val="21"/>
                      <w:szCs w:val="21"/>
                      <w:vertAlign w:val="superscript"/>
                      <w:lang w:val="en-US" w:eastAsia="zh-CN"/>
                    </w:rPr>
                    <w:t>3</w:t>
                  </w:r>
                  <w:r>
                    <w:rPr>
                      <w:rFonts w:hint="default" w:ascii="Times New Roman" w:hAnsi="Times New Roman" w:eastAsia="宋体" w:cs="Times New Roman"/>
                      <w:b w:val="0"/>
                      <w:bCs w:val="0"/>
                      <w:color w:val="auto"/>
                      <w:sz w:val="21"/>
                      <w:szCs w:val="21"/>
                      <w:vertAlign w:val="baseline"/>
                      <w:lang w:val="en-US" w:eastAsia="zh-CN"/>
                    </w:rPr>
                    <w:t>/h</w:t>
                  </w:r>
                </w:p>
              </w:tc>
            </w:tr>
          </w:tbl>
          <w:p w14:paraId="38FC73E8">
            <w:pPr>
              <w:keepNext w:val="0"/>
              <w:keepLines w:val="0"/>
              <w:pageBreakBefore w:val="0"/>
              <w:widowControl w:val="0"/>
              <w:suppressLineNumbers w:val="0"/>
              <w:kinsoku/>
              <w:wordWrap/>
              <w:overflowPunct/>
              <w:topLinePunct w:val="0"/>
              <w:autoSpaceDE/>
              <w:autoSpaceDN/>
              <w:bidi w:val="0"/>
              <w:adjustRightInd w:val="0"/>
              <w:snapToGrid w:val="0"/>
              <w:spacing w:before="157" w:beforeLines="50" w:beforeAutospacing="0" w:after="0" w:afterAutospacing="0" w:line="360" w:lineRule="auto"/>
              <w:ind w:left="0" w:right="0" w:firstLine="420" w:firstLineChars="200"/>
              <w:textAlignment w:val="auto"/>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2）废气处理设施可行性分析</w:t>
            </w:r>
          </w:p>
          <w:p w14:paraId="2995356A">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表4-</w:t>
            </w:r>
            <w:r>
              <w:rPr>
                <w:rFonts w:hint="eastAsia" w:ascii="Times New Roman" w:hAnsi="Times New Roman" w:eastAsia="宋体" w:cs="Times New Roman"/>
                <w:b/>
                <w:bCs/>
                <w:color w:val="auto"/>
                <w:sz w:val="21"/>
                <w:szCs w:val="21"/>
                <w:lang w:val="en-US" w:eastAsia="zh-CN"/>
              </w:rPr>
              <w:t>7</w:t>
            </w:r>
            <w:r>
              <w:rPr>
                <w:rFonts w:hint="default" w:ascii="Times New Roman" w:hAnsi="Times New Roman" w:eastAsia="宋体" w:cs="Times New Roman"/>
                <w:b/>
                <w:bCs/>
                <w:color w:val="auto"/>
                <w:sz w:val="21"/>
                <w:szCs w:val="21"/>
              </w:rPr>
              <w:t xml:space="preserve"> 本项目废气处理措施评价表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00"/>
              <w:gridCol w:w="905"/>
              <w:gridCol w:w="1360"/>
              <w:gridCol w:w="5115"/>
            </w:tblGrid>
            <w:tr w14:paraId="51F551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97" w:type="pct"/>
                  <w:noWrap w:val="0"/>
                  <w:tcMar>
                    <w:top w:w="0" w:type="dxa"/>
                    <w:left w:w="0" w:type="dxa"/>
                    <w:bottom w:w="0" w:type="dxa"/>
                    <w:right w:w="0" w:type="dxa"/>
                  </w:tcMar>
                  <w:vAlign w:val="center"/>
                </w:tcPr>
                <w:p w14:paraId="136216FD">
                  <w:pPr>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工序</w:t>
                  </w:r>
                </w:p>
              </w:tc>
              <w:tc>
                <w:tcPr>
                  <w:tcW w:w="540" w:type="pct"/>
                  <w:noWrap w:val="0"/>
                  <w:tcMar>
                    <w:top w:w="0" w:type="dxa"/>
                    <w:left w:w="0" w:type="dxa"/>
                    <w:bottom w:w="0" w:type="dxa"/>
                    <w:right w:w="0" w:type="dxa"/>
                  </w:tcMar>
                  <w:vAlign w:val="center"/>
                </w:tcPr>
                <w:p w14:paraId="3596238F">
                  <w:pPr>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污染物</w:t>
                  </w:r>
                </w:p>
              </w:tc>
              <w:tc>
                <w:tcPr>
                  <w:tcW w:w="811" w:type="pct"/>
                  <w:noWrap w:val="0"/>
                  <w:tcMar>
                    <w:top w:w="0" w:type="dxa"/>
                    <w:left w:w="0" w:type="dxa"/>
                    <w:bottom w:w="0" w:type="dxa"/>
                    <w:right w:w="0" w:type="dxa"/>
                  </w:tcMar>
                  <w:vAlign w:val="center"/>
                </w:tcPr>
                <w:p w14:paraId="20AD95AD">
                  <w:pPr>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处理措施</w:t>
                  </w:r>
                </w:p>
              </w:tc>
              <w:tc>
                <w:tcPr>
                  <w:tcW w:w="3051" w:type="pct"/>
                  <w:noWrap w:val="0"/>
                  <w:tcMar>
                    <w:top w:w="0" w:type="dxa"/>
                    <w:left w:w="0" w:type="dxa"/>
                    <w:bottom w:w="0" w:type="dxa"/>
                    <w:right w:w="0" w:type="dxa"/>
                  </w:tcMar>
                  <w:vAlign w:val="center"/>
                </w:tcPr>
                <w:p w14:paraId="12E60ADC">
                  <w:pPr>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可行技术</w:t>
                  </w:r>
                </w:p>
              </w:tc>
            </w:tr>
            <w:tr w14:paraId="56C85C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4" w:hRule="atLeast"/>
                <w:jc w:val="center"/>
              </w:trPr>
              <w:tc>
                <w:tcPr>
                  <w:tcW w:w="597" w:type="pct"/>
                  <w:vMerge w:val="restart"/>
                  <w:noWrap w:val="0"/>
                  <w:tcMar>
                    <w:top w:w="0" w:type="dxa"/>
                    <w:left w:w="0" w:type="dxa"/>
                    <w:bottom w:w="0" w:type="dxa"/>
                    <w:right w:w="0" w:type="dxa"/>
                  </w:tcMar>
                  <w:vAlign w:val="center"/>
                </w:tcPr>
                <w:p w14:paraId="27BD3EA8">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挤出、烘干、测试</w:t>
                  </w:r>
                </w:p>
              </w:tc>
              <w:tc>
                <w:tcPr>
                  <w:tcW w:w="540" w:type="pct"/>
                  <w:noWrap w:val="0"/>
                  <w:tcMar>
                    <w:top w:w="0" w:type="dxa"/>
                    <w:left w:w="0" w:type="dxa"/>
                    <w:bottom w:w="0" w:type="dxa"/>
                    <w:right w:w="0" w:type="dxa"/>
                  </w:tcMar>
                  <w:vAlign w:val="center"/>
                </w:tcPr>
                <w:p w14:paraId="6899FC39">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非甲烷总烃</w:t>
                  </w:r>
                </w:p>
              </w:tc>
              <w:tc>
                <w:tcPr>
                  <w:tcW w:w="811" w:type="pct"/>
                  <w:vMerge w:val="restart"/>
                  <w:noWrap w:val="0"/>
                  <w:tcMar>
                    <w:top w:w="0" w:type="dxa"/>
                    <w:left w:w="0" w:type="dxa"/>
                    <w:bottom w:w="0" w:type="dxa"/>
                    <w:right w:w="0" w:type="dxa"/>
                  </w:tcMar>
                  <w:vAlign w:val="center"/>
                </w:tcPr>
                <w:p w14:paraId="4E97947D">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szCs w:val="21"/>
                    </w:rPr>
                  </w:pPr>
                  <w:r>
                    <w:rPr>
                      <w:rFonts w:hint="eastAsia"/>
                      <w:color w:val="auto"/>
                      <w:szCs w:val="21"/>
                      <w:lang w:val="en-US" w:eastAsia="zh-CN"/>
                    </w:rPr>
                    <w:t>水喷淋塔+除湿器+二级活性炭吸附装置</w:t>
                  </w:r>
                </w:p>
              </w:tc>
              <w:tc>
                <w:tcPr>
                  <w:tcW w:w="3051" w:type="pct"/>
                  <w:noWrap w:val="0"/>
                  <w:tcMar>
                    <w:top w:w="0" w:type="dxa"/>
                    <w:left w:w="0" w:type="dxa"/>
                    <w:bottom w:w="0" w:type="dxa"/>
                    <w:right w:w="0" w:type="dxa"/>
                  </w:tcMar>
                  <w:vAlign w:val="center"/>
                </w:tcPr>
                <w:p w14:paraId="7471A9E9">
                  <w:pPr>
                    <w:jc w:val="center"/>
                    <w:rPr>
                      <w:rFonts w:hint="default" w:ascii="Times New Roman" w:hAnsi="Times New Roman" w:eastAsia="宋体" w:cs="Times New Roman"/>
                      <w:color w:val="auto"/>
                      <w:szCs w:val="21"/>
                      <w:lang w:val="en-US"/>
                    </w:rPr>
                  </w:pPr>
                  <w:r>
                    <w:rPr>
                      <w:rFonts w:hint="default" w:ascii="Times New Roman" w:hAnsi="Times New Roman" w:eastAsia="宋体" w:cs="Times New Roman"/>
                      <w:bCs/>
                      <w:color w:val="auto"/>
                      <w:sz w:val="21"/>
                      <w:szCs w:val="21"/>
                    </w:rPr>
                    <w:t>参考《排污许可证申请与核发技术规范 橡胶和塑料制品工业》（HJ1122-2020）中附录A.2塑料制品工业排污单位废气污染防治可行技术参考表，处理注塑</w:t>
                  </w:r>
                  <w:r>
                    <w:rPr>
                      <w:rFonts w:hint="default" w:ascii="Times New Roman" w:hAnsi="Times New Roman" w:eastAsia="宋体" w:cs="Times New Roman"/>
                      <w:bCs/>
                      <w:color w:val="auto"/>
                      <w:sz w:val="21"/>
                      <w:szCs w:val="21"/>
                      <w:lang w:val="en-US" w:eastAsia="zh-CN"/>
                    </w:rPr>
                    <w:t>等</w:t>
                  </w:r>
                  <w:r>
                    <w:rPr>
                      <w:rFonts w:hint="default" w:ascii="Times New Roman" w:hAnsi="Times New Roman" w:eastAsia="宋体" w:cs="Times New Roman"/>
                      <w:bCs/>
                      <w:color w:val="auto"/>
                      <w:sz w:val="21"/>
                      <w:szCs w:val="21"/>
                    </w:rPr>
                    <w:t>废气（非甲烷总烃）的可行技术为“喷淋；吸附；吸附浓缩+热力燃烧/催化燃烧”。本项目采用</w:t>
                  </w:r>
                  <w:r>
                    <w:rPr>
                      <w:rFonts w:hint="eastAsia" w:ascii="Times New Roman" w:hAnsi="Times New Roman" w:eastAsia="宋体" w:cs="Times New Roman"/>
                      <w:color w:val="auto"/>
                      <w:sz w:val="21"/>
                      <w:szCs w:val="21"/>
                      <w:lang w:val="en-US" w:eastAsia="zh-CN"/>
                    </w:rPr>
                    <w:t>二</w:t>
                  </w:r>
                  <w:r>
                    <w:rPr>
                      <w:rFonts w:hint="default" w:ascii="Times New Roman" w:hAnsi="Times New Roman" w:eastAsia="宋体" w:cs="Times New Roman"/>
                      <w:color w:val="auto"/>
                      <w:sz w:val="21"/>
                      <w:szCs w:val="21"/>
                      <w:lang w:val="en-US" w:eastAsia="zh-CN"/>
                    </w:rPr>
                    <w:t>级活性炭</w:t>
                  </w:r>
                  <w:r>
                    <w:rPr>
                      <w:rFonts w:hint="default" w:ascii="Times New Roman" w:hAnsi="Times New Roman" w:eastAsia="宋体" w:cs="Times New Roman"/>
                      <w:bCs/>
                      <w:color w:val="auto"/>
                      <w:sz w:val="21"/>
                      <w:szCs w:val="21"/>
                    </w:rPr>
                    <w:t>吸附装置处理</w:t>
                  </w:r>
                  <w:r>
                    <w:rPr>
                      <w:rFonts w:hint="eastAsia" w:ascii="Times New Roman" w:hAnsi="Times New Roman" w:eastAsia="宋体" w:cs="Times New Roman"/>
                      <w:bCs/>
                      <w:color w:val="auto"/>
                      <w:sz w:val="21"/>
                      <w:szCs w:val="21"/>
                      <w:lang w:val="en-US" w:eastAsia="zh-CN"/>
                    </w:rPr>
                    <w:t>非甲烷总烃</w:t>
                  </w:r>
                  <w:r>
                    <w:rPr>
                      <w:rFonts w:hint="default" w:ascii="Times New Roman" w:hAnsi="Times New Roman" w:eastAsia="宋体" w:cs="Times New Roman"/>
                      <w:bCs/>
                      <w:color w:val="auto"/>
                      <w:sz w:val="21"/>
                      <w:szCs w:val="21"/>
                    </w:rPr>
                    <w:t>，属于可行技术</w:t>
                  </w:r>
                </w:p>
              </w:tc>
            </w:tr>
            <w:tr w14:paraId="0D2B16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97" w:type="pct"/>
                  <w:vMerge w:val="continue"/>
                  <w:noWrap w:val="0"/>
                  <w:tcMar>
                    <w:top w:w="0" w:type="dxa"/>
                    <w:left w:w="0" w:type="dxa"/>
                    <w:bottom w:w="0" w:type="dxa"/>
                    <w:right w:w="0" w:type="dxa"/>
                  </w:tcMar>
                  <w:vAlign w:val="center"/>
                </w:tcPr>
                <w:p w14:paraId="18190DA9">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p>
              </w:tc>
              <w:tc>
                <w:tcPr>
                  <w:tcW w:w="540" w:type="pct"/>
                  <w:noWrap w:val="0"/>
                  <w:tcMar>
                    <w:top w:w="0" w:type="dxa"/>
                    <w:left w:w="0" w:type="dxa"/>
                    <w:bottom w:w="0" w:type="dxa"/>
                    <w:right w:w="0" w:type="dxa"/>
                  </w:tcMar>
                  <w:vAlign w:val="center"/>
                </w:tcPr>
                <w:p w14:paraId="18BB88CD">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颗粒物</w:t>
                  </w:r>
                </w:p>
              </w:tc>
              <w:tc>
                <w:tcPr>
                  <w:tcW w:w="811" w:type="pct"/>
                  <w:vMerge w:val="continue"/>
                  <w:noWrap w:val="0"/>
                  <w:tcMar>
                    <w:top w:w="0" w:type="dxa"/>
                    <w:left w:w="0" w:type="dxa"/>
                    <w:bottom w:w="0" w:type="dxa"/>
                    <w:right w:w="0" w:type="dxa"/>
                  </w:tcMar>
                  <w:vAlign w:val="center"/>
                </w:tcPr>
                <w:p w14:paraId="297E5693">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sz w:val="21"/>
                      <w:szCs w:val="21"/>
                      <w:lang w:val="en-US" w:eastAsia="zh-CN"/>
                    </w:rPr>
                  </w:pPr>
                </w:p>
              </w:tc>
              <w:tc>
                <w:tcPr>
                  <w:tcW w:w="3051" w:type="pct"/>
                  <w:noWrap w:val="0"/>
                  <w:tcMar>
                    <w:top w:w="0" w:type="dxa"/>
                    <w:left w:w="0" w:type="dxa"/>
                    <w:bottom w:w="0" w:type="dxa"/>
                    <w:right w:w="0" w:type="dxa"/>
                  </w:tcMar>
                  <w:vAlign w:val="center"/>
                </w:tcPr>
                <w:p w14:paraId="65E6DAE2">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根据《排污许可证申请与核发技术规范 汽车制造业》（HJ 971-2018），中处理油雾的可行技术为“机械过滤、静电净化、碱液洗涤”，本项目采用碱喷淋装置处理颗粒物，属于可行技术</w:t>
                  </w:r>
                </w:p>
              </w:tc>
            </w:tr>
            <w:tr w14:paraId="702CF4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97" w:type="pct"/>
                  <w:shd w:val="clear" w:color="auto" w:fill="auto"/>
                  <w:noWrap w:val="0"/>
                  <w:tcMar>
                    <w:top w:w="0" w:type="dxa"/>
                    <w:left w:w="0" w:type="dxa"/>
                    <w:bottom w:w="0" w:type="dxa"/>
                    <w:right w:w="0" w:type="dxa"/>
                  </w:tcMar>
                  <w:vAlign w:val="center"/>
                </w:tcPr>
                <w:p w14:paraId="03433A72">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配料、投料</w:t>
                  </w:r>
                </w:p>
              </w:tc>
              <w:tc>
                <w:tcPr>
                  <w:tcW w:w="540" w:type="pct"/>
                  <w:shd w:val="clear" w:color="auto" w:fill="auto"/>
                  <w:noWrap w:val="0"/>
                  <w:tcMar>
                    <w:top w:w="0" w:type="dxa"/>
                    <w:left w:w="0" w:type="dxa"/>
                    <w:bottom w:w="0" w:type="dxa"/>
                    <w:right w:w="0" w:type="dxa"/>
                  </w:tcMar>
                  <w:vAlign w:val="center"/>
                </w:tcPr>
                <w:p w14:paraId="76F4C8BC">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颗粒物</w:t>
                  </w:r>
                </w:p>
              </w:tc>
              <w:tc>
                <w:tcPr>
                  <w:tcW w:w="811" w:type="pct"/>
                  <w:shd w:val="clear" w:color="auto" w:fill="auto"/>
                  <w:noWrap w:val="0"/>
                  <w:tcMar>
                    <w:top w:w="0" w:type="dxa"/>
                    <w:left w:w="0" w:type="dxa"/>
                    <w:bottom w:w="0" w:type="dxa"/>
                    <w:right w:w="0" w:type="dxa"/>
                  </w:tcMar>
                  <w:vAlign w:val="center"/>
                </w:tcPr>
                <w:p w14:paraId="05132396">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color w:val="auto"/>
                      <w:lang w:val="en-US" w:eastAsia="zh-CN"/>
                    </w:rPr>
                    <w:t>布袋除尘器</w:t>
                  </w:r>
                </w:p>
              </w:tc>
              <w:tc>
                <w:tcPr>
                  <w:tcW w:w="3051" w:type="pct"/>
                  <w:shd w:val="clear" w:color="auto" w:fill="auto"/>
                  <w:noWrap w:val="0"/>
                  <w:tcMar>
                    <w:top w:w="0" w:type="dxa"/>
                    <w:left w:w="0" w:type="dxa"/>
                    <w:bottom w:w="0" w:type="dxa"/>
                    <w:right w:w="0" w:type="dxa"/>
                  </w:tcMar>
                  <w:vAlign w:val="center"/>
                </w:tcPr>
                <w:p w14:paraId="6A85AA3C">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《排污许可证申请与核发技术规范 铁路、船舶、航空航天和其他运输设备制造业（HJ1124-2020）》</w:t>
                  </w:r>
                </w:p>
              </w:tc>
            </w:tr>
          </w:tbl>
          <w:p w14:paraId="64BAEA46">
            <w:pPr>
              <w:spacing w:before="120" w:beforeLines="50" w:line="360" w:lineRule="auto"/>
              <w:ind w:firstLine="420" w:firstLineChars="200"/>
              <w:rPr>
                <w:bCs/>
                <w:color w:val="auto"/>
                <w:szCs w:val="21"/>
              </w:rPr>
            </w:pPr>
            <w:r>
              <w:rPr>
                <w:bCs/>
                <w:color w:val="auto"/>
                <w:szCs w:val="21"/>
              </w:rPr>
              <w:t>综上所述，本项目废气污染防治措施设置可行。</w:t>
            </w:r>
          </w:p>
          <w:p w14:paraId="2175D9D5">
            <w:pPr>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lang w:val="en-US" w:eastAsia="zh-CN"/>
              </w:rPr>
              <w:t>3）</w:t>
            </w:r>
            <w:r>
              <w:rPr>
                <w:rFonts w:hint="default" w:ascii="Times New Roman" w:hAnsi="Times New Roman" w:eastAsia="宋体" w:cs="Times New Roman"/>
                <w:bCs/>
                <w:color w:val="auto"/>
                <w:sz w:val="21"/>
                <w:szCs w:val="21"/>
              </w:rPr>
              <w:t>排气筒设置合理性分析</w:t>
            </w:r>
          </w:p>
          <w:p w14:paraId="3C7A76AF">
            <w:pPr>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本项目新增</w:t>
            </w:r>
            <w:r>
              <w:rPr>
                <w:rFonts w:hint="eastAsia" w:ascii="Times New Roman" w:hAnsi="Times New Roman" w:eastAsia="宋体" w:cs="Times New Roman"/>
                <w:bCs/>
                <w:color w:val="auto"/>
                <w:sz w:val="21"/>
                <w:szCs w:val="21"/>
                <w:lang w:val="en-US" w:eastAsia="zh-CN"/>
              </w:rPr>
              <w:t>2</w:t>
            </w:r>
            <w:r>
              <w:rPr>
                <w:rFonts w:hint="default" w:ascii="Times New Roman" w:hAnsi="Times New Roman" w:eastAsia="宋体" w:cs="Times New Roman"/>
                <w:bCs/>
                <w:color w:val="auto"/>
                <w:sz w:val="21"/>
                <w:szCs w:val="21"/>
              </w:rPr>
              <w:t>根</w:t>
            </w:r>
            <w:r>
              <w:rPr>
                <w:rFonts w:hint="default" w:ascii="Times New Roman" w:hAnsi="Times New Roman" w:eastAsia="宋体" w:cs="Times New Roman"/>
                <w:bCs/>
                <w:color w:val="auto"/>
                <w:sz w:val="21"/>
                <w:szCs w:val="21"/>
                <w:lang w:val="en-US" w:eastAsia="zh-CN"/>
              </w:rPr>
              <w:t>15</w:t>
            </w:r>
            <w:r>
              <w:rPr>
                <w:rFonts w:hint="default" w:ascii="Times New Roman" w:hAnsi="Times New Roman" w:eastAsia="宋体" w:cs="Times New Roman"/>
                <w:bCs/>
                <w:color w:val="auto"/>
                <w:sz w:val="21"/>
                <w:szCs w:val="21"/>
              </w:rPr>
              <w:t>米高排气筒，排气筒参数详见下表。</w:t>
            </w:r>
          </w:p>
          <w:p w14:paraId="2715CB8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表4-</w:t>
            </w:r>
            <w:r>
              <w:rPr>
                <w:rFonts w:hint="eastAsia" w:ascii="Times New Roman" w:hAnsi="Times New Roman" w:eastAsia="宋体" w:cs="Times New Roman"/>
                <w:b/>
                <w:bCs/>
                <w:color w:val="auto"/>
                <w:sz w:val="21"/>
                <w:szCs w:val="21"/>
                <w:lang w:val="en-US" w:eastAsia="zh-CN"/>
              </w:rPr>
              <w:t>8</w:t>
            </w:r>
            <w:r>
              <w:rPr>
                <w:rFonts w:hint="default" w:ascii="Times New Roman" w:hAnsi="Times New Roman" w:eastAsia="宋体" w:cs="Times New Roman"/>
                <w:b/>
                <w:bCs/>
                <w:color w:val="auto"/>
                <w:sz w:val="21"/>
                <w:szCs w:val="21"/>
              </w:rPr>
              <w:t xml:space="preserve"> 本项目排气筒参数</w:t>
            </w:r>
          </w:p>
          <w:tbl>
            <w:tblPr>
              <w:tblStyle w:val="29"/>
              <w:tblW w:w="4995"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032"/>
              <w:gridCol w:w="2077"/>
              <w:gridCol w:w="1233"/>
              <w:gridCol w:w="1625"/>
              <w:gridCol w:w="1405"/>
            </w:tblGrid>
            <w:tr w14:paraId="5BDFC11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340" w:hRule="atLeast"/>
              </w:trPr>
              <w:tc>
                <w:tcPr>
                  <w:tcW w:w="1213" w:type="pct"/>
                  <w:tcBorders>
                    <w:tl2br w:val="nil"/>
                    <w:tr2bl w:val="nil"/>
                  </w:tcBorders>
                  <w:noWrap w:val="0"/>
                  <w:tcMar>
                    <w:top w:w="0" w:type="dxa"/>
                    <w:left w:w="0" w:type="dxa"/>
                    <w:bottom w:w="0" w:type="dxa"/>
                    <w:right w:w="0" w:type="dxa"/>
                  </w:tcMar>
                  <w:vAlign w:val="center"/>
                </w:tcPr>
                <w:p w14:paraId="3AC66A38">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lang w:bidi="ar"/>
                    </w:rPr>
                  </w:pPr>
                  <w:r>
                    <w:rPr>
                      <w:rFonts w:hint="default" w:ascii="Times New Roman" w:hAnsi="Times New Roman" w:eastAsia="宋体" w:cs="Times New Roman"/>
                      <w:b/>
                      <w:bCs/>
                      <w:color w:val="auto"/>
                      <w:sz w:val="21"/>
                      <w:szCs w:val="21"/>
                      <w:lang w:bidi="ar"/>
                    </w:rPr>
                    <w:t>排气筒名称</w:t>
                  </w:r>
                </w:p>
              </w:tc>
              <w:tc>
                <w:tcPr>
                  <w:tcW w:w="1240" w:type="pct"/>
                  <w:tcBorders>
                    <w:tl2br w:val="nil"/>
                    <w:tr2bl w:val="nil"/>
                  </w:tcBorders>
                  <w:noWrap w:val="0"/>
                  <w:tcMar>
                    <w:top w:w="0" w:type="dxa"/>
                    <w:left w:w="0" w:type="dxa"/>
                    <w:bottom w:w="0" w:type="dxa"/>
                    <w:right w:w="0" w:type="dxa"/>
                  </w:tcMar>
                  <w:vAlign w:val="center"/>
                </w:tcPr>
                <w:p w14:paraId="2F68D5F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lang w:bidi="ar"/>
                    </w:rPr>
                  </w:pPr>
                  <w:r>
                    <w:rPr>
                      <w:rFonts w:hint="default" w:ascii="Times New Roman" w:hAnsi="Times New Roman" w:eastAsia="宋体" w:cs="Times New Roman"/>
                      <w:b/>
                      <w:bCs/>
                      <w:color w:val="auto"/>
                      <w:sz w:val="21"/>
                      <w:szCs w:val="21"/>
                      <w:lang w:bidi="ar"/>
                    </w:rPr>
                    <w:t>污染源名称</w:t>
                  </w:r>
                </w:p>
              </w:tc>
              <w:tc>
                <w:tcPr>
                  <w:tcW w:w="736" w:type="pct"/>
                  <w:tcBorders>
                    <w:tl2br w:val="nil"/>
                    <w:tr2bl w:val="nil"/>
                  </w:tcBorders>
                  <w:noWrap w:val="0"/>
                  <w:tcMar>
                    <w:top w:w="0" w:type="dxa"/>
                    <w:left w:w="0" w:type="dxa"/>
                    <w:bottom w:w="0" w:type="dxa"/>
                    <w:right w:w="0" w:type="dxa"/>
                  </w:tcMar>
                  <w:vAlign w:val="center"/>
                </w:tcPr>
                <w:p w14:paraId="4E85D248">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lang w:bidi="ar"/>
                    </w:rPr>
                  </w:pPr>
                  <w:r>
                    <w:rPr>
                      <w:rFonts w:hint="default" w:ascii="Times New Roman" w:hAnsi="Times New Roman" w:eastAsia="宋体" w:cs="Times New Roman"/>
                      <w:b/>
                      <w:bCs/>
                      <w:color w:val="auto"/>
                      <w:sz w:val="21"/>
                      <w:szCs w:val="21"/>
                      <w:lang w:bidi="ar"/>
                    </w:rPr>
                    <w:t>废气量(m</w:t>
                  </w:r>
                  <w:r>
                    <w:rPr>
                      <w:rFonts w:hint="default" w:ascii="Times New Roman" w:hAnsi="Times New Roman" w:eastAsia="宋体" w:cs="Times New Roman"/>
                      <w:b/>
                      <w:bCs/>
                      <w:color w:val="auto"/>
                      <w:sz w:val="21"/>
                      <w:szCs w:val="21"/>
                      <w:vertAlign w:val="superscript"/>
                      <w:lang w:bidi="ar"/>
                    </w:rPr>
                    <w:t>3</w:t>
                  </w:r>
                  <w:r>
                    <w:rPr>
                      <w:rFonts w:hint="default" w:ascii="Times New Roman" w:hAnsi="Times New Roman" w:eastAsia="宋体" w:cs="Times New Roman"/>
                      <w:b/>
                      <w:bCs/>
                      <w:color w:val="auto"/>
                      <w:sz w:val="21"/>
                      <w:szCs w:val="21"/>
                      <w:lang w:bidi="ar"/>
                    </w:rPr>
                    <w:t>/h)</w:t>
                  </w:r>
                </w:p>
              </w:tc>
              <w:tc>
                <w:tcPr>
                  <w:tcW w:w="970" w:type="pct"/>
                  <w:tcBorders>
                    <w:tl2br w:val="nil"/>
                    <w:tr2bl w:val="nil"/>
                  </w:tcBorders>
                  <w:noWrap w:val="0"/>
                  <w:tcMar>
                    <w:top w:w="0" w:type="dxa"/>
                    <w:left w:w="0" w:type="dxa"/>
                    <w:bottom w:w="0" w:type="dxa"/>
                    <w:right w:w="0" w:type="dxa"/>
                  </w:tcMar>
                  <w:vAlign w:val="center"/>
                </w:tcPr>
                <w:p w14:paraId="325960D4">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lang w:bidi="ar"/>
                    </w:rPr>
                  </w:pPr>
                  <w:r>
                    <w:rPr>
                      <w:rFonts w:hint="default" w:ascii="Times New Roman" w:hAnsi="Times New Roman" w:eastAsia="宋体" w:cs="Times New Roman"/>
                      <w:b/>
                      <w:bCs/>
                      <w:color w:val="auto"/>
                      <w:sz w:val="21"/>
                      <w:szCs w:val="21"/>
                      <w:lang w:bidi="ar"/>
                    </w:rPr>
                    <w:t>排气筒内径（m）</w:t>
                  </w:r>
                </w:p>
              </w:tc>
              <w:tc>
                <w:tcPr>
                  <w:tcW w:w="839" w:type="pct"/>
                  <w:tcBorders>
                    <w:tl2br w:val="nil"/>
                    <w:tr2bl w:val="nil"/>
                  </w:tcBorders>
                  <w:noWrap w:val="0"/>
                  <w:tcMar>
                    <w:top w:w="0" w:type="dxa"/>
                    <w:left w:w="0" w:type="dxa"/>
                    <w:bottom w:w="0" w:type="dxa"/>
                    <w:right w:w="0" w:type="dxa"/>
                  </w:tcMar>
                  <w:vAlign w:val="center"/>
                </w:tcPr>
                <w:p w14:paraId="2A6BE78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lang w:bidi="ar"/>
                    </w:rPr>
                  </w:pPr>
                  <w:r>
                    <w:rPr>
                      <w:rFonts w:hint="default" w:ascii="Times New Roman" w:hAnsi="Times New Roman" w:eastAsia="宋体" w:cs="Times New Roman"/>
                      <w:b/>
                      <w:bCs/>
                      <w:color w:val="auto"/>
                      <w:sz w:val="21"/>
                      <w:szCs w:val="21"/>
                      <w:lang w:bidi="ar"/>
                    </w:rPr>
                    <w:t>烟气流速（m/s）</w:t>
                  </w:r>
                </w:p>
              </w:tc>
            </w:tr>
            <w:tr w14:paraId="0DBCFA1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213" w:type="pct"/>
                  <w:tcBorders>
                    <w:tl2br w:val="nil"/>
                    <w:tr2bl w:val="nil"/>
                  </w:tcBorders>
                  <w:noWrap w:val="0"/>
                  <w:tcMar>
                    <w:top w:w="0" w:type="dxa"/>
                    <w:left w:w="0" w:type="dxa"/>
                    <w:bottom w:w="0" w:type="dxa"/>
                    <w:right w:w="0" w:type="dxa"/>
                  </w:tcMar>
                  <w:vAlign w:val="center"/>
                </w:tcPr>
                <w:p w14:paraId="33B0E916">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color w:val="auto"/>
                      <w:sz w:val="21"/>
                      <w:szCs w:val="21"/>
                      <w:lang w:bidi="ar"/>
                    </w:rPr>
                  </w:pPr>
                  <w:r>
                    <w:rPr>
                      <w:rFonts w:hint="default" w:ascii="Times New Roman" w:hAnsi="Times New Roman" w:eastAsia="宋体" w:cs="Times New Roman"/>
                      <w:b w:val="0"/>
                      <w:bCs/>
                      <w:color w:val="auto"/>
                      <w:sz w:val="21"/>
                      <w:szCs w:val="21"/>
                      <w:lang w:val="en-US" w:eastAsia="zh-CN"/>
                    </w:rPr>
                    <w:t>15</w:t>
                  </w:r>
                  <w:r>
                    <w:rPr>
                      <w:rFonts w:hint="default" w:ascii="Times New Roman" w:hAnsi="Times New Roman" w:eastAsia="宋体" w:cs="Times New Roman"/>
                      <w:b w:val="0"/>
                      <w:bCs/>
                      <w:color w:val="auto"/>
                      <w:sz w:val="21"/>
                      <w:szCs w:val="21"/>
                    </w:rPr>
                    <w:t>米排气筒</w:t>
                  </w:r>
                  <w:r>
                    <w:rPr>
                      <w:rFonts w:hint="default" w:ascii="Times New Roman" w:hAnsi="Times New Roman" w:eastAsia="宋体" w:cs="Times New Roman"/>
                      <w:b w:val="0"/>
                      <w:bCs/>
                      <w:color w:val="auto"/>
                      <w:szCs w:val="21"/>
                      <w:lang w:val="en-US" w:eastAsia="zh-CN"/>
                    </w:rPr>
                    <w:t>（DA00</w:t>
                  </w:r>
                  <w:r>
                    <w:rPr>
                      <w:rFonts w:hint="eastAsia" w:ascii="Times New Roman" w:hAnsi="Times New Roman" w:eastAsia="宋体" w:cs="Times New Roman"/>
                      <w:b w:val="0"/>
                      <w:bCs/>
                      <w:color w:val="auto"/>
                      <w:szCs w:val="21"/>
                      <w:lang w:val="en-US" w:eastAsia="zh-CN"/>
                    </w:rPr>
                    <w:t>1</w:t>
                  </w:r>
                  <w:r>
                    <w:rPr>
                      <w:rFonts w:hint="default" w:ascii="Times New Roman" w:hAnsi="Times New Roman" w:eastAsia="宋体" w:cs="Times New Roman"/>
                      <w:b w:val="0"/>
                      <w:bCs/>
                      <w:color w:val="auto"/>
                      <w:szCs w:val="21"/>
                      <w:lang w:val="en-US" w:eastAsia="zh-CN"/>
                    </w:rPr>
                    <w:t>）</w:t>
                  </w:r>
                </w:p>
              </w:tc>
              <w:tc>
                <w:tcPr>
                  <w:tcW w:w="1240" w:type="pct"/>
                  <w:tcBorders>
                    <w:tl2br w:val="nil"/>
                    <w:tr2bl w:val="nil"/>
                  </w:tcBorders>
                  <w:shd w:val="clear" w:color="auto" w:fill="auto"/>
                  <w:noWrap w:val="0"/>
                  <w:tcMar>
                    <w:top w:w="0" w:type="dxa"/>
                    <w:left w:w="0" w:type="dxa"/>
                    <w:bottom w:w="0" w:type="dxa"/>
                    <w:right w:w="0" w:type="dxa"/>
                  </w:tcMar>
                  <w:vAlign w:val="center"/>
                </w:tcPr>
                <w:p w14:paraId="629A2925">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配料、投料</w:t>
                  </w:r>
                </w:p>
              </w:tc>
              <w:tc>
                <w:tcPr>
                  <w:tcW w:w="736" w:type="pct"/>
                  <w:tcBorders>
                    <w:tl2br w:val="nil"/>
                    <w:tr2bl w:val="nil"/>
                  </w:tcBorders>
                  <w:shd w:val="clear" w:color="auto" w:fill="auto"/>
                  <w:noWrap w:val="0"/>
                  <w:tcMar>
                    <w:top w:w="0" w:type="dxa"/>
                    <w:left w:w="0" w:type="dxa"/>
                    <w:bottom w:w="0" w:type="dxa"/>
                    <w:right w:w="0" w:type="dxa"/>
                  </w:tcMar>
                  <w:vAlign w:val="center"/>
                </w:tcPr>
                <w:p w14:paraId="5F24AE6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3000</w:t>
                  </w:r>
                </w:p>
              </w:tc>
              <w:tc>
                <w:tcPr>
                  <w:tcW w:w="970" w:type="pct"/>
                  <w:tcBorders>
                    <w:tl2br w:val="nil"/>
                    <w:tr2bl w:val="nil"/>
                  </w:tcBorders>
                  <w:shd w:val="clear" w:color="auto" w:fill="auto"/>
                  <w:noWrap w:val="0"/>
                  <w:tcMar>
                    <w:top w:w="0" w:type="dxa"/>
                    <w:left w:w="0" w:type="dxa"/>
                    <w:bottom w:w="0" w:type="dxa"/>
                    <w:right w:w="0" w:type="dxa"/>
                  </w:tcMar>
                  <w:vAlign w:val="center"/>
                </w:tcPr>
                <w:p w14:paraId="6E021F74">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0.3</w:t>
                  </w:r>
                </w:p>
              </w:tc>
              <w:tc>
                <w:tcPr>
                  <w:tcW w:w="839" w:type="pct"/>
                  <w:tcBorders>
                    <w:tl2br w:val="nil"/>
                    <w:tr2bl w:val="nil"/>
                  </w:tcBorders>
                  <w:shd w:val="clear" w:color="auto" w:fill="auto"/>
                  <w:noWrap w:val="0"/>
                  <w:tcMar>
                    <w:top w:w="0" w:type="dxa"/>
                    <w:left w:w="0" w:type="dxa"/>
                    <w:bottom w:w="0" w:type="dxa"/>
                    <w:right w:w="0" w:type="dxa"/>
                  </w:tcMar>
                  <w:vAlign w:val="center"/>
                </w:tcPr>
                <w:p w14:paraId="4E9396D2">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11.8</w:t>
                  </w:r>
                </w:p>
              </w:tc>
            </w:tr>
            <w:tr w14:paraId="1D7ACF3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213" w:type="pct"/>
                  <w:tcBorders>
                    <w:tl2br w:val="nil"/>
                    <w:tr2bl w:val="nil"/>
                  </w:tcBorders>
                  <w:noWrap w:val="0"/>
                  <w:tcMar>
                    <w:top w:w="0" w:type="dxa"/>
                    <w:left w:w="0" w:type="dxa"/>
                    <w:bottom w:w="0" w:type="dxa"/>
                    <w:right w:w="0" w:type="dxa"/>
                  </w:tcMar>
                  <w:vAlign w:val="center"/>
                </w:tcPr>
                <w:p w14:paraId="4B319873">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sz w:val="21"/>
                      <w:szCs w:val="21"/>
                      <w:lang w:val="en-US" w:eastAsia="zh-CN"/>
                    </w:rPr>
                    <w:t>15</w:t>
                  </w:r>
                  <w:r>
                    <w:rPr>
                      <w:rFonts w:hint="default" w:ascii="Times New Roman" w:hAnsi="Times New Roman" w:eastAsia="宋体" w:cs="Times New Roman"/>
                      <w:b w:val="0"/>
                      <w:bCs/>
                      <w:color w:val="auto"/>
                      <w:sz w:val="21"/>
                      <w:szCs w:val="21"/>
                    </w:rPr>
                    <w:t>米排气筒</w:t>
                  </w:r>
                  <w:r>
                    <w:rPr>
                      <w:rFonts w:hint="default" w:ascii="Times New Roman" w:hAnsi="Times New Roman" w:eastAsia="宋体" w:cs="Times New Roman"/>
                      <w:b w:val="0"/>
                      <w:bCs/>
                      <w:color w:val="auto"/>
                      <w:szCs w:val="21"/>
                      <w:lang w:val="en-US" w:eastAsia="zh-CN"/>
                    </w:rPr>
                    <w:t>（DA00</w:t>
                  </w:r>
                  <w:r>
                    <w:rPr>
                      <w:rFonts w:hint="eastAsia" w:ascii="Times New Roman" w:hAnsi="Times New Roman" w:eastAsia="宋体" w:cs="Times New Roman"/>
                      <w:b w:val="0"/>
                      <w:bCs/>
                      <w:color w:val="auto"/>
                      <w:szCs w:val="21"/>
                      <w:lang w:val="en-US" w:eastAsia="zh-CN"/>
                    </w:rPr>
                    <w:t>2</w:t>
                  </w:r>
                  <w:r>
                    <w:rPr>
                      <w:rFonts w:hint="default" w:ascii="Times New Roman" w:hAnsi="Times New Roman" w:eastAsia="宋体" w:cs="Times New Roman"/>
                      <w:b w:val="0"/>
                      <w:bCs/>
                      <w:color w:val="auto"/>
                      <w:szCs w:val="21"/>
                      <w:lang w:val="en-US" w:eastAsia="zh-CN"/>
                    </w:rPr>
                    <w:t>）</w:t>
                  </w:r>
                </w:p>
              </w:tc>
              <w:tc>
                <w:tcPr>
                  <w:tcW w:w="1240" w:type="pct"/>
                  <w:tcBorders>
                    <w:tl2br w:val="nil"/>
                    <w:tr2bl w:val="nil"/>
                  </w:tcBorders>
                  <w:shd w:val="clear" w:color="auto" w:fill="auto"/>
                  <w:noWrap w:val="0"/>
                  <w:tcMar>
                    <w:top w:w="0" w:type="dxa"/>
                    <w:left w:w="0" w:type="dxa"/>
                    <w:bottom w:w="0" w:type="dxa"/>
                    <w:right w:w="0" w:type="dxa"/>
                  </w:tcMar>
                  <w:vAlign w:val="center"/>
                </w:tcPr>
                <w:p w14:paraId="6EEF6794">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挤出、烘干、测试</w:t>
                  </w:r>
                </w:p>
              </w:tc>
              <w:tc>
                <w:tcPr>
                  <w:tcW w:w="736" w:type="pct"/>
                  <w:tcBorders>
                    <w:tl2br w:val="nil"/>
                    <w:tr2bl w:val="nil"/>
                  </w:tcBorders>
                  <w:shd w:val="clear" w:color="auto" w:fill="auto"/>
                  <w:noWrap w:val="0"/>
                  <w:tcMar>
                    <w:top w:w="0" w:type="dxa"/>
                    <w:left w:w="0" w:type="dxa"/>
                    <w:bottom w:w="0" w:type="dxa"/>
                    <w:right w:w="0" w:type="dxa"/>
                  </w:tcMar>
                  <w:vAlign w:val="center"/>
                </w:tcPr>
                <w:p w14:paraId="2F047940">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10000</w:t>
                  </w:r>
                </w:p>
              </w:tc>
              <w:tc>
                <w:tcPr>
                  <w:tcW w:w="970" w:type="pct"/>
                  <w:tcBorders>
                    <w:tl2br w:val="nil"/>
                    <w:tr2bl w:val="nil"/>
                  </w:tcBorders>
                  <w:shd w:val="clear" w:color="auto" w:fill="auto"/>
                  <w:noWrap w:val="0"/>
                  <w:tcMar>
                    <w:top w:w="0" w:type="dxa"/>
                    <w:left w:w="0" w:type="dxa"/>
                    <w:bottom w:w="0" w:type="dxa"/>
                    <w:right w:w="0" w:type="dxa"/>
                  </w:tcMar>
                  <w:vAlign w:val="center"/>
                </w:tcPr>
                <w:p w14:paraId="7F57FDC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0.5</w:t>
                  </w:r>
                </w:p>
              </w:tc>
              <w:tc>
                <w:tcPr>
                  <w:tcW w:w="839" w:type="pct"/>
                  <w:tcBorders>
                    <w:tl2br w:val="nil"/>
                    <w:tr2bl w:val="nil"/>
                  </w:tcBorders>
                  <w:shd w:val="clear" w:color="auto" w:fill="auto"/>
                  <w:noWrap w:val="0"/>
                  <w:tcMar>
                    <w:top w:w="0" w:type="dxa"/>
                    <w:left w:w="0" w:type="dxa"/>
                    <w:bottom w:w="0" w:type="dxa"/>
                    <w:right w:w="0" w:type="dxa"/>
                  </w:tcMar>
                  <w:vAlign w:val="center"/>
                </w:tcPr>
                <w:p w14:paraId="287FE98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14.2</w:t>
                  </w:r>
                </w:p>
              </w:tc>
            </w:tr>
          </w:tbl>
          <w:p w14:paraId="5AFC4DE4">
            <w:pPr>
              <w:keepNext w:val="0"/>
              <w:keepLines w:val="0"/>
              <w:pageBreakBefore w:val="0"/>
              <w:widowControl w:val="0"/>
              <w:suppressLineNumbers w:val="0"/>
              <w:kinsoku/>
              <w:wordWrap/>
              <w:overflowPunct/>
              <w:topLinePunct w:val="0"/>
              <w:autoSpaceDE/>
              <w:autoSpaceDN/>
              <w:bidi w:val="0"/>
              <w:adjustRightInd w:val="0"/>
              <w:snapToGrid w:val="0"/>
              <w:spacing w:before="157" w:beforeLines="50" w:beforeAutospacing="0" w:after="0" w:afterAutospacing="0" w:line="360" w:lineRule="auto"/>
              <w:ind w:left="0" w:right="0" w:firstLine="420" w:firstLineChars="200"/>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各排气筒的内径设置均保证废气流速在合适的范围内，根据《大气污染治理工程技术导则》（HJ2000-2010），排气筒的出口直径应根据出口流速确定，流速宜取15m/s左右。当采用钢管烟囱且高度较高时或烟气量较大时，可适当提高出口流速至20～25m/s。根据上表本项目烟气流速在合适的范围内，可满足废气治理的技术要求。</w:t>
            </w:r>
          </w:p>
          <w:p w14:paraId="60C77522">
            <w:pPr>
              <w:keepNext w:val="0"/>
              <w:keepLines w:val="0"/>
              <w:pageBreakBefore w:val="0"/>
              <w:widowControl w:val="0"/>
              <w:suppressLineNumbers w:val="0"/>
              <w:kinsoku/>
              <w:wordWrap/>
              <w:overflowPunct/>
              <w:topLinePunct w:val="0"/>
              <w:bidi w:val="0"/>
              <w:spacing w:beforeAutospacing="0" w:after="0" w:afterAutospacing="0" w:line="360" w:lineRule="auto"/>
              <w:ind w:left="0" w:right="0" w:firstLine="420" w:firstLineChars="200"/>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建设单位在设计过程中综合考虑工艺要求、废气风量、对周围环境的影响等前提下，合理设置排气筒的数量，减少对周边环境的影响。</w:t>
            </w:r>
          </w:p>
          <w:p w14:paraId="0C277E85">
            <w:pPr>
              <w:keepNext w:val="0"/>
              <w:keepLines w:val="0"/>
              <w:pageBreakBefore w:val="0"/>
              <w:widowControl w:val="0"/>
              <w:suppressLineNumbers w:val="0"/>
              <w:kinsoku/>
              <w:wordWrap/>
              <w:overflowPunct/>
              <w:topLinePunct w:val="0"/>
              <w:bidi w:val="0"/>
              <w:spacing w:beforeAutospacing="0" w:after="0" w:afterAutospacing="0" w:line="360" w:lineRule="auto"/>
              <w:ind w:left="0" w:right="0"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lang w:val="en-US" w:eastAsia="zh-CN"/>
              </w:rPr>
              <w:t>4</w:t>
            </w:r>
            <w:r>
              <w:rPr>
                <w:rFonts w:hint="default" w:ascii="Times New Roman" w:hAnsi="Times New Roman" w:eastAsia="宋体" w:cs="Times New Roman"/>
                <w:bCs/>
                <w:color w:val="auto"/>
                <w:sz w:val="21"/>
                <w:szCs w:val="21"/>
              </w:rPr>
              <w:t>）</w:t>
            </w:r>
            <w:r>
              <w:rPr>
                <w:rFonts w:hint="default" w:ascii="Times New Roman" w:hAnsi="Times New Roman" w:eastAsia="宋体" w:cs="Times New Roman"/>
                <w:color w:val="auto"/>
                <w:sz w:val="21"/>
                <w:szCs w:val="21"/>
              </w:rPr>
              <w:t>达标排放分析</w:t>
            </w:r>
          </w:p>
          <w:p w14:paraId="2771227F">
            <w:pPr>
              <w:keepNext w:val="0"/>
              <w:keepLines w:val="0"/>
              <w:pageBreakBefore w:val="0"/>
              <w:widowControl w:val="0"/>
              <w:kinsoku/>
              <w:wordWrap/>
              <w:overflowPunct/>
              <w:topLinePunct w:val="0"/>
              <w:autoSpaceDE w:val="0"/>
              <w:autoSpaceDN w:val="0"/>
              <w:bidi w:val="0"/>
              <w:adjustRightInd w:val="0"/>
              <w:snapToGrid w:val="0"/>
              <w:spacing w:line="360" w:lineRule="auto"/>
              <w:ind w:firstLine="420" w:firstLineChars="200"/>
              <w:textAlignment w:val="auto"/>
              <w:outlineLvl w:val="3"/>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Cs/>
                <w:color w:val="auto"/>
                <w:sz w:val="21"/>
                <w:szCs w:val="21"/>
                <w:lang w:val="en-US" w:eastAsia="zh-CN"/>
              </w:rPr>
              <w:t>①</w:t>
            </w:r>
            <w:r>
              <w:rPr>
                <w:rFonts w:hint="default" w:ascii="Times New Roman" w:hAnsi="Times New Roman" w:eastAsia="宋体" w:cs="Times New Roman"/>
                <w:bCs/>
                <w:color w:val="auto"/>
                <w:sz w:val="21"/>
                <w:szCs w:val="21"/>
              </w:rPr>
              <w:t>本项目有组织废气产生、排放情况见</w:t>
            </w:r>
            <w:r>
              <w:rPr>
                <w:rFonts w:hint="eastAsia" w:ascii="Times New Roman" w:hAnsi="Times New Roman" w:eastAsia="宋体" w:cs="Times New Roman"/>
                <w:bCs/>
                <w:color w:val="auto"/>
                <w:sz w:val="21"/>
                <w:szCs w:val="21"/>
                <w:lang w:val="en-US" w:eastAsia="zh-CN"/>
              </w:rPr>
              <w:t>下表</w:t>
            </w:r>
            <w:r>
              <w:rPr>
                <w:rFonts w:hint="default" w:ascii="Times New Roman" w:hAnsi="Times New Roman" w:eastAsia="宋体" w:cs="Times New Roman"/>
                <w:bCs/>
                <w:color w:val="auto"/>
                <w:sz w:val="21"/>
                <w:szCs w:val="21"/>
                <w:lang w:val="en-US" w:eastAsia="zh-CN"/>
              </w:rPr>
              <w:t>。</w:t>
            </w:r>
          </w:p>
          <w:p w14:paraId="1D126DA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表4-</w:t>
            </w:r>
            <w:r>
              <w:rPr>
                <w:rFonts w:hint="eastAsia" w:ascii="Times New Roman" w:hAnsi="Times New Roman" w:eastAsia="宋体" w:cs="Times New Roman"/>
                <w:b/>
                <w:bCs/>
                <w:color w:val="auto"/>
                <w:sz w:val="21"/>
                <w:szCs w:val="21"/>
                <w:lang w:val="en-US" w:eastAsia="zh-CN"/>
              </w:rPr>
              <w:t>9</w:t>
            </w:r>
            <w:r>
              <w:rPr>
                <w:rFonts w:hint="default" w:ascii="Times New Roman" w:hAnsi="Times New Roman" w:eastAsia="宋体" w:cs="Times New Roman"/>
                <w:b/>
                <w:bCs/>
                <w:color w:val="auto"/>
                <w:sz w:val="21"/>
                <w:szCs w:val="21"/>
              </w:rPr>
              <w:t xml:space="preserve"> 本项目有组织废气排放源强表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01"/>
              <w:gridCol w:w="532"/>
              <w:gridCol w:w="505"/>
              <w:gridCol w:w="555"/>
              <w:gridCol w:w="575"/>
              <w:gridCol w:w="600"/>
              <w:gridCol w:w="660"/>
              <w:gridCol w:w="314"/>
              <w:gridCol w:w="616"/>
              <w:gridCol w:w="650"/>
              <w:gridCol w:w="537"/>
              <w:gridCol w:w="609"/>
              <w:gridCol w:w="483"/>
              <w:gridCol w:w="715"/>
              <w:gridCol w:w="528"/>
            </w:tblGrid>
            <w:tr w14:paraId="0B729D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298" w:type="pct"/>
                  <w:vMerge w:val="restart"/>
                  <w:noWrap w:val="0"/>
                  <w:vAlign w:val="center"/>
                </w:tcPr>
                <w:p w14:paraId="7F73CA41">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污染源名称及编号</w:t>
                  </w:r>
                </w:p>
              </w:tc>
              <w:tc>
                <w:tcPr>
                  <w:tcW w:w="317" w:type="pct"/>
                  <w:vMerge w:val="restart"/>
                  <w:noWrap w:val="0"/>
                  <w:vAlign w:val="center"/>
                </w:tcPr>
                <w:p w14:paraId="35AD6151">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废气量m</w:t>
                  </w:r>
                  <w:r>
                    <w:rPr>
                      <w:rFonts w:hint="default" w:ascii="Times New Roman" w:hAnsi="Times New Roman" w:eastAsia="宋体" w:cs="Times New Roman"/>
                      <w:b/>
                      <w:bCs/>
                      <w:color w:val="auto"/>
                      <w:szCs w:val="21"/>
                      <w:vertAlign w:val="superscript"/>
                    </w:rPr>
                    <w:t>3</w:t>
                  </w:r>
                  <w:r>
                    <w:rPr>
                      <w:rFonts w:hint="default" w:ascii="Times New Roman" w:hAnsi="Times New Roman" w:eastAsia="宋体" w:cs="Times New Roman"/>
                      <w:b/>
                      <w:bCs/>
                      <w:color w:val="auto"/>
                      <w:szCs w:val="21"/>
                    </w:rPr>
                    <w:t>/h</w:t>
                  </w:r>
                </w:p>
              </w:tc>
              <w:tc>
                <w:tcPr>
                  <w:tcW w:w="301" w:type="pct"/>
                  <w:vMerge w:val="restart"/>
                  <w:noWrap w:val="0"/>
                  <w:vAlign w:val="center"/>
                </w:tcPr>
                <w:p w14:paraId="5470375A">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污染物名称</w:t>
                  </w:r>
                </w:p>
              </w:tc>
              <w:tc>
                <w:tcPr>
                  <w:tcW w:w="1032" w:type="pct"/>
                  <w:gridSpan w:val="3"/>
                  <w:noWrap w:val="0"/>
                  <w:vAlign w:val="center"/>
                </w:tcPr>
                <w:p w14:paraId="3A98A429">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产生情况</w:t>
                  </w:r>
                </w:p>
              </w:tc>
              <w:tc>
                <w:tcPr>
                  <w:tcW w:w="393" w:type="pct"/>
                  <w:vMerge w:val="restart"/>
                  <w:noWrap w:val="0"/>
                  <w:vAlign w:val="center"/>
                </w:tcPr>
                <w:p w14:paraId="1CE2E3CD">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治理</w:t>
                  </w:r>
                </w:p>
                <w:p w14:paraId="0D632A77">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措施</w:t>
                  </w:r>
                </w:p>
              </w:tc>
              <w:tc>
                <w:tcPr>
                  <w:tcW w:w="187" w:type="pct"/>
                  <w:vMerge w:val="restart"/>
                  <w:noWrap w:val="0"/>
                  <w:vAlign w:val="center"/>
                </w:tcPr>
                <w:p w14:paraId="0649C334">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去除率％</w:t>
                  </w:r>
                </w:p>
              </w:tc>
              <w:tc>
                <w:tcPr>
                  <w:tcW w:w="1075" w:type="pct"/>
                  <w:gridSpan w:val="3"/>
                  <w:noWrap w:val="0"/>
                  <w:vAlign w:val="center"/>
                </w:tcPr>
                <w:p w14:paraId="574737CB">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排放情况</w:t>
                  </w:r>
                </w:p>
              </w:tc>
              <w:tc>
                <w:tcPr>
                  <w:tcW w:w="651" w:type="pct"/>
                  <w:gridSpan w:val="2"/>
                  <w:noWrap w:val="0"/>
                  <w:vAlign w:val="center"/>
                </w:tcPr>
                <w:p w14:paraId="17C2B417">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执行标准</w:t>
                  </w:r>
                </w:p>
              </w:tc>
              <w:tc>
                <w:tcPr>
                  <w:tcW w:w="426" w:type="pct"/>
                  <w:vMerge w:val="restart"/>
                  <w:noWrap w:val="0"/>
                  <w:vAlign w:val="center"/>
                </w:tcPr>
                <w:p w14:paraId="39549B4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排气筒名称及编号</w:t>
                  </w:r>
                </w:p>
              </w:tc>
              <w:tc>
                <w:tcPr>
                  <w:tcW w:w="315" w:type="pct"/>
                  <w:vMerge w:val="restart"/>
                  <w:noWrap w:val="0"/>
                  <w:vAlign w:val="center"/>
                </w:tcPr>
                <w:p w14:paraId="295C08C6">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排放</w:t>
                  </w:r>
                </w:p>
                <w:p w14:paraId="50F4EA2D">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方式</w:t>
                  </w:r>
                </w:p>
              </w:tc>
            </w:tr>
            <w:tr w14:paraId="5933CD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298" w:type="pct"/>
                  <w:vMerge w:val="continue"/>
                  <w:noWrap w:val="0"/>
                  <w:vAlign w:val="center"/>
                </w:tcPr>
                <w:p w14:paraId="3FFDC7EF">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p>
              </w:tc>
              <w:tc>
                <w:tcPr>
                  <w:tcW w:w="317" w:type="pct"/>
                  <w:vMerge w:val="continue"/>
                  <w:noWrap w:val="0"/>
                  <w:vAlign w:val="center"/>
                </w:tcPr>
                <w:p w14:paraId="076E9DA9">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p>
              </w:tc>
              <w:tc>
                <w:tcPr>
                  <w:tcW w:w="301" w:type="pct"/>
                  <w:vMerge w:val="continue"/>
                  <w:noWrap w:val="0"/>
                  <w:vAlign w:val="center"/>
                </w:tcPr>
                <w:p w14:paraId="791BC31B">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p>
              </w:tc>
              <w:tc>
                <w:tcPr>
                  <w:tcW w:w="331" w:type="pct"/>
                  <w:noWrap w:val="0"/>
                  <w:tcMar>
                    <w:top w:w="0" w:type="dxa"/>
                    <w:left w:w="28" w:type="dxa"/>
                    <w:bottom w:w="0" w:type="dxa"/>
                    <w:right w:w="28" w:type="dxa"/>
                  </w:tcMar>
                  <w:vAlign w:val="center"/>
                </w:tcPr>
                <w:p w14:paraId="567AE24E">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产生量t/a</w:t>
                  </w:r>
                </w:p>
              </w:tc>
              <w:tc>
                <w:tcPr>
                  <w:tcW w:w="343" w:type="pct"/>
                  <w:noWrap w:val="0"/>
                  <w:tcMar>
                    <w:top w:w="0" w:type="dxa"/>
                    <w:left w:w="28" w:type="dxa"/>
                    <w:bottom w:w="0" w:type="dxa"/>
                    <w:right w:w="28" w:type="dxa"/>
                  </w:tcMar>
                  <w:vAlign w:val="center"/>
                </w:tcPr>
                <w:p w14:paraId="7707A20B">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浓度mg/m</w:t>
                  </w:r>
                  <w:r>
                    <w:rPr>
                      <w:rFonts w:hint="default" w:ascii="Times New Roman" w:hAnsi="Times New Roman" w:eastAsia="宋体" w:cs="Times New Roman"/>
                      <w:b/>
                      <w:bCs/>
                      <w:color w:val="auto"/>
                      <w:szCs w:val="21"/>
                      <w:vertAlign w:val="superscript"/>
                    </w:rPr>
                    <w:t>3</w:t>
                  </w:r>
                </w:p>
              </w:tc>
              <w:tc>
                <w:tcPr>
                  <w:tcW w:w="357" w:type="pct"/>
                  <w:noWrap w:val="0"/>
                  <w:vAlign w:val="center"/>
                </w:tcPr>
                <w:p w14:paraId="695F6FCF">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速率kg/h</w:t>
                  </w:r>
                </w:p>
              </w:tc>
              <w:tc>
                <w:tcPr>
                  <w:tcW w:w="393" w:type="pct"/>
                  <w:vMerge w:val="continue"/>
                  <w:noWrap w:val="0"/>
                  <w:vAlign w:val="center"/>
                </w:tcPr>
                <w:p w14:paraId="040861A7">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p>
              </w:tc>
              <w:tc>
                <w:tcPr>
                  <w:tcW w:w="187" w:type="pct"/>
                  <w:vMerge w:val="continue"/>
                  <w:noWrap w:val="0"/>
                  <w:vAlign w:val="center"/>
                </w:tcPr>
                <w:p w14:paraId="1D567835">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p>
              </w:tc>
              <w:tc>
                <w:tcPr>
                  <w:tcW w:w="367" w:type="pct"/>
                  <w:noWrap w:val="0"/>
                  <w:vAlign w:val="center"/>
                </w:tcPr>
                <w:p w14:paraId="44E224DB">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排放量t/a</w:t>
                  </w:r>
                </w:p>
              </w:tc>
              <w:tc>
                <w:tcPr>
                  <w:tcW w:w="387" w:type="pct"/>
                  <w:noWrap w:val="0"/>
                  <w:vAlign w:val="center"/>
                </w:tcPr>
                <w:p w14:paraId="29B20B89">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浓度mg/m</w:t>
                  </w:r>
                  <w:r>
                    <w:rPr>
                      <w:rFonts w:hint="default" w:ascii="Times New Roman" w:hAnsi="Times New Roman" w:eastAsia="宋体" w:cs="Times New Roman"/>
                      <w:b/>
                      <w:bCs/>
                      <w:color w:val="auto"/>
                      <w:szCs w:val="21"/>
                      <w:vertAlign w:val="superscript"/>
                    </w:rPr>
                    <w:t>3</w:t>
                  </w:r>
                </w:p>
              </w:tc>
              <w:tc>
                <w:tcPr>
                  <w:tcW w:w="320" w:type="pct"/>
                  <w:noWrap w:val="0"/>
                  <w:vAlign w:val="center"/>
                </w:tcPr>
                <w:p w14:paraId="357F5611">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速率kg/h</w:t>
                  </w:r>
                </w:p>
              </w:tc>
              <w:tc>
                <w:tcPr>
                  <w:tcW w:w="363" w:type="pct"/>
                  <w:noWrap w:val="0"/>
                  <w:vAlign w:val="center"/>
                </w:tcPr>
                <w:p w14:paraId="74148D8F">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浓度mg/m</w:t>
                  </w:r>
                  <w:r>
                    <w:rPr>
                      <w:rFonts w:hint="default" w:ascii="Times New Roman" w:hAnsi="Times New Roman" w:eastAsia="宋体" w:cs="Times New Roman"/>
                      <w:b/>
                      <w:bCs/>
                      <w:color w:val="auto"/>
                      <w:szCs w:val="21"/>
                      <w:vertAlign w:val="superscript"/>
                    </w:rPr>
                    <w:t>3</w:t>
                  </w:r>
                </w:p>
              </w:tc>
              <w:tc>
                <w:tcPr>
                  <w:tcW w:w="288" w:type="pct"/>
                  <w:noWrap w:val="0"/>
                  <w:vAlign w:val="center"/>
                </w:tcPr>
                <w:p w14:paraId="2634BE8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速率kg/h</w:t>
                  </w:r>
                </w:p>
              </w:tc>
              <w:tc>
                <w:tcPr>
                  <w:tcW w:w="426" w:type="pct"/>
                  <w:vMerge w:val="continue"/>
                  <w:noWrap w:val="0"/>
                  <w:vAlign w:val="center"/>
                </w:tcPr>
                <w:p w14:paraId="5DC61F46">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Cs w:val="21"/>
                    </w:rPr>
                  </w:pPr>
                </w:p>
              </w:tc>
              <w:tc>
                <w:tcPr>
                  <w:tcW w:w="315" w:type="pct"/>
                  <w:vMerge w:val="continue"/>
                  <w:noWrap w:val="0"/>
                  <w:vAlign w:val="center"/>
                </w:tcPr>
                <w:p w14:paraId="3FF22A7C">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rPr>
                  </w:pPr>
                </w:p>
              </w:tc>
            </w:tr>
            <w:tr w14:paraId="27C9AC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298" w:type="pct"/>
                  <w:vMerge w:val="restart"/>
                  <w:shd w:val="clear" w:color="auto" w:fill="auto"/>
                  <w:noWrap w:val="0"/>
                  <w:vAlign w:val="center"/>
                </w:tcPr>
                <w:p w14:paraId="03C50464">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挤出、烘干、测试</w:t>
                  </w:r>
                </w:p>
              </w:tc>
              <w:tc>
                <w:tcPr>
                  <w:tcW w:w="317" w:type="pct"/>
                  <w:vMerge w:val="restart"/>
                  <w:noWrap w:val="0"/>
                  <w:vAlign w:val="center"/>
                </w:tcPr>
                <w:p w14:paraId="473BC4E8">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kern w:val="2"/>
                      <w:sz w:val="21"/>
                      <w:szCs w:val="21"/>
                      <w:lang w:val="en-US" w:eastAsia="zh-CN" w:bidi="ar"/>
                    </w:rPr>
                    <w:t>10000</w:t>
                  </w:r>
                </w:p>
              </w:tc>
              <w:tc>
                <w:tcPr>
                  <w:tcW w:w="301" w:type="pct"/>
                  <w:noWrap w:val="0"/>
                  <w:vAlign w:val="center"/>
                </w:tcPr>
                <w:p w14:paraId="275C24D6">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非甲烷总烃</w:t>
                  </w:r>
                </w:p>
              </w:tc>
              <w:tc>
                <w:tcPr>
                  <w:tcW w:w="331" w:type="pct"/>
                  <w:shd w:val="clear" w:color="auto" w:fill="auto"/>
                  <w:noWrap w:val="0"/>
                  <w:tcMar>
                    <w:top w:w="0" w:type="dxa"/>
                    <w:left w:w="28" w:type="dxa"/>
                    <w:bottom w:w="0" w:type="dxa"/>
                    <w:right w:w="28" w:type="dxa"/>
                  </w:tcMar>
                  <w:vAlign w:val="center"/>
                </w:tcPr>
                <w:p w14:paraId="3AE161D8">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0.2885</w:t>
                  </w:r>
                </w:p>
              </w:tc>
              <w:tc>
                <w:tcPr>
                  <w:tcW w:w="343" w:type="pct"/>
                  <w:shd w:val="clear" w:color="auto" w:fill="auto"/>
                  <w:noWrap w:val="0"/>
                  <w:tcMar>
                    <w:top w:w="0" w:type="dxa"/>
                    <w:left w:w="28" w:type="dxa"/>
                    <w:bottom w:w="0" w:type="dxa"/>
                    <w:right w:w="28" w:type="dxa"/>
                  </w:tcMar>
                  <w:vAlign w:val="center"/>
                </w:tcPr>
                <w:p w14:paraId="729DD50F">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12.02</w:t>
                  </w:r>
                </w:p>
              </w:tc>
              <w:tc>
                <w:tcPr>
                  <w:tcW w:w="357" w:type="pct"/>
                  <w:shd w:val="clear" w:color="auto" w:fill="auto"/>
                  <w:noWrap w:val="0"/>
                  <w:vAlign w:val="center"/>
                </w:tcPr>
                <w:p w14:paraId="0965B6A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0.1202</w:t>
                  </w:r>
                </w:p>
              </w:tc>
              <w:tc>
                <w:tcPr>
                  <w:tcW w:w="393" w:type="pct"/>
                  <w:vMerge w:val="restart"/>
                  <w:noWrap w:val="0"/>
                  <w:vAlign w:val="center"/>
                </w:tcPr>
                <w:p w14:paraId="3347404F">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color w:val="auto"/>
                      <w:szCs w:val="21"/>
                    </w:rPr>
                  </w:pPr>
                  <w:r>
                    <w:rPr>
                      <w:rFonts w:hint="eastAsia"/>
                      <w:color w:val="auto"/>
                      <w:szCs w:val="21"/>
                      <w:lang w:val="en-US" w:eastAsia="zh-CN"/>
                    </w:rPr>
                    <w:t>水喷淋塔+除湿器+二级活性炭吸附装置</w:t>
                  </w:r>
                </w:p>
              </w:tc>
              <w:tc>
                <w:tcPr>
                  <w:tcW w:w="187" w:type="pct"/>
                  <w:noWrap w:val="0"/>
                  <w:vAlign w:val="center"/>
                </w:tcPr>
                <w:p w14:paraId="336E076B">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90</w:t>
                  </w:r>
                </w:p>
              </w:tc>
              <w:tc>
                <w:tcPr>
                  <w:tcW w:w="367" w:type="pct"/>
                  <w:noWrap w:val="0"/>
                  <w:vAlign w:val="center"/>
                </w:tcPr>
                <w:p w14:paraId="43C96385">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0.0289</w:t>
                  </w:r>
                </w:p>
              </w:tc>
              <w:tc>
                <w:tcPr>
                  <w:tcW w:w="387" w:type="pct"/>
                  <w:noWrap w:val="0"/>
                  <w:vAlign w:val="center"/>
                </w:tcPr>
                <w:p w14:paraId="57152C0D">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1.2</w:t>
                  </w:r>
                </w:p>
              </w:tc>
              <w:tc>
                <w:tcPr>
                  <w:tcW w:w="320" w:type="pct"/>
                  <w:noWrap w:val="0"/>
                  <w:vAlign w:val="center"/>
                </w:tcPr>
                <w:p w14:paraId="0216C776">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0.012</w:t>
                  </w:r>
                </w:p>
              </w:tc>
              <w:tc>
                <w:tcPr>
                  <w:tcW w:w="363" w:type="pct"/>
                  <w:noWrap w:val="0"/>
                  <w:vAlign w:val="center"/>
                </w:tcPr>
                <w:p w14:paraId="4B6A1D7D">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60</w:t>
                  </w:r>
                </w:p>
              </w:tc>
              <w:tc>
                <w:tcPr>
                  <w:tcW w:w="288" w:type="pct"/>
                  <w:noWrap w:val="0"/>
                  <w:vAlign w:val="center"/>
                </w:tcPr>
                <w:p w14:paraId="2B383DD0">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426" w:type="pct"/>
                  <w:vMerge w:val="restart"/>
                  <w:noWrap w:val="0"/>
                  <w:vAlign w:val="center"/>
                </w:tcPr>
                <w:p w14:paraId="0B9C074B">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
                      <w:bCs/>
                      <w:color w:val="auto"/>
                      <w:szCs w:val="21"/>
                      <w:lang w:eastAsia="zh-CN"/>
                    </w:rPr>
                  </w:pPr>
                  <w:r>
                    <w:rPr>
                      <w:rFonts w:hint="default" w:ascii="Times New Roman" w:hAnsi="Times New Roman" w:eastAsia="宋体" w:cs="Times New Roman"/>
                      <w:color w:val="auto"/>
                      <w:szCs w:val="21"/>
                      <w:lang w:val="en-US" w:eastAsia="zh-CN"/>
                    </w:rPr>
                    <w:t>15</w:t>
                  </w:r>
                  <w:r>
                    <w:rPr>
                      <w:rFonts w:hint="default" w:ascii="Times New Roman" w:hAnsi="Times New Roman" w:eastAsia="宋体" w:cs="Times New Roman"/>
                      <w:color w:val="auto"/>
                      <w:szCs w:val="21"/>
                    </w:rPr>
                    <w:t>米高排气筒</w:t>
                  </w:r>
                  <w:r>
                    <w:rPr>
                      <w:rFonts w:hint="default" w:ascii="Times New Roman" w:hAnsi="Times New Roman" w:eastAsia="宋体" w:cs="Times New Roman"/>
                      <w:color w:val="auto"/>
                      <w:szCs w:val="21"/>
                      <w:lang w:val="en-US" w:eastAsia="zh-CN"/>
                    </w:rPr>
                    <w:t>DA00</w:t>
                  </w:r>
                  <w:r>
                    <w:rPr>
                      <w:rFonts w:hint="eastAsia" w:ascii="Times New Roman" w:hAnsi="Times New Roman" w:eastAsia="宋体" w:cs="Times New Roman"/>
                      <w:color w:val="auto"/>
                      <w:szCs w:val="21"/>
                      <w:lang w:val="en-US" w:eastAsia="zh-CN"/>
                    </w:rPr>
                    <w:t>2</w:t>
                  </w:r>
                </w:p>
              </w:tc>
              <w:tc>
                <w:tcPr>
                  <w:tcW w:w="315" w:type="pct"/>
                  <w:vMerge w:val="restart"/>
                  <w:noWrap w:val="0"/>
                  <w:vAlign w:val="center"/>
                </w:tcPr>
                <w:p w14:paraId="6724E378">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Cs/>
                      <w:color w:val="auto"/>
                      <w:szCs w:val="21"/>
                      <w:lang w:val="en-US"/>
                    </w:rPr>
                  </w:pPr>
                  <w:r>
                    <w:rPr>
                      <w:rFonts w:hint="eastAsia" w:ascii="Times New Roman" w:hAnsi="Times New Roman" w:eastAsia="宋体" w:cs="Times New Roman"/>
                      <w:bCs/>
                      <w:color w:val="auto"/>
                      <w:szCs w:val="21"/>
                      <w:lang w:val="en-US" w:eastAsia="zh-CN"/>
                    </w:rPr>
                    <w:t>2400h</w:t>
                  </w:r>
                </w:p>
              </w:tc>
            </w:tr>
            <w:tr w14:paraId="26D49B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298" w:type="pct"/>
                  <w:vMerge w:val="continue"/>
                  <w:noWrap w:val="0"/>
                  <w:vAlign w:val="center"/>
                </w:tcPr>
                <w:p w14:paraId="2FA7B54B">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sz w:val="21"/>
                      <w:szCs w:val="21"/>
                      <w:lang w:val="en-US" w:eastAsia="zh-CN" w:bidi="ar"/>
                    </w:rPr>
                  </w:pPr>
                </w:p>
              </w:tc>
              <w:tc>
                <w:tcPr>
                  <w:tcW w:w="317" w:type="pct"/>
                  <w:vMerge w:val="continue"/>
                  <w:noWrap w:val="0"/>
                  <w:vAlign w:val="center"/>
                </w:tcPr>
                <w:p w14:paraId="742ABC0B">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p>
              </w:tc>
              <w:tc>
                <w:tcPr>
                  <w:tcW w:w="301" w:type="pct"/>
                  <w:noWrap w:val="0"/>
                  <w:vAlign w:val="center"/>
                </w:tcPr>
                <w:p w14:paraId="142620B6">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颗粒物</w:t>
                  </w:r>
                </w:p>
              </w:tc>
              <w:tc>
                <w:tcPr>
                  <w:tcW w:w="331" w:type="pct"/>
                  <w:shd w:val="clear" w:color="auto" w:fill="auto"/>
                  <w:noWrap w:val="0"/>
                  <w:tcMar>
                    <w:top w:w="0" w:type="dxa"/>
                    <w:left w:w="28" w:type="dxa"/>
                    <w:bottom w:w="0" w:type="dxa"/>
                    <w:right w:w="28" w:type="dxa"/>
                  </w:tcMar>
                  <w:vAlign w:val="center"/>
                </w:tcPr>
                <w:p w14:paraId="6FE3F22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0.5535</w:t>
                  </w:r>
                </w:p>
              </w:tc>
              <w:tc>
                <w:tcPr>
                  <w:tcW w:w="343" w:type="pct"/>
                  <w:shd w:val="clear" w:color="auto" w:fill="auto"/>
                  <w:noWrap w:val="0"/>
                  <w:tcMar>
                    <w:top w:w="0" w:type="dxa"/>
                    <w:left w:w="28" w:type="dxa"/>
                    <w:bottom w:w="0" w:type="dxa"/>
                    <w:right w:w="28" w:type="dxa"/>
                  </w:tcMar>
                  <w:vAlign w:val="center"/>
                </w:tcPr>
                <w:p w14:paraId="57FFF528">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23.06</w:t>
                  </w:r>
                </w:p>
              </w:tc>
              <w:tc>
                <w:tcPr>
                  <w:tcW w:w="357" w:type="pct"/>
                  <w:shd w:val="clear" w:color="auto" w:fill="auto"/>
                  <w:noWrap w:val="0"/>
                  <w:vAlign w:val="center"/>
                </w:tcPr>
                <w:p w14:paraId="591CE4B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0.2306</w:t>
                  </w:r>
                </w:p>
              </w:tc>
              <w:tc>
                <w:tcPr>
                  <w:tcW w:w="393" w:type="pct"/>
                  <w:vMerge w:val="continue"/>
                  <w:noWrap w:val="0"/>
                  <w:vAlign w:val="center"/>
                </w:tcPr>
                <w:p w14:paraId="761AF532">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color w:val="auto"/>
                      <w:sz w:val="21"/>
                      <w:szCs w:val="21"/>
                      <w:lang w:val="en-US" w:eastAsia="zh-CN"/>
                    </w:rPr>
                  </w:pPr>
                </w:p>
              </w:tc>
              <w:tc>
                <w:tcPr>
                  <w:tcW w:w="187" w:type="pct"/>
                  <w:noWrap w:val="0"/>
                  <w:vAlign w:val="center"/>
                </w:tcPr>
                <w:p w14:paraId="611C6834">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85</w:t>
                  </w:r>
                </w:p>
              </w:tc>
              <w:tc>
                <w:tcPr>
                  <w:tcW w:w="367" w:type="pct"/>
                  <w:noWrap w:val="0"/>
                  <w:vAlign w:val="center"/>
                </w:tcPr>
                <w:p w14:paraId="65DD953B">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0.083</w:t>
                  </w:r>
                </w:p>
              </w:tc>
              <w:tc>
                <w:tcPr>
                  <w:tcW w:w="387" w:type="pct"/>
                  <w:noWrap w:val="0"/>
                  <w:vAlign w:val="center"/>
                </w:tcPr>
                <w:p w14:paraId="5510E6F4">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3.5</w:t>
                  </w:r>
                </w:p>
              </w:tc>
              <w:tc>
                <w:tcPr>
                  <w:tcW w:w="320" w:type="pct"/>
                  <w:noWrap w:val="0"/>
                  <w:vAlign w:val="center"/>
                </w:tcPr>
                <w:p w14:paraId="511881D4">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0.035</w:t>
                  </w:r>
                </w:p>
              </w:tc>
              <w:tc>
                <w:tcPr>
                  <w:tcW w:w="363" w:type="pct"/>
                  <w:noWrap w:val="0"/>
                  <w:vAlign w:val="center"/>
                </w:tcPr>
                <w:p w14:paraId="61A2B811">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w:t>
                  </w:r>
                </w:p>
              </w:tc>
              <w:tc>
                <w:tcPr>
                  <w:tcW w:w="288" w:type="pct"/>
                  <w:noWrap w:val="0"/>
                  <w:vAlign w:val="center"/>
                </w:tcPr>
                <w:p w14:paraId="729420FD">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c>
                <w:tcPr>
                  <w:tcW w:w="426" w:type="pct"/>
                  <w:vMerge w:val="continue"/>
                  <w:noWrap w:val="0"/>
                  <w:vAlign w:val="center"/>
                </w:tcPr>
                <w:p w14:paraId="477CDB27">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color w:val="auto"/>
                      <w:szCs w:val="21"/>
                      <w:lang w:val="en-US" w:eastAsia="zh-CN"/>
                    </w:rPr>
                  </w:pPr>
                </w:p>
              </w:tc>
              <w:tc>
                <w:tcPr>
                  <w:tcW w:w="315" w:type="pct"/>
                  <w:vMerge w:val="continue"/>
                  <w:noWrap w:val="0"/>
                  <w:vAlign w:val="center"/>
                </w:tcPr>
                <w:p w14:paraId="10521577">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Cs/>
                      <w:color w:val="auto"/>
                      <w:szCs w:val="21"/>
                      <w:lang w:val="en-US" w:eastAsia="zh-CN"/>
                    </w:rPr>
                  </w:pPr>
                </w:p>
              </w:tc>
            </w:tr>
            <w:tr w14:paraId="49A544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298" w:type="pct"/>
                  <w:noWrap w:val="0"/>
                  <w:vAlign w:val="center"/>
                </w:tcPr>
                <w:p w14:paraId="2DF2E88E">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sz w:val="21"/>
                      <w:szCs w:val="21"/>
                      <w:lang w:val="en-US" w:eastAsia="zh-CN" w:bidi="ar"/>
                    </w:rPr>
                  </w:pPr>
                  <w:r>
                    <w:rPr>
                      <w:rFonts w:hint="eastAsia" w:ascii="Times New Roman" w:hAnsi="Times New Roman" w:eastAsia="宋体" w:cs="Times New Roman"/>
                      <w:b w:val="0"/>
                      <w:bCs/>
                      <w:color w:val="auto"/>
                      <w:sz w:val="21"/>
                      <w:szCs w:val="21"/>
                      <w:lang w:val="en-US" w:eastAsia="zh-CN" w:bidi="ar"/>
                    </w:rPr>
                    <w:t>配料、投料</w:t>
                  </w:r>
                </w:p>
              </w:tc>
              <w:tc>
                <w:tcPr>
                  <w:tcW w:w="317" w:type="pct"/>
                  <w:noWrap w:val="0"/>
                  <w:vAlign w:val="center"/>
                </w:tcPr>
                <w:p w14:paraId="695A65F3">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kern w:val="2"/>
                      <w:sz w:val="21"/>
                      <w:szCs w:val="21"/>
                      <w:lang w:val="en-US" w:eastAsia="zh-CN" w:bidi="ar"/>
                    </w:rPr>
                    <w:t>3000</w:t>
                  </w:r>
                </w:p>
              </w:tc>
              <w:tc>
                <w:tcPr>
                  <w:tcW w:w="301" w:type="pct"/>
                  <w:noWrap w:val="0"/>
                  <w:vAlign w:val="center"/>
                </w:tcPr>
                <w:p w14:paraId="7C168D1C">
                  <w:pPr>
                    <w:keepNext w:val="0"/>
                    <w:keepLines w:val="0"/>
                    <w:suppressLineNumbers w:val="0"/>
                    <w:spacing w:before="0" w:beforeAutospacing="0" w:after="0" w:afterAutospacing="0"/>
                    <w:ind w:left="0" w:leftChars="0" w:right="0" w:rightChars="0"/>
                    <w:contextualSpacing/>
                    <w:jc w:val="center"/>
                    <w:rPr>
                      <w:rFonts w:hint="eastAsia"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Cs w:val="21"/>
                      <w:lang w:val="en-US" w:eastAsia="zh-CN"/>
                    </w:rPr>
                    <w:t>颗粒物</w:t>
                  </w:r>
                </w:p>
              </w:tc>
              <w:tc>
                <w:tcPr>
                  <w:tcW w:w="331" w:type="pct"/>
                  <w:shd w:val="clear" w:color="auto" w:fill="auto"/>
                  <w:noWrap w:val="0"/>
                  <w:tcMar>
                    <w:top w:w="0" w:type="dxa"/>
                    <w:left w:w="28" w:type="dxa"/>
                    <w:bottom w:w="0" w:type="dxa"/>
                    <w:right w:w="28" w:type="dxa"/>
                  </w:tcMar>
                  <w:vAlign w:val="center"/>
                </w:tcPr>
                <w:p w14:paraId="01426F4B">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rPr>
                    <w:t>0.1791</w:t>
                  </w:r>
                </w:p>
              </w:tc>
              <w:tc>
                <w:tcPr>
                  <w:tcW w:w="343" w:type="pct"/>
                  <w:shd w:val="clear" w:color="auto" w:fill="auto"/>
                  <w:noWrap w:val="0"/>
                  <w:tcMar>
                    <w:top w:w="0" w:type="dxa"/>
                    <w:left w:w="28" w:type="dxa"/>
                    <w:bottom w:w="0" w:type="dxa"/>
                    <w:right w:w="28" w:type="dxa"/>
                  </w:tcMar>
                  <w:vAlign w:val="center"/>
                </w:tcPr>
                <w:p w14:paraId="006D8346">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99.5</w:t>
                  </w:r>
                </w:p>
              </w:tc>
              <w:tc>
                <w:tcPr>
                  <w:tcW w:w="357" w:type="pct"/>
                  <w:shd w:val="clear" w:color="auto" w:fill="auto"/>
                  <w:noWrap w:val="0"/>
                  <w:vAlign w:val="center"/>
                </w:tcPr>
                <w:p w14:paraId="12666CD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0.2985</w:t>
                  </w:r>
                </w:p>
              </w:tc>
              <w:tc>
                <w:tcPr>
                  <w:tcW w:w="393" w:type="pct"/>
                  <w:noWrap w:val="0"/>
                  <w:vAlign w:val="center"/>
                </w:tcPr>
                <w:p w14:paraId="3326F20E">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布袋除尘器</w:t>
                  </w:r>
                </w:p>
              </w:tc>
              <w:tc>
                <w:tcPr>
                  <w:tcW w:w="187" w:type="pct"/>
                  <w:noWrap w:val="0"/>
                  <w:vAlign w:val="center"/>
                </w:tcPr>
                <w:p w14:paraId="40EE223E">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w:t>
                  </w:r>
                </w:p>
              </w:tc>
              <w:tc>
                <w:tcPr>
                  <w:tcW w:w="367" w:type="pct"/>
                  <w:noWrap w:val="0"/>
                  <w:vAlign w:val="center"/>
                </w:tcPr>
                <w:p w14:paraId="5975C962">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0.0179</w:t>
                  </w:r>
                </w:p>
              </w:tc>
              <w:tc>
                <w:tcPr>
                  <w:tcW w:w="387" w:type="pct"/>
                  <w:noWrap w:val="0"/>
                  <w:vAlign w:val="center"/>
                </w:tcPr>
                <w:p w14:paraId="3EA804C6">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c>
                <w:tcPr>
                  <w:tcW w:w="320" w:type="pct"/>
                  <w:noWrap w:val="0"/>
                  <w:vAlign w:val="center"/>
                </w:tcPr>
                <w:p w14:paraId="7E00E3D9">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0.03</w:t>
                  </w:r>
                </w:p>
              </w:tc>
              <w:tc>
                <w:tcPr>
                  <w:tcW w:w="363" w:type="pct"/>
                  <w:shd w:val="clear" w:color="auto" w:fill="auto"/>
                  <w:noWrap w:val="0"/>
                  <w:vAlign w:val="center"/>
                </w:tcPr>
                <w:p w14:paraId="2AEF4132">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w:t>
                  </w:r>
                </w:p>
              </w:tc>
              <w:tc>
                <w:tcPr>
                  <w:tcW w:w="288" w:type="pct"/>
                  <w:shd w:val="clear" w:color="auto" w:fill="auto"/>
                  <w:noWrap w:val="0"/>
                  <w:vAlign w:val="center"/>
                </w:tcPr>
                <w:p w14:paraId="7AFB94A1">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426" w:type="pct"/>
                  <w:noWrap w:val="0"/>
                  <w:vAlign w:val="center"/>
                </w:tcPr>
                <w:p w14:paraId="5EE66E1E">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color w:val="auto"/>
                      <w:szCs w:val="21"/>
                      <w:lang w:val="en-US" w:eastAsia="zh-CN"/>
                    </w:rPr>
                    <w:t>15</w:t>
                  </w:r>
                  <w:r>
                    <w:rPr>
                      <w:rFonts w:hint="default" w:ascii="Times New Roman" w:hAnsi="Times New Roman" w:eastAsia="宋体" w:cs="Times New Roman"/>
                      <w:color w:val="auto"/>
                      <w:szCs w:val="21"/>
                    </w:rPr>
                    <w:t>米高排气筒</w:t>
                  </w:r>
                  <w:r>
                    <w:rPr>
                      <w:rFonts w:hint="default" w:ascii="Times New Roman" w:hAnsi="Times New Roman" w:eastAsia="宋体" w:cs="Times New Roman"/>
                      <w:color w:val="auto"/>
                      <w:szCs w:val="21"/>
                      <w:lang w:val="en-US" w:eastAsia="zh-CN"/>
                    </w:rPr>
                    <w:t>DA00</w:t>
                  </w:r>
                  <w:r>
                    <w:rPr>
                      <w:rFonts w:hint="eastAsia" w:ascii="Times New Roman" w:hAnsi="Times New Roman" w:eastAsia="宋体" w:cs="Times New Roman"/>
                      <w:color w:val="auto"/>
                      <w:szCs w:val="21"/>
                      <w:lang w:val="en-US" w:eastAsia="zh-CN"/>
                    </w:rPr>
                    <w:t>1</w:t>
                  </w:r>
                </w:p>
              </w:tc>
              <w:tc>
                <w:tcPr>
                  <w:tcW w:w="315" w:type="pct"/>
                  <w:noWrap w:val="0"/>
                  <w:vAlign w:val="center"/>
                </w:tcPr>
                <w:p w14:paraId="093DDB82">
                  <w:pPr>
                    <w:keepNext w:val="0"/>
                    <w:keepLines w:val="0"/>
                    <w:suppressLineNumbers w:val="0"/>
                    <w:spacing w:before="0" w:beforeAutospacing="0" w:after="0" w:afterAutospacing="0"/>
                    <w:ind w:left="0" w:right="0"/>
                    <w:contextualSpacing/>
                    <w:jc w:val="center"/>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600h</w:t>
                  </w:r>
                </w:p>
              </w:tc>
            </w:tr>
          </w:tbl>
          <w:p w14:paraId="2D40397A">
            <w:pPr>
              <w:keepNext w:val="0"/>
              <w:keepLines w:val="0"/>
              <w:suppressLineNumbers w:val="0"/>
              <w:adjustRightInd w:val="0"/>
              <w:snapToGrid w:val="0"/>
              <w:spacing w:before="0" w:beforeAutospacing="0" w:after="0" w:afterAutospacing="0" w:line="360" w:lineRule="auto"/>
              <w:ind w:left="0" w:right="0" w:firstLine="420" w:firstLineChars="200"/>
              <w:rPr>
                <w:rFonts w:hint="default" w:ascii="Times New Roman" w:hAnsi="Times New Roman" w:eastAsia="宋体" w:cs="Times New Roman"/>
                <w:color w:val="auto"/>
                <w:spacing w:val="4"/>
                <w:sz w:val="21"/>
                <w:szCs w:val="21"/>
              </w:rPr>
            </w:pPr>
            <w:r>
              <w:rPr>
                <w:rFonts w:hint="default" w:ascii="Times New Roman" w:hAnsi="Times New Roman" w:eastAsia="宋体" w:cs="Times New Roman"/>
                <w:bCs/>
                <w:color w:val="auto"/>
                <w:sz w:val="21"/>
                <w:szCs w:val="21"/>
              </w:rPr>
              <w:t>由上表可知，本项目</w:t>
            </w:r>
            <w:r>
              <w:rPr>
                <w:rFonts w:hint="default" w:ascii="Times New Roman" w:hAnsi="Times New Roman" w:eastAsia="宋体" w:cs="Times New Roman"/>
                <w:color w:val="auto"/>
                <w:spacing w:val="4"/>
                <w:sz w:val="21"/>
                <w:szCs w:val="21"/>
              </w:rPr>
              <w:t>排气筒排放浓度</w:t>
            </w:r>
            <w:r>
              <w:rPr>
                <w:rFonts w:hint="default" w:ascii="Times New Roman" w:hAnsi="Times New Roman" w:eastAsia="宋体" w:cs="Times New Roman"/>
                <w:color w:val="auto"/>
                <w:spacing w:val="4"/>
                <w:sz w:val="21"/>
                <w:szCs w:val="21"/>
                <w:lang w:eastAsia="zh-CN"/>
              </w:rPr>
              <w:t>、</w:t>
            </w:r>
            <w:r>
              <w:rPr>
                <w:rFonts w:hint="default" w:ascii="Times New Roman" w:hAnsi="Times New Roman" w:eastAsia="宋体" w:cs="Times New Roman"/>
                <w:color w:val="auto"/>
                <w:spacing w:val="4"/>
                <w:sz w:val="21"/>
                <w:szCs w:val="21"/>
                <w:lang w:val="en-US" w:eastAsia="zh-CN"/>
              </w:rPr>
              <w:t>速率均可满足要求</w:t>
            </w:r>
            <w:r>
              <w:rPr>
                <w:rFonts w:hint="default" w:ascii="Times New Roman" w:hAnsi="Times New Roman" w:eastAsia="宋体" w:cs="Times New Roman"/>
                <w:bCs/>
                <w:color w:val="auto"/>
                <w:sz w:val="21"/>
                <w:szCs w:val="21"/>
              </w:rPr>
              <w:t>。</w:t>
            </w:r>
            <w:r>
              <w:rPr>
                <w:rFonts w:hint="default" w:ascii="Times New Roman" w:hAnsi="Times New Roman" w:eastAsia="宋体" w:cs="Times New Roman"/>
                <w:color w:val="auto"/>
                <w:spacing w:val="4"/>
                <w:sz w:val="21"/>
                <w:szCs w:val="21"/>
              </w:rPr>
              <w:t>本项目需切实落实提出的废气治理措施，且定期维护。</w:t>
            </w:r>
          </w:p>
          <w:p w14:paraId="55E66C1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表4-</w:t>
            </w:r>
            <w:r>
              <w:rPr>
                <w:rFonts w:hint="eastAsia" w:ascii="Times New Roman" w:hAnsi="Times New Roman" w:eastAsia="宋体" w:cs="Times New Roman"/>
                <w:b/>
                <w:bCs/>
                <w:color w:val="auto"/>
                <w:sz w:val="21"/>
                <w:szCs w:val="21"/>
                <w:lang w:val="en-US" w:eastAsia="zh-CN"/>
              </w:rPr>
              <w:t>10</w:t>
            </w:r>
            <w:r>
              <w:rPr>
                <w:rFonts w:hint="default" w:ascii="Times New Roman" w:hAnsi="Times New Roman" w:eastAsia="宋体" w:cs="Times New Roman"/>
                <w:b/>
                <w:bCs/>
                <w:color w:val="auto"/>
                <w:sz w:val="21"/>
                <w:szCs w:val="21"/>
              </w:rPr>
              <w:t xml:space="preserve"> 本项目排气筒参数</w:t>
            </w:r>
          </w:p>
          <w:tbl>
            <w:tblPr>
              <w:tblStyle w:val="28"/>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075"/>
              <w:gridCol w:w="992"/>
              <w:gridCol w:w="1320"/>
              <w:gridCol w:w="801"/>
              <w:gridCol w:w="689"/>
              <w:gridCol w:w="766"/>
              <w:gridCol w:w="930"/>
              <w:gridCol w:w="699"/>
            </w:tblGrid>
            <w:tr w14:paraId="2ED402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56" w:type="pct"/>
                  <w:vMerge w:val="restart"/>
                  <w:noWrap w:val="0"/>
                  <w:tcMar>
                    <w:top w:w="0" w:type="dxa"/>
                    <w:left w:w="0" w:type="dxa"/>
                    <w:bottom w:w="0" w:type="dxa"/>
                    <w:right w:w="0" w:type="dxa"/>
                  </w:tcMar>
                  <w:vAlign w:val="center"/>
                </w:tcPr>
                <w:p w14:paraId="629337D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排气筒名称</w:t>
                  </w:r>
                </w:p>
              </w:tc>
              <w:tc>
                <w:tcPr>
                  <w:tcW w:w="1234" w:type="pct"/>
                  <w:gridSpan w:val="2"/>
                  <w:noWrap w:val="0"/>
                  <w:tcMar>
                    <w:top w:w="0" w:type="dxa"/>
                    <w:left w:w="0" w:type="dxa"/>
                    <w:bottom w:w="0" w:type="dxa"/>
                    <w:right w:w="0" w:type="dxa"/>
                  </w:tcMar>
                  <w:vAlign w:val="center"/>
                </w:tcPr>
                <w:p w14:paraId="52F937F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排气筒底部坐标</w:t>
                  </w:r>
                </w:p>
              </w:tc>
              <w:tc>
                <w:tcPr>
                  <w:tcW w:w="788" w:type="pct"/>
                  <w:vMerge w:val="restart"/>
                  <w:noWrap w:val="0"/>
                  <w:tcMar>
                    <w:top w:w="0" w:type="dxa"/>
                    <w:left w:w="0" w:type="dxa"/>
                    <w:bottom w:w="0" w:type="dxa"/>
                    <w:right w:w="0" w:type="dxa"/>
                  </w:tcMar>
                  <w:vAlign w:val="center"/>
                </w:tcPr>
                <w:p w14:paraId="160B830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排气筒底部海拔高度（m）</w:t>
                  </w:r>
                </w:p>
              </w:tc>
              <w:tc>
                <w:tcPr>
                  <w:tcW w:w="1902" w:type="pct"/>
                  <w:gridSpan w:val="4"/>
                  <w:noWrap w:val="0"/>
                  <w:tcMar>
                    <w:top w:w="0" w:type="dxa"/>
                    <w:left w:w="0" w:type="dxa"/>
                    <w:bottom w:w="0" w:type="dxa"/>
                    <w:right w:w="0" w:type="dxa"/>
                  </w:tcMar>
                  <w:vAlign w:val="center"/>
                </w:tcPr>
                <w:p w14:paraId="43EB32E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排气筒参数</w:t>
                  </w:r>
                </w:p>
              </w:tc>
              <w:tc>
                <w:tcPr>
                  <w:tcW w:w="417" w:type="pct"/>
                  <w:vMerge w:val="restart"/>
                  <w:noWrap w:val="0"/>
                  <w:tcMar>
                    <w:top w:w="0" w:type="dxa"/>
                    <w:left w:w="0" w:type="dxa"/>
                    <w:bottom w:w="0" w:type="dxa"/>
                    <w:right w:w="0" w:type="dxa"/>
                  </w:tcMar>
                  <w:vAlign w:val="center"/>
                </w:tcPr>
                <w:p w14:paraId="0EA6D64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排放口类型</w:t>
                  </w:r>
                </w:p>
              </w:tc>
            </w:tr>
            <w:tr w14:paraId="0A5EFC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56" w:type="pct"/>
                  <w:vMerge w:val="continue"/>
                  <w:noWrap w:val="0"/>
                  <w:tcMar>
                    <w:top w:w="0" w:type="dxa"/>
                    <w:left w:w="0" w:type="dxa"/>
                    <w:bottom w:w="0" w:type="dxa"/>
                    <w:right w:w="0" w:type="dxa"/>
                  </w:tcMar>
                  <w:vAlign w:val="center"/>
                </w:tcPr>
                <w:p w14:paraId="572892F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p>
              </w:tc>
              <w:tc>
                <w:tcPr>
                  <w:tcW w:w="642" w:type="pct"/>
                  <w:noWrap w:val="0"/>
                  <w:tcMar>
                    <w:top w:w="0" w:type="dxa"/>
                    <w:left w:w="0" w:type="dxa"/>
                    <w:bottom w:w="0" w:type="dxa"/>
                    <w:right w:w="0" w:type="dxa"/>
                  </w:tcMar>
                  <w:vAlign w:val="center"/>
                </w:tcPr>
                <w:p w14:paraId="2F0C4B0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经度（°）</w:t>
                  </w:r>
                </w:p>
              </w:tc>
              <w:tc>
                <w:tcPr>
                  <w:tcW w:w="592" w:type="pct"/>
                  <w:noWrap w:val="0"/>
                  <w:tcMar>
                    <w:top w:w="0" w:type="dxa"/>
                    <w:left w:w="0" w:type="dxa"/>
                    <w:bottom w:w="0" w:type="dxa"/>
                    <w:right w:w="0" w:type="dxa"/>
                  </w:tcMar>
                  <w:vAlign w:val="center"/>
                </w:tcPr>
                <w:p w14:paraId="237D9DE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纬度（°）</w:t>
                  </w:r>
                </w:p>
              </w:tc>
              <w:tc>
                <w:tcPr>
                  <w:tcW w:w="788" w:type="pct"/>
                  <w:vMerge w:val="continue"/>
                  <w:noWrap w:val="0"/>
                  <w:tcMar>
                    <w:top w:w="0" w:type="dxa"/>
                    <w:left w:w="0" w:type="dxa"/>
                    <w:bottom w:w="0" w:type="dxa"/>
                    <w:right w:w="0" w:type="dxa"/>
                  </w:tcMar>
                  <w:vAlign w:val="center"/>
                </w:tcPr>
                <w:p w14:paraId="2B8EC64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p>
              </w:tc>
              <w:tc>
                <w:tcPr>
                  <w:tcW w:w="478" w:type="pct"/>
                  <w:noWrap w:val="0"/>
                  <w:tcMar>
                    <w:top w:w="0" w:type="dxa"/>
                    <w:left w:w="0" w:type="dxa"/>
                    <w:bottom w:w="0" w:type="dxa"/>
                    <w:right w:w="0" w:type="dxa"/>
                  </w:tcMar>
                  <w:vAlign w:val="center"/>
                </w:tcPr>
                <w:p w14:paraId="6BEB58A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高度（m）</w:t>
                  </w:r>
                </w:p>
              </w:tc>
              <w:tc>
                <w:tcPr>
                  <w:tcW w:w="411" w:type="pct"/>
                  <w:noWrap w:val="0"/>
                  <w:tcMar>
                    <w:top w:w="0" w:type="dxa"/>
                    <w:left w:w="0" w:type="dxa"/>
                    <w:bottom w:w="0" w:type="dxa"/>
                    <w:right w:w="0" w:type="dxa"/>
                  </w:tcMar>
                  <w:vAlign w:val="center"/>
                </w:tcPr>
                <w:p w14:paraId="4DE6A28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出口内径（m）</w:t>
                  </w:r>
                </w:p>
              </w:tc>
              <w:tc>
                <w:tcPr>
                  <w:tcW w:w="457" w:type="pct"/>
                  <w:noWrap w:val="0"/>
                  <w:tcMar>
                    <w:top w:w="0" w:type="dxa"/>
                    <w:left w:w="0" w:type="dxa"/>
                    <w:bottom w:w="0" w:type="dxa"/>
                    <w:right w:w="0" w:type="dxa"/>
                  </w:tcMar>
                  <w:vAlign w:val="center"/>
                </w:tcPr>
                <w:p w14:paraId="3F3A7E6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温度（℃）</w:t>
                  </w:r>
                </w:p>
              </w:tc>
              <w:tc>
                <w:tcPr>
                  <w:tcW w:w="555" w:type="pct"/>
                  <w:noWrap w:val="0"/>
                  <w:tcMar>
                    <w:top w:w="0" w:type="dxa"/>
                    <w:left w:w="0" w:type="dxa"/>
                    <w:bottom w:w="0" w:type="dxa"/>
                    <w:right w:w="0" w:type="dxa"/>
                  </w:tcMar>
                  <w:vAlign w:val="center"/>
                </w:tcPr>
                <w:p w14:paraId="158AA16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烟气流速（m/s）</w:t>
                  </w:r>
                </w:p>
              </w:tc>
              <w:tc>
                <w:tcPr>
                  <w:tcW w:w="417" w:type="pct"/>
                  <w:vMerge w:val="continue"/>
                  <w:noWrap w:val="0"/>
                  <w:tcMar>
                    <w:top w:w="0" w:type="dxa"/>
                    <w:left w:w="0" w:type="dxa"/>
                    <w:bottom w:w="0" w:type="dxa"/>
                    <w:right w:w="0" w:type="dxa"/>
                  </w:tcMar>
                  <w:vAlign w:val="center"/>
                </w:tcPr>
                <w:p w14:paraId="3F985D0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p>
              </w:tc>
            </w:tr>
            <w:tr w14:paraId="667FA8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6" w:type="pct"/>
                  <w:noWrap w:val="0"/>
                  <w:tcMar>
                    <w:top w:w="0" w:type="dxa"/>
                    <w:left w:w="0" w:type="dxa"/>
                    <w:bottom w:w="0" w:type="dxa"/>
                    <w:right w:w="0" w:type="dxa"/>
                  </w:tcMar>
                  <w:vAlign w:val="center"/>
                </w:tcPr>
                <w:p w14:paraId="48C2097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sz w:val="21"/>
                      <w:szCs w:val="21"/>
                      <w:lang w:val="en-US" w:eastAsia="zh-CN"/>
                    </w:rPr>
                    <w:t>15</w:t>
                  </w:r>
                  <w:r>
                    <w:rPr>
                      <w:rFonts w:hint="default" w:ascii="Times New Roman" w:hAnsi="Times New Roman" w:eastAsia="宋体" w:cs="Times New Roman"/>
                      <w:b w:val="0"/>
                      <w:bCs/>
                      <w:color w:val="auto"/>
                      <w:sz w:val="21"/>
                      <w:szCs w:val="21"/>
                    </w:rPr>
                    <w:t>米排气筒</w:t>
                  </w:r>
                  <w:r>
                    <w:rPr>
                      <w:rFonts w:hint="default" w:ascii="Times New Roman" w:hAnsi="Times New Roman" w:eastAsia="宋体" w:cs="Times New Roman"/>
                      <w:b w:val="0"/>
                      <w:bCs/>
                      <w:color w:val="auto"/>
                      <w:szCs w:val="21"/>
                      <w:lang w:val="en-US" w:eastAsia="zh-CN"/>
                    </w:rPr>
                    <w:t>（DA00</w:t>
                  </w:r>
                  <w:r>
                    <w:rPr>
                      <w:rFonts w:hint="eastAsia" w:ascii="Times New Roman" w:hAnsi="Times New Roman" w:eastAsia="宋体" w:cs="Times New Roman"/>
                      <w:b w:val="0"/>
                      <w:bCs/>
                      <w:color w:val="auto"/>
                      <w:szCs w:val="21"/>
                      <w:lang w:val="en-US" w:eastAsia="zh-CN"/>
                    </w:rPr>
                    <w:t>1</w:t>
                  </w:r>
                  <w:r>
                    <w:rPr>
                      <w:rFonts w:hint="default" w:ascii="Times New Roman" w:hAnsi="Times New Roman" w:eastAsia="宋体" w:cs="Times New Roman"/>
                      <w:b w:val="0"/>
                      <w:bCs/>
                      <w:color w:val="auto"/>
                      <w:szCs w:val="21"/>
                      <w:lang w:val="en-US" w:eastAsia="zh-CN"/>
                    </w:rPr>
                    <w:t>）</w:t>
                  </w:r>
                </w:p>
              </w:tc>
              <w:tc>
                <w:tcPr>
                  <w:tcW w:w="642" w:type="pct"/>
                  <w:noWrap w:val="0"/>
                  <w:tcMar>
                    <w:top w:w="0" w:type="dxa"/>
                    <w:left w:w="0" w:type="dxa"/>
                    <w:bottom w:w="0" w:type="dxa"/>
                    <w:right w:w="0" w:type="dxa"/>
                  </w:tcMar>
                  <w:vAlign w:val="center"/>
                </w:tcPr>
                <w:p w14:paraId="6BE8641B">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119.609011</w:t>
                  </w:r>
                </w:p>
              </w:tc>
              <w:tc>
                <w:tcPr>
                  <w:tcW w:w="592" w:type="pct"/>
                  <w:noWrap w:val="0"/>
                  <w:tcMar>
                    <w:top w:w="0" w:type="dxa"/>
                    <w:left w:w="0" w:type="dxa"/>
                    <w:bottom w:w="0" w:type="dxa"/>
                    <w:right w:w="0" w:type="dxa"/>
                  </w:tcMar>
                  <w:vAlign w:val="center"/>
                </w:tcPr>
                <w:p w14:paraId="28AB7B65">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31.759142</w:t>
                  </w:r>
                </w:p>
              </w:tc>
              <w:tc>
                <w:tcPr>
                  <w:tcW w:w="788" w:type="pct"/>
                  <w:noWrap w:val="0"/>
                  <w:tcMar>
                    <w:top w:w="0" w:type="dxa"/>
                    <w:left w:w="0" w:type="dxa"/>
                    <w:bottom w:w="0" w:type="dxa"/>
                    <w:right w:w="0" w:type="dxa"/>
                  </w:tcMar>
                  <w:vAlign w:val="center"/>
                </w:tcPr>
                <w:p w14:paraId="3688E27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5</w:t>
                  </w:r>
                </w:p>
              </w:tc>
              <w:tc>
                <w:tcPr>
                  <w:tcW w:w="478" w:type="pct"/>
                  <w:noWrap w:val="0"/>
                  <w:tcMar>
                    <w:top w:w="0" w:type="dxa"/>
                    <w:left w:w="0" w:type="dxa"/>
                    <w:bottom w:w="0" w:type="dxa"/>
                    <w:right w:w="0" w:type="dxa"/>
                  </w:tcMar>
                  <w:vAlign w:val="center"/>
                </w:tcPr>
                <w:p w14:paraId="6B816D3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15</w:t>
                  </w:r>
                </w:p>
              </w:tc>
              <w:tc>
                <w:tcPr>
                  <w:tcW w:w="411" w:type="pct"/>
                  <w:noWrap w:val="0"/>
                  <w:tcMar>
                    <w:top w:w="0" w:type="dxa"/>
                    <w:left w:w="0" w:type="dxa"/>
                    <w:bottom w:w="0" w:type="dxa"/>
                    <w:right w:w="0" w:type="dxa"/>
                  </w:tcMar>
                  <w:vAlign w:val="center"/>
                </w:tcPr>
                <w:p w14:paraId="5F6B08E3">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0.3</w:t>
                  </w:r>
                </w:p>
              </w:tc>
              <w:tc>
                <w:tcPr>
                  <w:tcW w:w="457" w:type="pct"/>
                  <w:noWrap w:val="0"/>
                  <w:tcMar>
                    <w:top w:w="0" w:type="dxa"/>
                    <w:left w:w="0" w:type="dxa"/>
                    <w:bottom w:w="0" w:type="dxa"/>
                    <w:right w:w="0" w:type="dxa"/>
                  </w:tcMar>
                  <w:vAlign w:val="center"/>
                </w:tcPr>
                <w:p w14:paraId="0D86D3B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kern w:val="2"/>
                      <w:sz w:val="21"/>
                      <w:szCs w:val="21"/>
                      <w:lang w:val="en-US" w:eastAsia="zh-CN" w:bidi="ar"/>
                    </w:rPr>
                    <w:t>25</w:t>
                  </w:r>
                </w:p>
              </w:tc>
              <w:tc>
                <w:tcPr>
                  <w:tcW w:w="555" w:type="pct"/>
                  <w:noWrap w:val="0"/>
                  <w:tcMar>
                    <w:top w:w="0" w:type="dxa"/>
                    <w:left w:w="0" w:type="dxa"/>
                    <w:bottom w:w="0" w:type="dxa"/>
                    <w:right w:w="0" w:type="dxa"/>
                  </w:tcMar>
                  <w:vAlign w:val="center"/>
                </w:tcPr>
                <w:p w14:paraId="25695807">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11.8</w:t>
                  </w:r>
                </w:p>
              </w:tc>
              <w:tc>
                <w:tcPr>
                  <w:tcW w:w="417" w:type="pct"/>
                  <w:noWrap w:val="0"/>
                  <w:tcMar>
                    <w:top w:w="0" w:type="dxa"/>
                    <w:left w:w="0" w:type="dxa"/>
                    <w:bottom w:w="0" w:type="dxa"/>
                    <w:right w:w="0" w:type="dxa"/>
                  </w:tcMar>
                  <w:vAlign w:val="center"/>
                </w:tcPr>
                <w:p w14:paraId="0A4D58A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rPr>
                    <w:t>一般排放口</w:t>
                  </w:r>
                </w:p>
              </w:tc>
            </w:tr>
            <w:tr w14:paraId="1F17BB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6" w:type="pct"/>
                  <w:noWrap w:val="0"/>
                  <w:tcMar>
                    <w:top w:w="0" w:type="dxa"/>
                    <w:left w:w="0" w:type="dxa"/>
                    <w:bottom w:w="0" w:type="dxa"/>
                    <w:right w:w="0" w:type="dxa"/>
                  </w:tcMar>
                  <w:vAlign w:val="center"/>
                </w:tcPr>
                <w:p w14:paraId="124C84D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default" w:ascii="Times New Roman" w:hAnsi="Times New Roman" w:eastAsia="宋体" w:cs="Times New Roman"/>
                      <w:b w:val="0"/>
                      <w:bCs/>
                      <w:color w:val="auto"/>
                      <w:sz w:val="21"/>
                      <w:szCs w:val="21"/>
                      <w:lang w:val="en-US" w:eastAsia="zh-CN"/>
                    </w:rPr>
                    <w:t>15</w:t>
                  </w:r>
                  <w:r>
                    <w:rPr>
                      <w:rFonts w:hint="default" w:ascii="Times New Roman" w:hAnsi="Times New Roman" w:eastAsia="宋体" w:cs="Times New Roman"/>
                      <w:b w:val="0"/>
                      <w:bCs/>
                      <w:color w:val="auto"/>
                      <w:sz w:val="21"/>
                      <w:szCs w:val="21"/>
                    </w:rPr>
                    <w:t>米排气筒</w:t>
                  </w:r>
                  <w:r>
                    <w:rPr>
                      <w:rFonts w:hint="default" w:ascii="Times New Roman" w:hAnsi="Times New Roman" w:eastAsia="宋体" w:cs="Times New Roman"/>
                      <w:b w:val="0"/>
                      <w:bCs/>
                      <w:color w:val="auto"/>
                      <w:szCs w:val="21"/>
                      <w:lang w:val="en-US" w:eastAsia="zh-CN"/>
                    </w:rPr>
                    <w:t>（DA00</w:t>
                  </w:r>
                  <w:r>
                    <w:rPr>
                      <w:rFonts w:hint="eastAsia" w:ascii="Times New Roman" w:hAnsi="Times New Roman" w:eastAsia="宋体" w:cs="Times New Roman"/>
                      <w:b w:val="0"/>
                      <w:bCs/>
                      <w:color w:val="auto"/>
                      <w:szCs w:val="21"/>
                      <w:lang w:val="en-US" w:eastAsia="zh-CN"/>
                    </w:rPr>
                    <w:t>2</w:t>
                  </w:r>
                  <w:r>
                    <w:rPr>
                      <w:rFonts w:hint="default" w:ascii="Times New Roman" w:hAnsi="Times New Roman" w:eastAsia="宋体" w:cs="Times New Roman"/>
                      <w:b w:val="0"/>
                      <w:bCs/>
                      <w:color w:val="auto"/>
                      <w:szCs w:val="21"/>
                      <w:lang w:val="en-US" w:eastAsia="zh-CN"/>
                    </w:rPr>
                    <w:t>）</w:t>
                  </w:r>
                </w:p>
              </w:tc>
              <w:tc>
                <w:tcPr>
                  <w:tcW w:w="642" w:type="pct"/>
                  <w:noWrap w:val="0"/>
                  <w:tcMar>
                    <w:top w:w="0" w:type="dxa"/>
                    <w:left w:w="0" w:type="dxa"/>
                    <w:bottom w:w="0" w:type="dxa"/>
                    <w:right w:w="0" w:type="dxa"/>
                  </w:tcMar>
                  <w:vAlign w:val="center"/>
                </w:tcPr>
                <w:p w14:paraId="62075488">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119.609175</w:t>
                  </w:r>
                </w:p>
              </w:tc>
              <w:tc>
                <w:tcPr>
                  <w:tcW w:w="592" w:type="pct"/>
                  <w:noWrap w:val="0"/>
                  <w:tcMar>
                    <w:top w:w="0" w:type="dxa"/>
                    <w:left w:w="0" w:type="dxa"/>
                    <w:bottom w:w="0" w:type="dxa"/>
                    <w:right w:w="0" w:type="dxa"/>
                  </w:tcMar>
                  <w:vAlign w:val="center"/>
                </w:tcPr>
                <w:p w14:paraId="2D298B20">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r>
                    <w:rPr>
                      <w:rFonts w:hint="default" w:ascii="Times New Roman" w:hAnsi="Times New Roman" w:eastAsia="宋体" w:cs="Times New Roman"/>
                      <w:color w:val="auto"/>
                      <w:kern w:val="2"/>
                      <w:sz w:val="21"/>
                      <w:szCs w:val="21"/>
                      <w:lang w:val="en-US" w:eastAsia="zh-CN" w:bidi="ar-SA"/>
                    </w:rPr>
                    <w:t>1.759142</w:t>
                  </w:r>
                </w:p>
              </w:tc>
              <w:tc>
                <w:tcPr>
                  <w:tcW w:w="788" w:type="pct"/>
                  <w:noWrap w:val="0"/>
                  <w:tcMar>
                    <w:top w:w="0" w:type="dxa"/>
                    <w:left w:w="0" w:type="dxa"/>
                    <w:bottom w:w="0" w:type="dxa"/>
                    <w:right w:w="0" w:type="dxa"/>
                  </w:tcMar>
                  <w:vAlign w:val="center"/>
                </w:tcPr>
                <w:p w14:paraId="4C72242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5</w:t>
                  </w:r>
                </w:p>
              </w:tc>
              <w:tc>
                <w:tcPr>
                  <w:tcW w:w="478" w:type="pct"/>
                  <w:noWrap w:val="0"/>
                  <w:tcMar>
                    <w:top w:w="0" w:type="dxa"/>
                    <w:left w:w="0" w:type="dxa"/>
                    <w:bottom w:w="0" w:type="dxa"/>
                    <w:right w:w="0" w:type="dxa"/>
                  </w:tcMar>
                  <w:vAlign w:val="center"/>
                </w:tcPr>
                <w:p w14:paraId="5C00012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15</w:t>
                  </w:r>
                </w:p>
              </w:tc>
              <w:tc>
                <w:tcPr>
                  <w:tcW w:w="411" w:type="pct"/>
                  <w:noWrap w:val="0"/>
                  <w:tcMar>
                    <w:top w:w="0" w:type="dxa"/>
                    <w:left w:w="0" w:type="dxa"/>
                    <w:bottom w:w="0" w:type="dxa"/>
                    <w:right w:w="0" w:type="dxa"/>
                  </w:tcMar>
                  <w:vAlign w:val="center"/>
                </w:tcPr>
                <w:p w14:paraId="1CD68537">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0.5</w:t>
                  </w:r>
                </w:p>
              </w:tc>
              <w:tc>
                <w:tcPr>
                  <w:tcW w:w="457" w:type="pct"/>
                  <w:noWrap w:val="0"/>
                  <w:tcMar>
                    <w:top w:w="0" w:type="dxa"/>
                    <w:left w:w="0" w:type="dxa"/>
                    <w:bottom w:w="0" w:type="dxa"/>
                    <w:right w:w="0" w:type="dxa"/>
                  </w:tcMar>
                  <w:vAlign w:val="center"/>
                </w:tcPr>
                <w:p w14:paraId="2E37ABB9">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kern w:val="2"/>
                      <w:sz w:val="21"/>
                      <w:szCs w:val="21"/>
                      <w:lang w:val="en-US" w:eastAsia="zh-CN" w:bidi="ar"/>
                    </w:rPr>
                    <w:t>25</w:t>
                  </w:r>
                </w:p>
              </w:tc>
              <w:tc>
                <w:tcPr>
                  <w:tcW w:w="555" w:type="pct"/>
                  <w:noWrap w:val="0"/>
                  <w:tcMar>
                    <w:top w:w="0" w:type="dxa"/>
                    <w:left w:w="0" w:type="dxa"/>
                    <w:bottom w:w="0" w:type="dxa"/>
                    <w:right w:w="0" w:type="dxa"/>
                  </w:tcMar>
                  <w:vAlign w:val="center"/>
                </w:tcPr>
                <w:p w14:paraId="7EB95120">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14.2</w:t>
                  </w:r>
                </w:p>
              </w:tc>
              <w:tc>
                <w:tcPr>
                  <w:tcW w:w="417" w:type="pct"/>
                  <w:noWrap w:val="0"/>
                  <w:tcMar>
                    <w:top w:w="0" w:type="dxa"/>
                    <w:left w:w="0" w:type="dxa"/>
                    <w:bottom w:w="0" w:type="dxa"/>
                    <w:right w:w="0" w:type="dxa"/>
                  </w:tcMar>
                  <w:vAlign w:val="center"/>
                </w:tcPr>
                <w:p w14:paraId="63365216">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Cs/>
                      <w:color w:val="auto"/>
                      <w:sz w:val="21"/>
                      <w:szCs w:val="21"/>
                    </w:rPr>
                    <w:t>一般排放口</w:t>
                  </w:r>
                </w:p>
              </w:tc>
            </w:tr>
          </w:tbl>
          <w:p w14:paraId="16583C6B">
            <w:pPr>
              <w:keepNext w:val="0"/>
              <w:keepLines w:val="0"/>
              <w:pageBreakBefore w:val="0"/>
              <w:widowControl w:val="0"/>
              <w:suppressLineNumbers w:val="0"/>
              <w:kinsoku/>
              <w:wordWrap/>
              <w:overflowPunct/>
              <w:topLinePunct w:val="0"/>
              <w:autoSpaceDE/>
              <w:autoSpaceDN/>
              <w:bidi w:val="0"/>
              <w:adjustRightInd w:val="0"/>
              <w:snapToGrid w:val="0"/>
              <w:spacing w:before="157" w:beforeLines="50" w:beforeAutospacing="0" w:after="0" w:afterAutospacing="0" w:line="360" w:lineRule="auto"/>
              <w:ind w:left="0" w:right="0"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②</w:t>
            </w:r>
            <w:r>
              <w:rPr>
                <w:rFonts w:hint="default" w:ascii="Times New Roman" w:hAnsi="Times New Roman" w:eastAsia="宋体" w:cs="Times New Roman"/>
                <w:color w:val="auto"/>
                <w:sz w:val="21"/>
                <w:szCs w:val="21"/>
              </w:rPr>
              <w:t>无组织废气</w:t>
            </w:r>
          </w:p>
          <w:p w14:paraId="120A7F29">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360" w:lineRule="auto"/>
              <w:ind w:left="0" w:right="0" w:firstLine="420" w:firstLineChars="200"/>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本项目无组织废气产生、排放情况见表4-</w:t>
            </w:r>
            <w:r>
              <w:rPr>
                <w:rFonts w:hint="eastAsia" w:ascii="Times New Roman" w:hAnsi="Times New Roman" w:eastAsia="宋体" w:cs="Times New Roman"/>
                <w:bCs/>
                <w:color w:val="auto"/>
                <w:sz w:val="21"/>
                <w:szCs w:val="21"/>
                <w:lang w:val="en-US" w:eastAsia="zh-CN"/>
              </w:rPr>
              <w:t>11</w:t>
            </w:r>
            <w:r>
              <w:rPr>
                <w:rFonts w:hint="default" w:ascii="Times New Roman" w:hAnsi="Times New Roman" w:eastAsia="宋体" w:cs="Times New Roman"/>
                <w:bCs/>
                <w:color w:val="auto"/>
                <w:sz w:val="21"/>
                <w:szCs w:val="21"/>
              </w:rPr>
              <w:t>，无组织面源参数见表4-1</w:t>
            </w:r>
            <w:r>
              <w:rPr>
                <w:rFonts w:hint="eastAsia" w:ascii="Times New Roman" w:hAnsi="Times New Roman" w:eastAsia="宋体" w:cs="Times New Roman"/>
                <w:bCs/>
                <w:color w:val="auto"/>
                <w:sz w:val="21"/>
                <w:szCs w:val="21"/>
                <w:lang w:val="en-US" w:eastAsia="zh-CN"/>
              </w:rPr>
              <w:t>2</w:t>
            </w:r>
            <w:r>
              <w:rPr>
                <w:rFonts w:hint="default" w:ascii="Times New Roman" w:hAnsi="Times New Roman" w:eastAsia="宋体" w:cs="Times New Roman"/>
                <w:bCs/>
                <w:color w:val="auto"/>
                <w:sz w:val="21"/>
                <w:szCs w:val="21"/>
              </w:rPr>
              <w:t>。</w:t>
            </w:r>
          </w:p>
          <w:p w14:paraId="437A6FFF">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ind w:left="0" w:right="0"/>
              <w:jc w:val="center"/>
              <w:textAlignment w:val="auto"/>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1"/>
                <w:szCs w:val="21"/>
              </w:rPr>
              <w:t>表4-</w:t>
            </w:r>
            <w:r>
              <w:rPr>
                <w:rFonts w:hint="eastAsia" w:ascii="Times New Roman" w:hAnsi="Times New Roman" w:eastAsia="宋体" w:cs="Times New Roman"/>
                <w:b/>
                <w:bCs/>
                <w:color w:val="auto"/>
                <w:sz w:val="21"/>
                <w:szCs w:val="21"/>
                <w:lang w:val="en-US" w:eastAsia="zh-CN"/>
              </w:rPr>
              <w:t>11</w:t>
            </w:r>
            <w:r>
              <w:rPr>
                <w:rFonts w:hint="default" w:ascii="Times New Roman" w:hAnsi="Times New Roman" w:eastAsia="宋体" w:cs="Times New Roman"/>
                <w:b/>
                <w:bCs/>
                <w:color w:val="auto"/>
                <w:sz w:val="21"/>
                <w:szCs w:val="21"/>
              </w:rPr>
              <w:t xml:space="preserve"> 本项目无组织废气产生及排放情况表</w:t>
            </w:r>
          </w:p>
          <w:tbl>
            <w:tblPr>
              <w:tblStyle w:val="28"/>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618"/>
              <w:gridCol w:w="910"/>
              <w:gridCol w:w="1139"/>
              <w:gridCol w:w="909"/>
              <w:gridCol w:w="761"/>
              <w:gridCol w:w="868"/>
              <w:gridCol w:w="471"/>
              <w:gridCol w:w="471"/>
              <w:gridCol w:w="890"/>
              <w:gridCol w:w="664"/>
              <w:gridCol w:w="671"/>
            </w:tblGrid>
            <w:tr w14:paraId="7B2331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trPr>
              <w:tc>
                <w:tcPr>
                  <w:tcW w:w="369" w:type="pct"/>
                  <w:noWrap w:val="0"/>
                  <w:tcMar>
                    <w:top w:w="0" w:type="dxa"/>
                    <w:left w:w="0" w:type="dxa"/>
                    <w:bottom w:w="0" w:type="dxa"/>
                    <w:right w:w="0" w:type="dxa"/>
                  </w:tcMar>
                  <w:vAlign w:val="center"/>
                </w:tcPr>
                <w:p w14:paraId="6EFD43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面源名称</w:t>
                  </w:r>
                </w:p>
              </w:tc>
              <w:tc>
                <w:tcPr>
                  <w:tcW w:w="543" w:type="pct"/>
                  <w:noWrap w:val="0"/>
                  <w:tcMar>
                    <w:top w:w="0" w:type="dxa"/>
                    <w:left w:w="0" w:type="dxa"/>
                    <w:bottom w:w="0" w:type="dxa"/>
                    <w:right w:w="0" w:type="dxa"/>
                  </w:tcMar>
                  <w:vAlign w:val="center"/>
                </w:tcPr>
                <w:p w14:paraId="4966B3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污染物产生环节</w:t>
                  </w:r>
                </w:p>
              </w:tc>
              <w:tc>
                <w:tcPr>
                  <w:tcW w:w="680" w:type="pct"/>
                  <w:noWrap w:val="0"/>
                  <w:tcMar>
                    <w:top w:w="0" w:type="dxa"/>
                    <w:left w:w="0" w:type="dxa"/>
                    <w:bottom w:w="0" w:type="dxa"/>
                    <w:right w:w="0" w:type="dxa"/>
                  </w:tcMar>
                  <w:vAlign w:val="center"/>
                </w:tcPr>
                <w:p w14:paraId="222838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污染物名称</w:t>
                  </w:r>
                </w:p>
              </w:tc>
              <w:tc>
                <w:tcPr>
                  <w:tcW w:w="542" w:type="pct"/>
                  <w:noWrap w:val="0"/>
                  <w:tcMar>
                    <w:top w:w="0" w:type="dxa"/>
                    <w:left w:w="0" w:type="dxa"/>
                    <w:bottom w:w="0" w:type="dxa"/>
                    <w:right w:w="0" w:type="dxa"/>
                  </w:tcMar>
                  <w:vAlign w:val="center"/>
                </w:tcPr>
                <w:p w14:paraId="323251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污染物产生量t/a</w:t>
                  </w:r>
                </w:p>
              </w:tc>
              <w:tc>
                <w:tcPr>
                  <w:tcW w:w="454" w:type="pct"/>
                  <w:noWrap w:val="0"/>
                  <w:tcMar>
                    <w:top w:w="0" w:type="dxa"/>
                    <w:left w:w="0" w:type="dxa"/>
                    <w:bottom w:w="0" w:type="dxa"/>
                    <w:right w:w="0" w:type="dxa"/>
                  </w:tcMar>
                  <w:vAlign w:val="center"/>
                </w:tcPr>
                <w:p w14:paraId="1C7ECF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产生速率kg/h</w:t>
                  </w:r>
                </w:p>
              </w:tc>
              <w:tc>
                <w:tcPr>
                  <w:tcW w:w="518" w:type="pct"/>
                  <w:noWrap w:val="0"/>
                  <w:tcMar>
                    <w:top w:w="0" w:type="dxa"/>
                    <w:left w:w="0" w:type="dxa"/>
                    <w:bottom w:w="0" w:type="dxa"/>
                    <w:right w:w="0" w:type="dxa"/>
                  </w:tcMar>
                  <w:vAlign w:val="center"/>
                </w:tcPr>
                <w:p w14:paraId="65BB0F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治理措施</w:t>
                  </w:r>
                </w:p>
              </w:tc>
              <w:tc>
                <w:tcPr>
                  <w:tcW w:w="281" w:type="pct"/>
                  <w:noWrap w:val="0"/>
                  <w:tcMar>
                    <w:top w:w="0" w:type="dxa"/>
                    <w:left w:w="0" w:type="dxa"/>
                    <w:bottom w:w="0" w:type="dxa"/>
                    <w:right w:w="0" w:type="dxa"/>
                  </w:tcMar>
                  <w:vAlign w:val="center"/>
                </w:tcPr>
                <w:p w14:paraId="35D944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szCs w:val="21"/>
                      <w:lang w:val="en-US" w:eastAsia="zh-CN"/>
                    </w:rPr>
                  </w:pPr>
                  <w:r>
                    <w:rPr>
                      <w:rFonts w:hint="default" w:ascii="Times New Roman" w:hAnsi="Times New Roman" w:eastAsia="宋体" w:cs="Times New Roman"/>
                      <w:b/>
                      <w:bCs/>
                      <w:color w:val="auto"/>
                      <w:szCs w:val="21"/>
                      <w:lang w:val="en-US" w:eastAsia="zh-CN"/>
                    </w:rPr>
                    <w:t>收集效率</w:t>
                  </w:r>
                </w:p>
              </w:tc>
              <w:tc>
                <w:tcPr>
                  <w:tcW w:w="281" w:type="pct"/>
                  <w:noWrap w:val="0"/>
                  <w:tcMar>
                    <w:top w:w="0" w:type="dxa"/>
                    <w:left w:w="0" w:type="dxa"/>
                    <w:bottom w:w="0" w:type="dxa"/>
                    <w:right w:w="0" w:type="dxa"/>
                  </w:tcMar>
                  <w:vAlign w:val="center"/>
                </w:tcPr>
                <w:p w14:paraId="44F3E5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去除效率</w:t>
                  </w:r>
                </w:p>
              </w:tc>
              <w:tc>
                <w:tcPr>
                  <w:tcW w:w="531" w:type="pct"/>
                  <w:noWrap w:val="0"/>
                  <w:tcMar>
                    <w:top w:w="0" w:type="dxa"/>
                    <w:left w:w="0" w:type="dxa"/>
                    <w:bottom w:w="0" w:type="dxa"/>
                    <w:right w:w="0" w:type="dxa"/>
                  </w:tcMar>
                  <w:vAlign w:val="center"/>
                </w:tcPr>
                <w:p w14:paraId="032FB4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污染物排放量t/a</w:t>
                  </w:r>
                </w:p>
              </w:tc>
              <w:tc>
                <w:tcPr>
                  <w:tcW w:w="396" w:type="pct"/>
                  <w:noWrap w:val="0"/>
                  <w:tcMar>
                    <w:top w:w="0" w:type="dxa"/>
                    <w:left w:w="0" w:type="dxa"/>
                    <w:bottom w:w="0" w:type="dxa"/>
                    <w:right w:w="0" w:type="dxa"/>
                  </w:tcMar>
                  <w:vAlign w:val="center"/>
                </w:tcPr>
                <w:p w14:paraId="592A9E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排放速率kg/h</w:t>
                  </w:r>
                </w:p>
              </w:tc>
              <w:tc>
                <w:tcPr>
                  <w:tcW w:w="400" w:type="pct"/>
                  <w:noWrap w:val="0"/>
                  <w:tcMar>
                    <w:top w:w="0" w:type="dxa"/>
                    <w:left w:w="0" w:type="dxa"/>
                    <w:bottom w:w="0" w:type="dxa"/>
                    <w:right w:w="0" w:type="dxa"/>
                  </w:tcMar>
                  <w:vAlign w:val="center"/>
                </w:tcPr>
                <w:p w14:paraId="19CAB9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面源面积（m</w:t>
                  </w:r>
                  <w:r>
                    <w:rPr>
                      <w:rFonts w:hint="default" w:ascii="Times New Roman" w:hAnsi="Times New Roman" w:eastAsia="宋体" w:cs="Times New Roman"/>
                      <w:b/>
                      <w:bCs/>
                      <w:color w:val="auto"/>
                      <w:szCs w:val="21"/>
                      <w:vertAlign w:val="superscript"/>
                    </w:rPr>
                    <w:t>2</w:t>
                  </w:r>
                  <w:r>
                    <w:rPr>
                      <w:rFonts w:hint="default" w:ascii="Times New Roman" w:hAnsi="Times New Roman" w:eastAsia="宋体" w:cs="Times New Roman"/>
                      <w:b/>
                      <w:bCs/>
                      <w:color w:val="auto"/>
                      <w:szCs w:val="21"/>
                    </w:rPr>
                    <w:t>）</w:t>
                  </w:r>
                </w:p>
              </w:tc>
            </w:tr>
            <w:tr w14:paraId="1FB82A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264" w:hRule="atLeast"/>
              </w:trPr>
              <w:tc>
                <w:tcPr>
                  <w:tcW w:w="369" w:type="pct"/>
                  <w:vMerge w:val="restart"/>
                  <w:noWrap w:val="0"/>
                  <w:tcMar>
                    <w:top w:w="0" w:type="dxa"/>
                    <w:left w:w="0" w:type="dxa"/>
                    <w:bottom w:w="0" w:type="dxa"/>
                    <w:right w:w="0" w:type="dxa"/>
                  </w:tcMar>
                  <w:vAlign w:val="center"/>
                </w:tcPr>
                <w:p w14:paraId="5545F1C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生产车间</w:t>
                  </w:r>
                </w:p>
              </w:tc>
              <w:tc>
                <w:tcPr>
                  <w:tcW w:w="543" w:type="pct"/>
                  <w:vMerge w:val="restart"/>
                  <w:noWrap w:val="0"/>
                  <w:tcMar>
                    <w:top w:w="0" w:type="dxa"/>
                    <w:left w:w="0" w:type="dxa"/>
                    <w:bottom w:w="0" w:type="dxa"/>
                    <w:right w:w="0" w:type="dxa"/>
                  </w:tcMar>
                  <w:vAlign w:val="center"/>
                </w:tcPr>
                <w:p w14:paraId="6E1F7E68">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未捕集</w:t>
                  </w:r>
                </w:p>
                <w:p w14:paraId="7F3023FC">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废气</w:t>
                  </w:r>
                </w:p>
              </w:tc>
              <w:tc>
                <w:tcPr>
                  <w:tcW w:w="680" w:type="pct"/>
                  <w:shd w:val="clear" w:color="auto" w:fill="auto"/>
                  <w:noWrap w:val="0"/>
                  <w:tcMar>
                    <w:top w:w="0" w:type="dxa"/>
                    <w:left w:w="0" w:type="dxa"/>
                    <w:bottom w:w="0" w:type="dxa"/>
                    <w:right w:w="0" w:type="dxa"/>
                  </w:tcMar>
                  <w:vAlign w:val="center"/>
                </w:tcPr>
                <w:p w14:paraId="60C3C9D6">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颗粒物</w:t>
                  </w:r>
                </w:p>
              </w:tc>
              <w:tc>
                <w:tcPr>
                  <w:tcW w:w="542" w:type="pct"/>
                  <w:shd w:val="clear" w:color="auto" w:fill="auto"/>
                  <w:noWrap w:val="0"/>
                  <w:tcMar>
                    <w:top w:w="0" w:type="dxa"/>
                    <w:left w:w="0" w:type="dxa"/>
                    <w:bottom w:w="0" w:type="dxa"/>
                    <w:right w:w="0" w:type="dxa"/>
                  </w:tcMar>
                  <w:vAlign w:val="center"/>
                </w:tcPr>
                <w:p w14:paraId="4E384102">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rPr>
                    <w:t>0.0814</w:t>
                  </w:r>
                </w:p>
              </w:tc>
              <w:tc>
                <w:tcPr>
                  <w:tcW w:w="454" w:type="pct"/>
                  <w:shd w:val="clear" w:color="auto" w:fill="auto"/>
                  <w:noWrap w:val="0"/>
                  <w:tcMar>
                    <w:top w:w="0" w:type="dxa"/>
                    <w:left w:w="0" w:type="dxa"/>
                    <w:bottom w:w="0" w:type="dxa"/>
                    <w:right w:w="0" w:type="dxa"/>
                  </w:tcMar>
                  <w:vAlign w:val="center"/>
                </w:tcPr>
                <w:p w14:paraId="1819635B">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0.0586</w:t>
                  </w:r>
                </w:p>
              </w:tc>
              <w:tc>
                <w:tcPr>
                  <w:tcW w:w="518" w:type="pct"/>
                  <w:noWrap w:val="0"/>
                  <w:tcMar>
                    <w:top w:w="0" w:type="dxa"/>
                    <w:left w:w="0" w:type="dxa"/>
                    <w:bottom w:w="0" w:type="dxa"/>
                    <w:right w:w="0" w:type="dxa"/>
                  </w:tcMar>
                  <w:vAlign w:val="center"/>
                </w:tcPr>
                <w:p w14:paraId="4ACFA3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c>
                <w:tcPr>
                  <w:tcW w:w="281" w:type="pct"/>
                  <w:noWrap w:val="0"/>
                  <w:tcMar>
                    <w:top w:w="0" w:type="dxa"/>
                    <w:left w:w="0" w:type="dxa"/>
                    <w:bottom w:w="0" w:type="dxa"/>
                    <w:right w:w="0" w:type="dxa"/>
                  </w:tcMar>
                  <w:vAlign w:val="center"/>
                </w:tcPr>
                <w:p w14:paraId="65A030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c>
                <w:tcPr>
                  <w:tcW w:w="281" w:type="pct"/>
                  <w:noWrap w:val="0"/>
                  <w:tcMar>
                    <w:top w:w="0" w:type="dxa"/>
                    <w:left w:w="0" w:type="dxa"/>
                    <w:bottom w:w="0" w:type="dxa"/>
                    <w:right w:w="0" w:type="dxa"/>
                  </w:tcMar>
                  <w:vAlign w:val="center"/>
                </w:tcPr>
                <w:p w14:paraId="797BA3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c>
                <w:tcPr>
                  <w:tcW w:w="531" w:type="pct"/>
                  <w:shd w:val="clear" w:color="auto" w:fill="auto"/>
                  <w:noWrap w:val="0"/>
                  <w:tcMar>
                    <w:top w:w="0" w:type="dxa"/>
                    <w:left w:w="0" w:type="dxa"/>
                    <w:bottom w:w="0" w:type="dxa"/>
                    <w:right w:w="0" w:type="dxa"/>
                  </w:tcMar>
                  <w:vAlign w:val="center"/>
                </w:tcPr>
                <w:p w14:paraId="463C203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rPr>
                    <w:t>0.0814</w:t>
                  </w:r>
                </w:p>
              </w:tc>
              <w:tc>
                <w:tcPr>
                  <w:tcW w:w="396" w:type="pct"/>
                  <w:shd w:val="clear" w:color="auto" w:fill="auto"/>
                  <w:noWrap w:val="0"/>
                  <w:tcMar>
                    <w:top w:w="0" w:type="dxa"/>
                    <w:left w:w="0" w:type="dxa"/>
                    <w:bottom w:w="0" w:type="dxa"/>
                    <w:right w:w="0" w:type="dxa"/>
                  </w:tcMar>
                  <w:vAlign w:val="center"/>
                </w:tcPr>
                <w:p w14:paraId="1CFB5B5B">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0.0586</w:t>
                  </w:r>
                </w:p>
              </w:tc>
              <w:tc>
                <w:tcPr>
                  <w:tcW w:w="400" w:type="pct"/>
                  <w:vMerge w:val="restart"/>
                  <w:noWrap w:val="0"/>
                  <w:tcMar>
                    <w:top w:w="0" w:type="dxa"/>
                    <w:left w:w="0" w:type="dxa"/>
                    <w:bottom w:w="0" w:type="dxa"/>
                    <w:right w:w="0" w:type="dxa"/>
                  </w:tcMar>
                  <w:vAlign w:val="center"/>
                </w:tcPr>
                <w:p w14:paraId="675B62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pacing w:val="-2"/>
                      <w:kern w:val="28"/>
                      <w:szCs w:val="21"/>
                      <w:lang w:val="en-US" w:eastAsia="zh-CN"/>
                    </w:rPr>
                    <w:t>1660</w:t>
                  </w:r>
                </w:p>
              </w:tc>
            </w:tr>
            <w:tr w14:paraId="321F34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trPr>
              <w:tc>
                <w:tcPr>
                  <w:tcW w:w="369" w:type="pct"/>
                  <w:vMerge w:val="continue"/>
                  <w:noWrap w:val="0"/>
                  <w:tcMar>
                    <w:top w:w="0" w:type="dxa"/>
                    <w:left w:w="0" w:type="dxa"/>
                    <w:bottom w:w="0" w:type="dxa"/>
                    <w:right w:w="0" w:type="dxa"/>
                  </w:tcMar>
                  <w:vAlign w:val="center"/>
                </w:tcPr>
                <w:p w14:paraId="599DC24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lang w:val="en-US" w:eastAsia="zh-CN"/>
                    </w:rPr>
                  </w:pPr>
                </w:p>
              </w:tc>
              <w:tc>
                <w:tcPr>
                  <w:tcW w:w="543" w:type="pct"/>
                  <w:vMerge w:val="continue"/>
                  <w:noWrap w:val="0"/>
                  <w:tcMar>
                    <w:top w:w="0" w:type="dxa"/>
                    <w:left w:w="0" w:type="dxa"/>
                    <w:bottom w:w="0" w:type="dxa"/>
                    <w:right w:w="0" w:type="dxa"/>
                  </w:tcMar>
                  <w:vAlign w:val="center"/>
                </w:tcPr>
                <w:p w14:paraId="24D8E3E8">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lang w:val="en-US" w:eastAsia="zh-CN"/>
                    </w:rPr>
                  </w:pPr>
                </w:p>
              </w:tc>
              <w:tc>
                <w:tcPr>
                  <w:tcW w:w="680" w:type="pct"/>
                  <w:shd w:val="clear" w:color="auto" w:fill="auto"/>
                  <w:noWrap w:val="0"/>
                  <w:tcMar>
                    <w:top w:w="0" w:type="dxa"/>
                    <w:left w:w="0" w:type="dxa"/>
                    <w:bottom w:w="0" w:type="dxa"/>
                    <w:right w:w="0" w:type="dxa"/>
                  </w:tcMar>
                  <w:vAlign w:val="center"/>
                </w:tcPr>
                <w:p w14:paraId="32292E44">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非甲烷总烃</w:t>
                  </w:r>
                </w:p>
              </w:tc>
              <w:tc>
                <w:tcPr>
                  <w:tcW w:w="542" w:type="pct"/>
                  <w:shd w:val="clear" w:color="auto" w:fill="auto"/>
                  <w:noWrap w:val="0"/>
                  <w:tcMar>
                    <w:top w:w="0" w:type="dxa"/>
                    <w:left w:w="0" w:type="dxa"/>
                    <w:bottom w:w="0" w:type="dxa"/>
                    <w:right w:w="0" w:type="dxa"/>
                  </w:tcMar>
                  <w:vAlign w:val="center"/>
                </w:tcPr>
                <w:p w14:paraId="36ECFB95">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0.032</w:t>
                  </w:r>
                </w:p>
              </w:tc>
              <w:tc>
                <w:tcPr>
                  <w:tcW w:w="454" w:type="pct"/>
                  <w:shd w:val="clear" w:color="auto" w:fill="auto"/>
                  <w:noWrap w:val="0"/>
                  <w:tcMar>
                    <w:top w:w="0" w:type="dxa"/>
                    <w:left w:w="0" w:type="dxa"/>
                    <w:bottom w:w="0" w:type="dxa"/>
                    <w:right w:w="0" w:type="dxa"/>
                  </w:tcMar>
                  <w:vAlign w:val="center"/>
                </w:tcPr>
                <w:p w14:paraId="159A04F4">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0.0133</w:t>
                  </w:r>
                </w:p>
              </w:tc>
              <w:tc>
                <w:tcPr>
                  <w:tcW w:w="518" w:type="pct"/>
                  <w:noWrap w:val="0"/>
                  <w:tcMar>
                    <w:top w:w="0" w:type="dxa"/>
                    <w:left w:w="0" w:type="dxa"/>
                    <w:bottom w:w="0" w:type="dxa"/>
                    <w:right w:w="0" w:type="dxa"/>
                  </w:tcMar>
                  <w:vAlign w:val="center"/>
                </w:tcPr>
                <w:p w14:paraId="3D47DD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w:t>
                  </w:r>
                </w:p>
              </w:tc>
              <w:tc>
                <w:tcPr>
                  <w:tcW w:w="281" w:type="pct"/>
                  <w:noWrap w:val="0"/>
                  <w:tcMar>
                    <w:top w:w="0" w:type="dxa"/>
                    <w:left w:w="0" w:type="dxa"/>
                    <w:bottom w:w="0" w:type="dxa"/>
                    <w:right w:w="0" w:type="dxa"/>
                  </w:tcMar>
                  <w:vAlign w:val="center"/>
                </w:tcPr>
                <w:p w14:paraId="4F55B5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w:t>
                  </w:r>
                </w:p>
              </w:tc>
              <w:tc>
                <w:tcPr>
                  <w:tcW w:w="281" w:type="pct"/>
                  <w:noWrap w:val="0"/>
                  <w:tcMar>
                    <w:top w:w="0" w:type="dxa"/>
                    <w:left w:w="0" w:type="dxa"/>
                    <w:bottom w:w="0" w:type="dxa"/>
                    <w:right w:w="0" w:type="dxa"/>
                  </w:tcMar>
                  <w:vAlign w:val="center"/>
                </w:tcPr>
                <w:p w14:paraId="2F5A7A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w:t>
                  </w:r>
                </w:p>
              </w:tc>
              <w:tc>
                <w:tcPr>
                  <w:tcW w:w="531" w:type="pct"/>
                  <w:shd w:val="clear" w:color="auto" w:fill="auto"/>
                  <w:noWrap w:val="0"/>
                  <w:tcMar>
                    <w:top w:w="0" w:type="dxa"/>
                    <w:left w:w="0" w:type="dxa"/>
                    <w:bottom w:w="0" w:type="dxa"/>
                    <w:right w:w="0" w:type="dxa"/>
                  </w:tcMar>
                  <w:vAlign w:val="center"/>
                </w:tcPr>
                <w:p w14:paraId="18FCEF20">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0.032</w:t>
                  </w:r>
                </w:p>
              </w:tc>
              <w:tc>
                <w:tcPr>
                  <w:tcW w:w="396" w:type="pct"/>
                  <w:shd w:val="clear" w:color="auto" w:fill="auto"/>
                  <w:noWrap w:val="0"/>
                  <w:tcMar>
                    <w:top w:w="0" w:type="dxa"/>
                    <w:left w:w="0" w:type="dxa"/>
                    <w:bottom w:w="0" w:type="dxa"/>
                    <w:right w:w="0" w:type="dxa"/>
                  </w:tcMar>
                  <w:vAlign w:val="center"/>
                </w:tcPr>
                <w:p w14:paraId="7D72141C">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0.0133</w:t>
                  </w:r>
                </w:p>
              </w:tc>
              <w:tc>
                <w:tcPr>
                  <w:tcW w:w="400" w:type="pct"/>
                  <w:vMerge w:val="continue"/>
                  <w:noWrap w:val="0"/>
                  <w:tcMar>
                    <w:top w:w="0" w:type="dxa"/>
                    <w:left w:w="0" w:type="dxa"/>
                    <w:bottom w:w="0" w:type="dxa"/>
                    <w:right w:w="0" w:type="dxa"/>
                  </w:tcMar>
                  <w:vAlign w:val="center"/>
                </w:tcPr>
                <w:p w14:paraId="672DB1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spacing w:val="-2"/>
                      <w:kern w:val="28"/>
                      <w:szCs w:val="21"/>
                    </w:rPr>
                  </w:pPr>
                </w:p>
              </w:tc>
            </w:tr>
          </w:tbl>
          <w:p w14:paraId="65C7E16C">
            <w:pPr>
              <w:keepNext w:val="0"/>
              <w:keepLines w:val="0"/>
              <w:pageBreakBefore w:val="0"/>
              <w:widowControl/>
              <w:suppressLineNumbers w:val="0"/>
              <w:kinsoku/>
              <w:wordWrap/>
              <w:overflowPunct/>
              <w:topLinePunct w:val="0"/>
              <w:autoSpaceDE/>
              <w:autoSpaceDN/>
              <w:bidi w:val="0"/>
              <w:adjustRightInd/>
              <w:snapToGrid/>
              <w:spacing w:before="157" w:beforeLines="50" w:beforeAutospacing="0" w:after="0" w:afterAutospacing="0"/>
              <w:ind w:left="0" w:right="0"/>
              <w:jc w:val="center"/>
              <w:textAlignment w:val="auto"/>
              <w:rPr>
                <w:rFonts w:hint="default" w:ascii="Times New Roman" w:hAnsi="Times New Roman" w:eastAsia="宋体" w:cs="Times New Roman"/>
                <w:b/>
                <w:bCs/>
                <w:color w:val="auto"/>
                <w:sz w:val="21"/>
                <w:szCs w:val="21"/>
              </w:rPr>
            </w:pPr>
          </w:p>
          <w:p w14:paraId="181BCC87">
            <w:pPr>
              <w:keepNext w:val="0"/>
              <w:keepLines w:val="0"/>
              <w:pageBreakBefore w:val="0"/>
              <w:widowControl/>
              <w:suppressLineNumbers w:val="0"/>
              <w:kinsoku/>
              <w:wordWrap/>
              <w:overflowPunct/>
              <w:topLinePunct w:val="0"/>
              <w:autoSpaceDE/>
              <w:autoSpaceDN/>
              <w:bidi w:val="0"/>
              <w:adjustRightInd/>
              <w:snapToGrid/>
              <w:spacing w:before="157" w:beforeLines="50" w:beforeAutospacing="0" w:after="0" w:afterAutospacing="0"/>
              <w:ind w:left="0" w:right="0"/>
              <w:jc w:val="center"/>
              <w:textAlignment w:val="auto"/>
              <w:rPr>
                <w:rFonts w:hint="default" w:ascii="Times New Roman" w:hAnsi="Times New Roman" w:eastAsia="宋体" w:cs="Times New Roman"/>
                <w:b/>
                <w:bCs/>
                <w:color w:val="auto"/>
                <w:sz w:val="21"/>
                <w:szCs w:val="21"/>
              </w:rPr>
            </w:pPr>
          </w:p>
          <w:p w14:paraId="3A33940B">
            <w:pPr>
              <w:keepNext w:val="0"/>
              <w:keepLines w:val="0"/>
              <w:pageBreakBefore w:val="0"/>
              <w:widowControl/>
              <w:suppressLineNumbers w:val="0"/>
              <w:kinsoku/>
              <w:wordWrap/>
              <w:overflowPunct/>
              <w:topLinePunct w:val="0"/>
              <w:autoSpaceDE/>
              <w:autoSpaceDN/>
              <w:bidi w:val="0"/>
              <w:adjustRightInd/>
              <w:snapToGrid/>
              <w:spacing w:before="157" w:beforeLines="50" w:beforeAutospacing="0" w:after="0" w:afterAutospacing="0"/>
              <w:ind w:left="0" w:right="0"/>
              <w:jc w:val="center"/>
              <w:textAlignment w:val="auto"/>
              <w:rPr>
                <w:rFonts w:hint="default" w:ascii="Times New Roman" w:hAnsi="Times New Roman" w:eastAsia="宋体" w:cs="Times New Roman"/>
                <w:b/>
                <w:bCs/>
                <w:color w:val="auto"/>
                <w:sz w:val="21"/>
                <w:szCs w:val="21"/>
              </w:rPr>
            </w:pPr>
          </w:p>
          <w:p w14:paraId="4EBAB677">
            <w:pPr>
              <w:keepNext w:val="0"/>
              <w:keepLines w:val="0"/>
              <w:pageBreakBefore w:val="0"/>
              <w:widowControl/>
              <w:suppressLineNumbers w:val="0"/>
              <w:kinsoku/>
              <w:wordWrap/>
              <w:overflowPunct/>
              <w:topLinePunct w:val="0"/>
              <w:autoSpaceDE/>
              <w:autoSpaceDN/>
              <w:bidi w:val="0"/>
              <w:adjustRightInd/>
              <w:snapToGrid/>
              <w:spacing w:before="157" w:beforeLines="50" w:beforeAutospacing="0" w:after="0" w:afterAutospacing="0"/>
              <w:ind w:left="0" w:right="0"/>
              <w:jc w:val="center"/>
              <w:textAlignment w:val="auto"/>
              <w:rPr>
                <w:rFonts w:hint="default" w:ascii="Times New Roman" w:hAnsi="Times New Roman" w:eastAsia="宋体" w:cs="Times New Roman"/>
                <w:b/>
                <w:bCs/>
                <w:color w:val="auto"/>
                <w:sz w:val="21"/>
                <w:szCs w:val="21"/>
              </w:rPr>
            </w:pPr>
          </w:p>
          <w:p w14:paraId="54247293">
            <w:pPr>
              <w:keepNext w:val="0"/>
              <w:keepLines w:val="0"/>
              <w:pageBreakBefore w:val="0"/>
              <w:widowControl/>
              <w:suppressLineNumbers w:val="0"/>
              <w:kinsoku/>
              <w:wordWrap/>
              <w:overflowPunct/>
              <w:topLinePunct w:val="0"/>
              <w:autoSpaceDE/>
              <w:autoSpaceDN/>
              <w:bidi w:val="0"/>
              <w:adjustRightInd/>
              <w:snapToGrid/>
              <w:spacing w:before="157" w:beforeLines="50" w:beforeAutospacing="0" w:after="0" w:afterAutospacing="0"/>
              <w:ind w:left="0" w:right="0"/>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表4-1</w:t>
            </w:r>
            <w:r>
              <w:rPr>
                <w:rFonts w:hint="eastAsia" w:ascii="Times New Roman" w:hAnsi="Times New Roman" w:eastAsia="宋体" w:cs="Times New Roman"/>
                <w:b/>
                <w:bCs/>
                <w:color w:val="auto"/>
                <w:sz w:val="21"/>
                <w:szCs w:val="21"/>
                <w:lang w:val="en-US" w:eastAsia="zh-CN"/>
              </w:rPr>
              <w:t>2</w:t>
            </w:r>
            <w:r>
              <w:rPr>
                <w:rFonts w:hint="default" w:ascii="Times New Roman" w:hAnsi="Times New Roman" w:eastAsia="宋体" w:cs="Times New Roman"/>
                <w:b/>
                <w:bCs/>
                <w:color w:val="auto"/>
                <w:sz w:val="21"/>
                <w:szCs w:val="21"/>
              </w:rPr>
              <w:t xml:space="preserve"> 本项目无组织面源参数</w:t>
            </w:r>
          </w:p>
          <w:tbl>
            <w:tblPr>
              <w:tblStyle w:val="2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20"/>
              <w:gridCol w:w="829"/>
              <w:gridCol w:w="733"/>
              <w:gridCol w:w="765"/>
              <w:gridCol w:w="554"/>
              <w:gridCol w:w="584"/>
              <w:gridCol w:w="654"/>
              <w:gridCol w:w="896"/>
              <w:gridCol w:w="688"/>
              <w:gridCol w:w="443"/>
              <w:gridCol w:w="792"/>
              <w:gridCol w:w="722"/>
            </w:tblGrid>
            <w:tr w14:paraId="5B1C0A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9" w:type="pct"/>
                  <w:vMerge w:val="restart"/>
                  <w:tcBorders>
                    <w:tl2br w:val="nil"/>
                    <w:tr2bl w:val="nil"/>
                  </w:tcBorders>
                  <w:noWrap w:val="0"/>
                  <w:tcMar>
                    <w:top w:w="0" w:type="dxa"/>
                    <w:left w:w="0" w:type="dxa"/>
                    <w:bottom w:w="0" w:type="dxa"/>
                    <w:right w:w="0" w:type="dxa"/>
                  </w:tcMar>
                  <w:vAlign w:val="center"/>
                </w:tcPr>
                <w:p w14:paraId="786200C2">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名称</w:t>
                  </w:r>
                </w:p>
              </w:tc>
              <w:tc>
                <w:tcPr>
                  <w:tcW w:w="931" w:type="pct"/>
                  <w:gridSpan w:val="2"/>
                  <w:tcBorders>
                    <w:tl2br w:val="nil"/>
                    <w:tr2bl w:val="nil"/>
                  </w:tcBorders>
                  <w:noWrap w:val="0"/>
                  <w:tcMar>
                    <w:top w:w="0" w:type="dxa"/>
                    <w:left w:w="0" w:type="dxa"/>
                    <w:bottom w:w="0" w:type="dxa"/>
                    <w:right w:w="0" w:type="dxa"/>
                  </w:tcMar>
                  <w:vAlign w:val="center"/>
                </w:tcPr>
                <w:p w14:paraId="7F58DDC0">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面源坐标（°）</w:t>
                  </w:r>
                </w:p>
              </w:tc>
              <w:tc>
                <w:tcPr>
                  <w:tcW w:w="456" w:type="pct"/>
                  <w:vMerge w:val="restart"/>
                  <w:tcBorders>
                    <w:tl2br w:val="nil"/>
                    <w:tr2bl w:val="nil"/>
                  </w:tcBorders>
                  <w:noWrap w:val="0"/>
                  <w:tcMar>
                    <w:top w:w="0" w:type="dxa"/>
                    <w:left w:w="0" w:type="dxa"/>
                    <w:bottom w:w="0" w:type="dxa"/>
                    <w:right w:w="0" w:type="dxa"/>
                  </w:tcMar>
                  <w:vAlign w:val="center"/>
                </w:tcPr>
                <w:p w14:paraId="17A5FE15">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面源海拔高度（m）</w:t>
                  </w:r>
                </w:p>
              </w:tc>
              <w:tc>
                <w:tcPr>
                  <w:tcW w:w="330" w:type="pct"/>
                  <w:vMerge w:val="restart"/>
                  <w:tcBorders>
                    <w:tl2br w:val="nil"/>
                    <w:tr2bl w:val="nil"/>
                  </w:tcBorders>
                  <w:noWrap w:val="0"/>
                  <w:tcMar>
                    <w:top w:w="0" w:type="dxa"/>
                    <w:left w:w="0" w:type="dxa"/>
                    <w:bottom w:w="0" w:type="dxa"/>
                    <w:right w:w="0" w:type="dxa"/>
                  </w:tcMar>
                  <w:vAlign w:val="center"/>
                </w:tcPr>
                <w:p w14:paraId="6C178F7E">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面源长度（m）</w:t>
                  </w:r>
                </w:p>
              </w:tc>
              <w:tc>
                <w:tcPr>
                  <w:tcW w:w="348" w:type="pct"/>
                  <w:vMerge w:val="restart"/>
                  <w:tcBorders>
                    <w:tl2br w:val="nil"/>
                    <w:tr2bl w:val="nil"/>
                  </w:tcBorders>
                  <w:noWrap w:val="0"/>
                  <w:tcMar>
                    <w:top w:w="0" w:type="dxa"/>
                    <w:left w:w="0" w:type="dxa"/>
                    <w:bottom w:w="0" w:type="dxa"/>
                    <w:right w:w="0" w:type="dxa"/>
                  </w:tcMar>
                  <w:vAlign w:val="center"/>
                </w:tcPr>
                <w:p w14:paraId="4DAC0AAB">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面源宽度（m）</w:t>
                  </w:r>
                </w:p>
              </w:tc>
              <w:tc>
                <w:tcPr>
                  <w:tcW w:w="390" w:type="pct"/>
                  <w:vMerge w:val="restart"/>
                  <w:tcBorders>
                    <w:tl2br w:val="nil"/>
                    <w:tr2bl w:val="nil"/>
                  </w:tcBorders>
                  <w:noWrap w:val="0"/>
                  <w:tcMar>
                    <w:top w:w="0" w:type="dxa"/>
                    <w:left w:w="0" w:type="dxa"/>
                    <w:bottom w:w="0" w:type="dxa"/>
                    <w:right w:w="0" w:type="dxa"/>
                  </w:tcMar>
                  <w:vAlign w:val="center"/>
                </w:tcPr>
                <w:p w14:paraId="52954C70">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与正北夹角(°)</w:t>
                  </w:r>
                </w:p>
              </w:tc>
              <w:tc>
                <w:tcPr>
                  <w:tcW w:w="534" w:type="pct"/>
                  <w:vMerge w:val="restart"/>
                  <w:tcBorders>
                    <w:tl2br w:val="nil"/>
                    <w:tr2bl w:val="nil"/>
                  </w:tcBorders>
                  <w:noWrap w:val="0"/>
                  <w:tcMar>
                    <w:top w:w="0" w:type="dxa"/>
                    <w:left w:w="0" w:type="dxa"/>
                    <w:bottom w:w="0" w:type="dxa"/>
                    <w:right w:w="0" w:type="dxa"/>
                  </w:tcMar>
                  <w:vAlign w:val="center"/>
                </w:tcPr>
                <w:p w14:paraId="15BB83E1">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面源有效排放高度（m）</w:t>
                  </w:r>
                </w:p>
              </w:tc>
              <w:tc>
                <w:tcPr>
                  <w:tcW w:w="410" w:type="pct"/>
                  <w:vMerge w:val="restart"/>
                  <w:tcBorders>
                    <w:tl2br w:val="nil"/>
                    <w:tr2bl w:val="nil"/>
                  </w:tcBorders>
                  <w:noWrap w:val="0"/>
                  <w:tcMar>
                    <w:top w:w="0" w:type="dxa"/>
                    <w:left w:w="0" w:type="dxa"/>
                    <w:bottom w:w="0" w:type="dxa"/>
                    <w:right w:w="0" w:type="dxa"/>
                  </w:tcMar>
                  <w:vAlign w:val="center"/>
                </w:tcPr>
                <w:p w14:paraId="07F60B18">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年排放小时数（h）</w:t>
                  </w:r>
                </w:p>
              </w:tc>
              <w:tc>
                <w:tcPr>
                  <w:tcW w:w="264" w:type="pct"/>
                  <w:vMerge w:val="restart"/>
                  <w:tcBorders>
                    <w:tl2br w:val="nil"/>
                    <w:tr2bl w:val="nil"/>
                  </w:tcBorders>
                  <w:noWrap w:val="0"/>
                  <w:tcMar>
                    <w:top w:w="0" w:type="dxa"/>
                    <w:left w:w="0" w:type="dxa"/>
                    <w:bottom w:w="0" w:type="dxa"/>
                    <w:right w:w="0" w:type="dxa"/>
                  </w:tcMar>
                  <w:vAlign w:val="center"/>
                </w:tcPr>
                <w:p w14:paraId="3F6F55EB">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排放工况</w:t>
                  </w:r>
                </w:p>
              </w:tc>
              <w:tc>
                <w:tcPr>
                  <w:tcW w:w="903" w:type="pct"/>
                  <w:gridSpan w:val="2"/>
                  <w:vMerge w:val="restart"/>
                  <w:tcBorders>
                    <w:tl2br w:val="nil"/>
                    <w:tr2bl w:val="nil"/>
                  </w:tcBorders>
                  <w:noWrap w:val="0"/>
                  <w:tcMar>
                    <w:top w:w="0" w:type="dxa"/>
                    <w:left w:w="0" w:type="dxa"/>
                    <w:bottom w:w="0" w:type="dxa"/>
                    <w:right w:w="0" w:type="dxa"/>
                  </w:tcMar>
                  <w:vAlign w:val="center"/>
                </w:tcPr>
                <w:p w14:paraId="5644E9F7">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排放速率（kg/h）</w:t>
                  </w:r>
                </w:p>
              </w:tc>
            </w:tr>
            <w:tr w14:paraId="18A9D7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9" w:type="pct"/>
                  <w:vMerge w:val="continue"/>
                  <w:tcBorders>
                    <w:tl2br w:val="nil"/>
                    <w:tr2bl w:val="nil"/>
                  </w:tcBorders>
                  <w:noWrap w:val="0"/>
                  <w:tcMar>
                    <w:top w:w="0" w:type="dxa"/>
                    <w:left w:w="0" w:type="dxa"/>
                    <w:bottom w:w="0" w:type="dxa"/>
                    <w:right w:w="0" w:type="dxa"/>
                  </w:tcMar>
                  <w:vAlign w:val="center"/>
                </w:tcPr>
                <w:p w14:paraId="07CCBB5E">
                  <w:pPr>
                    <w:keepNext w:val="0"/>
                    <w:keepLines w:val="0"/>
                    <w:suppressLineNumbers w:val="0"/>
                    <w:spacing w:before="0" w:beforeAutospacing="0" w:after="0" w:afterAutospacing="0" w:line="240" w:lineRule="exact"/>
                    <w:ind w:left="0" w:right="0"/>
                    <w:rPr>
                      <w:rFonts w:hint="default" w:ascii="Times New Roman" w:hAnsi="Times New Roman" w:eastAsia="宋体" w:cs="Times New Roman"/>
                      <w:b/>
                      <w:color w:val="auto"/>
                      <w:szCs w:val="21"/>
                    </w:rPr>
                  </w:pPr>
                </w:p>
              </w:tc>
              <w:tc>
                <w:tcPr>
                  <w:tcW w:w="494" w:type="pct"/>
                  <w:tcBorders>
                    <w:tl2br w:val="nil"/>
                    <w:tr2bl w:val="nil"/>
                  </w:tcBorders>
                  <w:noWrap w:val="0"/>
                  <w:tcMar>
                    <w:top w:w="0" w:type="dxa"/>
                    <w:left w:w="0" w:type="dxa"/>
                    <w:bottom w:w="0" w:type="dxa"/>
                    <w:right w:w="0" w:type="dxa"/>
                  </w:tcMar>
                  <w:vAlign w:val="center"/>
                </w:tcPr>
                <w:p w14:paraId="1BEF1F33">
                  <w:pPr>
                    <w:keepNext w:val="0"/>
                    <w:keepLines w:val="0"/>
                    <w:widowControl/>
                    <w:suppressLineNumbers w:val="0"/>
                    <w:spacing w:before="0" w:beforeAutospacing="0" w:after="0" w:afterAutospacing="0" w:line="240" w:lineRule="exact"/>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E</w:t>
                  </w:r>
                </w:p>
              </w:tc>
              <w:tc>
                <w:tcPr>
                  <w:tcW w:w="437" w:type="pct"/>
                  <w:tcBorders>
                    <w:tl2br w:val="nil"/>
                    <w:tr2bl w:val="nil"/>
                  </w:tcBorders>
                  <w:noWrap w:val="0"/>
                  <w:tcMar>
                    <w:top w:w="0" w:type="dxa"/>
                    <w:left w:w="0" w:type="dxa"/>
                    <w:bottom w:w="0" w:type="dxa"/>
                    <w:right w:w="0" w:type="dxa"/>
                  </w:tcMar>
                  <w:vAlign w:val="center"/>
                </w:tcPr>
                <w:p w14:paraId="0CA8359C">
                  <w:pPr>
                    <w:keepNext w:val="0"/>
                    <w:keepLines w:val="0"/>
                    <w:widowControl/>
                    <w:suppressLineNumbers w:val="0"/>
                    <w:spacing w:before="0" w:beforeAutospacing="0" w:after="0" w:afterAutospacing="0" w:line="240" w:lineRule="exact"/>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N</w:t>
                  </w:r>
                </w:p>
              </w:tc>
              <w:tc>
                <w:tcPr>
                  <w:tcW w:w="456" w:type="pct"/>
                  <w:vMerge w:val="continue"/>
                  <w:tcBorders>
                    <w:tl2br w:val="nil"/>
                    <w:tr2bl w:val="nil"/>
                  </w:tcBorders>
                  <w:noWrap w:val="0"/>
                  <w:tcMar>
                    <w:top w:w="0" w:type="dxa"/>
                    <w:left w:w="0" w:type="dxa"/>
                    <w:bottom w:w="0" w:type="dxa"/>
                    <w:right w:w="0" w:type="dxa"/>
                  </w:tcMar>
                  <w:vAlign w:val="center"/>
                </w:tcPr>
                <w:p w14:paraId="4DA284A7">
                  <w:pPr>
                    <w:keepNext w:val="0"/>
                    <w:keepLines w:val="0"/>
                    <w:suppressLineNumbers w:val="0"/>
                    <w:spacing w:before="0" w:beforeAutospacing="0" w:after="0" w:afterAutospacing="0" w:line="240" w:lineRule="exact"/>
                    <w:ind w:left="0" w:right="0"/>
                    <w:rPr>
                      <w:rFonts w:hint="default" w:ascii="Times New Roman" w:hAnsi="Times New Roman" w:eastAsia="宋体" w:cs="Times New Roman"/>
                      <w:b/>
                      <w:color w:val="auto"/>
                      <w:szCs w:val="21"/>
                    </w:rPr>
                  </w:pPr>
                </w:p>
              </w:tc>
              <w:tc>
                <w:tcPr>
                  <w:tcW w:w="330" w:type="pct"/>
                  <w:vMerge w:val="continue"/>
                  <w:tcBorders>
                    <w:tl2br w:val="nil"/>
                    <w:tr2bl w:val="nil"/>
                  </w:tcBorders>
                  <w:noWrap w:val="0"/>
                  <w:tcMar>
                    <w:top w:w="0" w:type="dxa"/>
                    <w:left w:w="0" w:type="dxa"/>
                    <w:bottom w:w="0" w:type="dxa"/>
                    <w:right w:w="0" w:type="dxa"/>
                  </w:tcMar>
                  <w:vAlign w:val="center"/>
                </w:tcPr>
                <w:p w14:paraId="3FD9664A">
                  <w:pPr>
                    <w:keepNext w:val="0"/>
                    <w:keepLines w:val="0"/>
                    <w:suppressLineNumbers w:val="0"/>
                    <w:spacing w:before="0" w:beforeAutospacing="0" w:after="0" w:afterAutospacing="0" w:line="240" w:lineRule="exact"/>
                    <w:ind w:left="0" w:right="0"/>
                    <w:rPr>
                      <w:rFonts w:hint="default" w:ascii="Times New Roman" w:hAnsi="Times New Roman" w:eastAsia="宋体" w:cs="Times New Roman"/>
                      <w:b/>
                      <w:color w:val="auto"/>
                      <w:szCs w:val="21"/>
                    </w:rPr>
                  </w:pPr>
                </w:p>
              </w:tc>
              <w:tc>
                <w:tcPr>
                  <w:tcW w:w="348" w:type="pct"/>
                  <w:vMerge w:val="continue"/>
                  <w:tcBorders>
                    <w:tl2br w:val="nil"/>
                    <w:tr2bl w:val="nil"/>
                  </w:tcBorders>
                  <w:noWrap w:val="0"/>
                  <w:tcMar>
                    <w:top w:w="0" w:type="dxa"/>
                    <w:left w:w="0" w:type="dxa"/>
                    <w:bottom w:w="0" w:type="dxa"/>
                    <w:right w:w="0" w:type="dxa"/>
                  </w:tcMar>
                  <w:vAlign w:val="center"/>
                </w:tcPr>
                <w:p w14:paraId="65EFFA4A">
                  <w:pPr>
                    <w:keepNext w:val="0"/>
                    <w:keepLines w:val="0"/>
                    <w:suppressLineNumbers w:val="0"/>
                    <w:spacing w:before="0" w:beforeAutospacing="0" w:after="0" w:afterAutospacing="0" w:line="240" w:lineRule="exact"/>
                    <w:ind w:left="0" w:right="0"/>
                    <w:rPr>
                      <w:rFonts w:hint="default" w:ascii="Times New Roman" w:hAnsi="Times New Roman" w:eastAsia="宋体" w:cs="Times New Roman"/>
                      <w:b/>
                      <w:color w:val="auto"/>
                      <w:szCs w:val="21"/>
                    </w:rPr>
                  </w:pPr>
                </w:p>
              </w:tc>
              <w:tc>
                <w:tcPr>
                  <w:tcW w:w="390" w:type="pct"/>
                  <w:vMerge w:val="continue"/>
                  <w:tcBorders>
                    <w:tl2br w:val="nil"/>
                    <w:tr2bl w:val="nil"/>
                  </w:tcBorders>
                  <w:noWrap w:val="0"/>
                  <w:tcMar>
                    <w:top w:w="0" w:type="dxa"/>
                    <w:left w:w="0" w:type="dxa"/>
                    <w:bottom w:w="0" w:type="dxa"/>
                    <w:right w:w="0" w:type="dxa"/>
                  </w:tcMar>
                  <w:vAlign w:val="center"/>
                </w:tcPr>
                <w:p w14:paraId="06BD48D3">
                  <w:pPr>
                    <w:keepNext w:val="0"/>
                    <w:keepLines w:val="0"/>
                    <w:suppressLineNumbers w:val="0"/>
                    <w:spacing w:before="0" w:beforeAutospacing="0" w:after="0" w:afterAutospacing="0" w:line="240" w:lineRule="exact"/>
                    <w:ind w:left="0" w:right="0"/>
                    <w:rPr>
                      <w:rFonts w:hint="default" w:ascii="Times New Roman" w:hAnsi="Times New Roman" w:eastAsia="宋体" w:cs="Times New Roman"/>
                      <w:b/>
                      <w:color w:val="auto"/>
                      <w:szCs w:val="21"/>
                    </w:rPr>
                  </w:pPr>
                </w:p>
              </w:tc>
              <w:tc>
                <w:tcPr>
                  <w:tcW w:w="534" w:type="pct"/>
                  <w:vMerge w:val="continue"/>
                  <w:tcBorders>
                    <w:tl2br w:val="nil"/>
                    <w:tr2bl w:val="nil"/>
                  </w:tcBorders>
                  <w:noWrap w:val="0"/>
                  <w:tcMar>
                    <w:top w:w="0" w:type="dxa"/>
                    <w:left w:w="0" w:type="dxa"/>
                    <w:bottom w:w="0" w:type="dxa"/>
                    <w:right w:w="0" w:type="dxa"/>
                  </w:tcMar>
                  <w:vAlign w:val="center"/>
                </w:tcPr>
                <w:p w14:paraId="61D234C0">
                  <w:pPr>
                    <w:keepNext w:val="0"/>
                    <w:keepLines w:val="0"/>
                    <w:suppressLineNumbers w:val="0"/>
                    <w:spacing w:before="0" w:beforeAutospacing="0" w:after="0" w:afterAutospacing="0" w:line="240" w:lineRule="exact"/>
                    <w:ind w:left="0" w:right="0"/>
                    <w:rPr>
                      <w:rFonts w:hint="default" w:ascii="Times New Roman" w:hAnsi="Times New Roman" w:eastAsia="宋体" w:cs="Times New Roman"/>
                      <w:b/>
                      <w:color w:val="auto"/>
                      <w:szCs w:val="21"/>
                    </w:rPr>
                  </w:pPr>
                </w:p>
              </w:tc>
              <w:tc>
                <w:tcPr>
                  <w:tcW w:w="410" w:type="pct"/>
                  <w:vMerge w:val="continue"/>
                  <w:tcBorders>
                    <w:tl2br w:val="nil"/>
                    <w:tr2bl w:val="nil"/>
                  </w:tcBorders>
                  <w:noWrap w:val="0"/>
                  <w:tcMar>
                    <w:top w:w="0" w:type="dxa"/>
                    <w:left w:w="0" w:type="dxa"/>
                    <w:bottom w:w="0" w:type="dxa"/>
                    <w:right w:w="0" w:type="dxa"/>
                  </w:tcMar>
                  <w:vAlign w:val="center"/>
                </w:tcPr>
                <w:p w14:paraId="49BE60A4">
                  <w:pPr>
                    <w:keepNext w:val="0"/>
                    <w:keepLines w:val="0"/>
                    <w:suppressLineNumbers w:val="0"/>
                    <w:spacing w:before="0" w:beforeAutospacing="0" w:after="0" w:afterAutospacing="0" w:line="240" w:lineRule="exact"/>
                    <w:ind w:left="0" w:right="0"/>
                    <w:rPr>
                      <w:rFonts w:hint="default" w:ascii="Times New Roman" w:hAnsi="Times New Roman" w:eastAsia="宋体" w:cs="Times New Roman"/>
                      <w:b/>
                      <w:color w:val="auto"/>
                      <w:szCs w:val="21"/>
                    </w:rPr>
                  </w:pPr>
                </w:p>
              </w:tc>
              <w:tc>
                <w:tcPr>
                  <w:tcW w:w="264" w:type="pct"/>
                  <w:vMerge w:val="continue"/>
                  <w:tcBorders>
                    <w:tl2br w:val="nil"/>
                    <w:tr2bl w:val="nil"/>
                  </w:tcBorders>
                  <w:noWrap w:val="0"/>
                  <w:tcMar>
                    <w:top w:w="0" w:type="dxa"/>
                    <w:left w:w="0" w:type="dxa"/>
                    <w:bottom w:w="0" w:type="dxa"/>
                    <w:right w:w="0" w:type="dxa"/>
                  </w:tcMar>
                  <w:vAlign w:val="center"/>
                </w:tcPr>
                <w:p w14:paraId="708FE81B">
                  <w:pPr>
                    <w:keepNext w:val="0"/>
                    <w:keepLines w:val="0"/>
                    <w:suppressLineNumbers w:val="0"/>
                    <w:spacing w:before="0" w:beforeAutospacing="0" w:after="0" w:afterAutospacing="0" w:line="240" w:lineRule="exact"/>
                    <w:ind w:left="0" w:right="0"/>
                    <w:rPr>
                      <w:rFonts w:hint="default" w:ascii="Times New Roman" w:hAnsi="Times New Roman" w:eastAsia="宋体" w:cs="Times New Roman"/>
                      <w:b/>
                      <w:color w:val="auto"/>
                      <w:szCs w:val="21"/>
                    </w:rPr>
                  </w:pPr>
                </w:p>
              </w:tc>
              <w:tc>
                <w:tcPr>
                  <w:tcW w:w="903" w:type="pct"/>
                  <w:gridSpan w:val="2"/>
                  <w:vMerge w:val="continue"/>
                  <w:tcBorders>
                    <w:tl2br w:val="nil"/>
                    <w:tr2bl w:val="nil"/>
                  </w:tcBorders>
                  <w:noWrap w:val="0"/>
                  <w:tcMar>
                    <w:top w:w="0" w:type="dxa"/>
                    <w:left w:w="0" w:type="dxa"/>
                    <w:bottom w:w="0" w:type="dxa"/>
                    <w:right w:w="0" w:type="dxa"/>
                  </w:tcMar>
                  <w:vAlign w:val="center"/>
                </w:tcPr>
                <w:p w14:paraId="5E0E9862">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rPr>
                  </w:pPr>
                </w:p>
              </w:tc>
            </w:tr>
            <w:tr w14:paraId="1C05C4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9" w:type="pct"/>
                  <w:vMerge w:val="restart"/>
                  <w:tcBorders>
                    <w:tl2br w:val="nil"/>
                    <w:tr2bl w:val="nil"/>
                  </w:tcBorders>
                  <w:noWrap w:val="0"/>
                  <w:tcMar>
                    <w:top w:w="0" w:type="dxa"/>
                    <w:left w:w="0" w:type="dxa"/>
                    <w:bottom w:w="0" w:type="dxa"/>
                    <w:right w:w="0" w:type="dxa"/>
                  </w:tcMar>
                  <w:vAlign w:val="center"/>
                </w:tcPr>
                <w:p w14:paraId="6D446804">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Cs w:val="21"/>
                      <w:lang w:eastAsia="zh-CN"/>
                    </w:rPr>
                  </w:pPr>
                  <w:r>
                    <w:rPr>
                      <w:rFonts w:hint="eastAsia" w:ascii="Times New Roman" w:hAnsi="Times New Roman" w:eastAsia="宋体" w:cs="Times New Roman"/>
                      <w:color w:val="auto"/>
                      <w:sz w:val="21"/>
                      <w:szCs w:val="21"/>
                      <w:lang w:val="en-US" w:eastAsia="zh-CN"/>
                    </w:rPr>
                    <w:t>生产车间</w:t>
                  </w:r>
                </w:p>
              </w:tc>
              <w:tc>
                <w:tcPr>
                  <w:tcW w:w="494" w:type="pct"/>
                  <w:vMerge w:val="restart"/>
                  <w:tcBorders>
                    <w:tl2br w:val="nil"/>
                    <w:tr2bl w:val="nil"/>
                  </w:tcBorders>
                  <w:noWrap w:val="0"/>
                  <w:tcMar>
                    <w:top w:w="0" w:type="dxa"/>
                    <w:left w:w="0" w:type="dxa"/>
                    <w:bottom w:w="0" w:type="dxa"/>
                    <w:right w:w="0" w:type="dxa"/>
                  </w:tcMar>
                  <w:vAlign w:val="center"/>
                </w:tcPr>
                <w:p w14:paraId="702C6884">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119.609105</w:t>
                  </w:r>
                </w:p>
              </w:tc>
              <w:tc>
                <w:tcPr>
                  <w:tcW w:w="437" w:type="pct"/>
                  <w:vMerge w:val="restart"/>
                  <w:tcBorders>
                    <w:tl2br w:val="nil"/>
                    <w:tr2bl w:val="nil"/>
                  </w:tcBorders>
                  <w:noWrap w:val="0"/>
                  <w:tcMar>
                    <w:top w:w="0" w:type="dxa"/>
                    <w:left w:w="0" w:type="dxa"/>
                    <w:bottom w:w="0" w:type="dxa"/>
                    <w:right w:w="0" w:type="dxa"/>
                  </w:tcMar>
                  <w:vAlign w:val="center"/>
                </w:tcPr>
                <w:p w14:paraId="641431D2">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31.758817</w:t>
                  </w:r>
                </w:p>
              </w:tc>
              <w:tc>
                <w:tcPr>
                  <w:tcW w:w="456" w:type="pct"/>
                  <w:vMerge w:val="restart"/>
                  <w:tcBorders>
                    <w:tl2br w:val="nil"/>
                    <w:tr2bl w:val="nil"/>
                  </w:tcBorders>
                  <w:noWrap w:val="0"/>
                  <w:tcMar>
                    <w:top w:w="0" w:type="dxa"/>
                    <w:left w:w="0" w:type="dxa"/>
                    <w:bottom w:w="0" w:type="dxa"/>
                    <w:right w:w="0" w:type="dxa"/>
                  </w:tcMar>
                  <w:vAlign w:val="center"/>
                </w:tcPr>
                <w:p w14:paraId="10899AD8">
                  <w:pPr>
                    <w:keepNext w:val="0"/>
                    <w:keepLines w:val="0"/>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w:t>
                  </w:r>
                </w:p>
              </w:tc>
              <w:tc>
                <w:tcPr>
                  <w:tcW w:w="330" w:type="pct"/>
                  <w:vMerge w:val="restart"/>
                  <w:tcBorders>
                    <w:tl2br w:val="nil"/>
                    <w:tr2bl w:val="nil"/>
                  </w:tcBorders>
                  <w:noWrap w:val="0"/>
                  <w:tcMar>
                    <w:top w:w="0" w:type="dxa"/>
                    <w:left w:w="0" w:type="dxa"/>
                    <w:bottom w:w="0" w:type="dxa"/>
                    <w:right w:w="0" w:type="dxa"/>
                  </w:tcMar>
                  <w:vAlign w:val="center"/>
                </w:tcPr>
                <w:p w14:paraId="09FC675E">
                  <w:pPr>
                    <w:keepNext w:val="0"/>
                    <w:keepLines w:val="0"/>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66.4</w:t>
                  </w:r>
                </w:p>
              </w:tc>
              <w:tc>
                <w:tcPr>
                  <w:tcW w:w="348" w:type="pct"/>
                  <w:vMerge w:val="restart"/>
                  <w:tcBorders>
                    <w:tl2br w:val="nil"/>
                    <w:tr2bl w:val="nil"/>
                  </w:tcBorders>
                  <w:noWrap w:val="0"/>
                  <w:tcMar>
                    <w:top w:w="0" w:type="dxa"/>
                    <w:left w:w="0" w:type="dxa"/>
                    <w:bottom w:w="0" w:type="dxa"/>
                    <w:right w:w="0" w:type="dxa"/>
                  </w:tcMar>
                  <w:vAlign w:val="center"/>
                </w:tcPr>
                <w:p w14:paraId="2466EC4F">
                  <w:pPr>
                    <w:keepNext w:val="0"/>
                    <w:keepLines w:val="0"/>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25</w:t>
                  </w:r>
                </w:p>
              </w:tc>
              <w:tc>
                <w:tcPr>
                  <w:tcW w:w="390" w:type="pct"/>
                  <w:vMerge w:val="restart"/>
                  <w:tcBorders>
                    <w:tl2br w:val="nil"/>
                    <w:tr2bl w:val="nil"/>
                  </w:tcBorders>
                  <w:noWrap w:val="0"/>
                  <w:tcMar>
                    <w:top w:w="0" w:type="dxa"/>
                    <w:left w:w="0" w:type="dxa"/>
                    <w:bottom w:w="0" w:type="dxa"/>
                    <w:right w:w="0" w:type="dxa"/>
                  </w:tcMar>
                  <w:vAlign w:val="center"/>
                </w:tcPr>
                <w:p w14:paraId="785C41CA">
                  <w:pPr>
                    <w:keepNext w:val="0"/>
                    <w:keepLines w:val="0"/>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w:t>
                  </w:r>
                </w:p>
              </w:tc>
              <w:tc>
                <w:tcPr>
                  <w:tcW w:w="534" w:type="pct"/>
                  <w:vMerge w:val="restart"/>
                  <w:tcBorders>
                    <w:tl2br w:val="nil"/>
                    <w:tr2bl w:val="nil"/>
                  </w:tcBorders>
                  <w:noWrap w:val="0"/>
                  <w:tcMar>
                    <w:top w:w="0" w:type="dxa"/>
                    <w:left w:w="0" w:type="dxa"/>
                    <w:bottom w:w="0" w:type="dxa"/>
                    <w:right w:w="0" w:type="dxa"/>
                  </w:tcMar>
                  <w:vAlign w:val="center"/>
                </w:tcPr>
                <w:p w14:paraId="155D6F2C">
                  <w:pPr>
                    <w:keepNext w:val="0"/>
                    <w:keepLines w:val="0"/>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8</w:t>
                  </w:r>
                </w:p>
              </w:tc>
              <w:tc>
                <w:tcPr>
                  <w:tcW w:w="410" w:type="pct"/>
                  <w:vMerge w:val="restart"/>
                  <w:tcBorders>
                    <w:tl2br w:val="nil"/>
                    <w:tr2bl w:val="nil"/>
                  </w:tcBorders>
                  <w:noWrap w:val="0"/>
                  <w:tcMar>
                    <w:top w:w="0" w:type="dxa"/>
                    <w:left w:w="0" w:type="dxa"/>
                    <w:bottom w:w="0" w:type="dxa"/>
                    <w:right w:w="0" w:type="dxa"/>
                  </w:tcMar>
                  <w:vAlign w:val="center"/>
                </w:tcPr>
                <w:p w14:paraId="2A68359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2400</w:t>
                  </w:r>
                </w:p>
              </w:tc>
              <w:tc>
                <w:tcPr>
                  <w:tcW w:w="264" w:type="pct"/>
                  <w:vMerge w:val="restart"/>
                  <w:tcBorders>
                    <w:tl2br w:val="nil"/>
                    <w:tr2bl w:val="nil"/>
                  </w:tcBorders>
                  <w:noWrap w:val="0"/>
                  <w:tcMar>
                    <w:top w:w="0" w:type="dxa"/>
                    <w:left w:w="0" w:type="dxa"/>
                    <w:bottom w:w="0" w:type="dxa"/>
                    <w:right w:w="0" w:type="dxa"/>
                  </w:tcMar>
                  <w:vAlign w:val="center"/>
                </w:tcPr>
                <w:p w14:paraId="5B0D19CF">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正常，连续</w:t>
                  </w:r>
                </w:p>
              </w:tc>
              <w:tc>
                <w:tcPr>
                  <w:tcW w:w="472" w:type="pct"/>
                  <w:tcBorders>
                    <w:tl2br w:val="nil"/>
                    <w:tr2bl w:val="nil"/>
                  </w:tcBorders>
                  <w:noWrap w:val="0"/>
                  <w:tcMar>
                    <w:top w:w="0" w:type="dxa"/>
                    <w:left w:w="0" w:type="dxa"/>
                    <w:bottom w:w="0" w:type="dxa"/>
                    <w:right w:w="0" w:type="dxa"/>
                  </w:tcMar>
                  <w:vAlign w:val="center"/>
                </w:tcPr>
                <w:p w14:paraId="28CA3539">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非甲烷总烃</w:t>
                  </w:r>
                </w:p>
              </w:tc>
              <w:tc>
                <w:tcPr>
                  <w:tcW w:w="722" w:type="dxa"/>
                  <w:tcBorders>
                    <w:tl2br w:val="nil"/>
                    <w:tr2bl w:val="nil"/>
                  </w:tcBorders>
                  <w:noWrap w:val="0"/>
                  <w:tcMar>
                    <w:top w:w="0" w:type="dxa"/>
                    <w:left w:w="0" w:type="dxa"/>
                    <w:bottom w:w="0" w:type="dxa"/>
                    <w:right w:w="0" w:type="dxa"/>
                  </w:tcMar>
                  <w:vAlign w:val="center"/>
                </w:tcPr>
                <w:p w14:paraId="0D1706EB">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0.0133</w:t>
                  </w:r>
                </w:p>
              </w:tc>
            </w:tr>
            <w:tr w14:paraId="18E692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9" w:type="pct"/>
                  <w:vMerge w:val="continue"/>
                  <w:tcBorders>
                    <w:tl2br w:val="nil"/>
                    <w:tr2bl w:val="nil"/>
                  </w:tcBorders>
                  <w:noWrap w:val="0"/>
                  <w:tcMar>
                    <w:top w:w="0" w:type="dxa"/>
                    <w:left w:w="0" w:type="dxa"/>
                    <w:bottom w:w="0" w:type="dxa"/>
                    <w:right w:w="0" w:type="dxa"/>
                  </w:tcMar>
                  <w:vAlign w:val="center"/>
                </w:tcPr>
                <w:p w14:paraId="54C9929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rPr>
                  </w:pPr>
                </w:p>
              </w:tc>
              <w:tc>
                <w:tcPr>
                  <w:tcW w:w="494" w:type="pct"/>
                  <w:vMerge w:val="continue"/>
                  <w:tcBorders>
                    <w:tl2br w:val="nil"/>
                    <w:tr2bl w:val="nil"/>
                  </w:tcBorders>
                  <w:noWrap w:val="0"/>
                  <w:tcMar>
                    <w:top w:w="0" w:type="dxa"/>
                    <w:left w:w="0" w:type="dxa"/>
                    <w:bottom w:w="0" w:type="dxa"/>
                    <w:right w:w="0" w:type="dxa"/>
                  </w:tcMar>
                  <w:vAlign w:val="center"/>
                </w:tcPr>
                <w:p w14:paraId="5136CD7B">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rPr>
                  </w:pPr>
                </w:p>
              </w:tc>
              <w:tc>
                <w:tcPr>
                  <w:tcW w:w="437" w:type="pct"/>
                  <w:vMerge w:val="continue"/>
                  <w:tcBorders>
                    <w:tl2br w:val="nil"/>
                    <w:tr2bl w:val="nil"/>
                  </w:tcBorders>
                  <w:noWrap w:val="0"/>
                  <w:tcMar>
                    <w:top w:w="0" w:type="dxa"/>
                    <w:left w:w="0" w:type="dxa"/>
                    <w:bottom w:w="0" w:type="dxa"/>
                    <w:right w:w="0" w:type="dxa"/>
                  </w:tcMar>
                  <w:vAlign w:val="center"/>
                </w:tcPr>
                <w:p w14:paraId="026982B8">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rPr>
                  </w:pPr>
                </w:p>
              </w:tc>
              <w:tc>
                <w:tcPr>
                  <w:tcW w:w="456" w:type="pct"/>
                  <w:vMerge w:val="continue"/>
                  <w:tcBorders>
                    <w:tl2br w:val="nil"/>
                    <w:tr2bl w:val="nil"/>
                  </w:tcBorders>
                  <w:noWrap w:val="0"/>
                  <w:tcMar>
                    <w:top w:w="0" w:type="dxa"/>
                    <w:left w:w="0" w:type="dxa"/>
                    <w:bottom w:w="0" w:type="dxa"/>
                    <w:right w:w="0" w:type="dxa"/>
                  </w:tcMar>
                  <w:vAlign w:val="center"/>
                </w:tcPr>
                <w:p w14:paraId="212B29C1">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rPr>
                  </w:pPr>
                </w:p>
              </w:tc>
              <w:tc>
                <w:tcPr>
                  <w:tcW w:w="330" w:type="pct"/>
                  <w:vMerge w:val="continue"/>
                  <w:tcBorders>
                    <w:tl2br w:val="nil"/>
                    <w:tr2bl w:val="nil"/>
                  </w:tcBorders>
                  <w:noWrap w:val="0"/>
                  <w:tcMar>
                    <w:top w:w="0" w:type="dxa"/>
                    <w:left w:w="0" w:type="dxa"/>
                    <w:bottom w:w="0" w:type="dxa"/>
                    <w:right w:w="0" w:type="dxa"/>
                  </w:tcMar>
                  <w:vAlign w:val="center"/>
                </w:tcPr>
                <w:p w14:paraId="3CEF2E4E">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rPr>
                  </w:pPr>
                </w:p>
              </w:tc>
              <w:tc>
                <w:tcPr>
                  <w:tcW w:w="348" w:type="pct"/>
                  <w:vMerge w:val="continue"/>
                  <w:tcBorders>
                    <w:tl2br w:val="nil"/>
                    <w:tr2bl w:val="nil"/>
                  </w:tcBorders>
                  <w:noWrap w:val="0"/>
                  <w:tcMar>
                    <w:top w:w="0" w:type="dxa"/>
                    <w:left w:w="0" w:type="dxa"/>
                    <w:bottom w:w="0" w:type="dxa"/>
                    <w:right w:w="0" w:type="dxa"/>
                  </w:tcMar>
                  <w:vAlign w:val="center"/>
                </w:tcPr>
                <w:p w14:paraId="72C77858">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rPr>
                  </w:pPr>
                </w:p>
              </w:tc>
              <w:tc>
                <w:tcPr>
                  <w:tcW w:w="390" w:type="pct"/>
                  <w:vMerge w:val="continue"/>
                  <w:tcBorders>
                    <w:tl2br w:val="nil"/>
                    <w:tr2bl w:val="nil"/>
                  </w:tcBorders>
                  <w:noWrap w:val="0"/>
                  <w:tcMar>
                    <w:top w:w="0" w:type="dxa"/>
                    <w:left w:w="0" w:type="dxa"/>
                    <w:bottom w:w="0" w:type="dxa"/>
                    <w:right w:w="0" w:type="dxa"/>
                  </w:tcMar>
                  <w:vAlign w:val="center"/>
                </w:tcPr>
                <w:p w14:paraId="5CD53BD2">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rPr>
                  </w:pPr>
                </w:p>
              </w:tc>
              <w:tc>
                <w:tcPr>
                  <w:tcW w:w="534" w:type="pct"/>
                  <w:vMerge w:val="continue"/>
                  <w:tcBorders>
                    <w:tl2br w:val="nil"/>
                    <w:tr2bl w:val="nil"/>
                  </w:tcBorders>
                  <w:noWrap w:val="0"/>
                  <w:tcMar>
                    <w:top w:w="0" w:type="dxa"/>
                    <w:left w:w="0" w:type="dxa"/>
                    <w:bottom w:w="0" w:type="dxa"/>
                    <w:right w:w="0" w:type="dxa"/>
                  </w:tcMar>
                  <w:vAlign w:val="center"/>
                </w:tcPr>
                <w:p w14:paraId="3F8D7CCC">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rPr>
                  </w:pPr>
                </w:p>
              </w:tc>
              <w:tc>
                <w:tcPr>
                  <w:tcW w:w="410" w:type="pct"/>
                  <w:vMerge w:val="continue"/>
                  <w:tcBorders>
                    <w:tl2br w:val="nil"/>
                    <w:tr2bl w:val="nil"/>
                  </w:tcBorders>
                  <w:noWrap w:val="0"/>
                  <w:tcMar>
                    <w:top w:w="0" w:type="dxa"/>
                    <w:left w:w="0" w:type="dxa"/>
                    <w:bottom w:w="0" w:type="dxa"/>
                    <w:right w:w="0" w:type="dxa"/>
                  </w:tcMar>
                  <w:vAlign w:val="center"/>
                </w:tcPr>
                <w:p w14:paraId="4E9A515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lang w:val="en-US" w:eastAsia="zh-CN"/>
                    </w:rPr>
                  </w:pPr>
                </w:p>
              </w:tc>
              <w:tc>
                <w:tcPr>
                  <w:tcW w:w="264" w:type="pct"/>
                  <w:vMerge w:val="continue"/>
                  <w:tcBorders>
                    <w:tl2br w:val="nil"/>
                    <w:tr2bl w:val="nil"/>
                  </w:tcBorders>
                  <w:noWrap w:val="0"/>
                  <w:tcMar>
                    <w:top w:w="0" w:type="dxa"/>
                    <w:left w:w="0" w:type="dxa"/>
                    <w:bottom w:w="0" w:type="dxa"/>
                    <w:right w:w="0" w:type="dxa"/>
                  </w:tcMar>
                  <w:vAlign w:val="center"/>
                </w:tcPr>
                <w:p w14:paraId="75D17274">
                  <w:pPr>
                    <w:keepNext w:val="0"/>
                    <w:keepLines w:val="0"/>
                    <w:widowControl/>
                    <w:suppressLineNumbers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rPr>
                  </w:pPr>
                </w:p>
              </w:tc>
              <w:tc>
                <w:tcPr>
                  <w:tcW w:w="472" w:type="pct"/>
                  <w:tcBorders>
                    <w:tl2br w:val="nil"/>
                    <w:tr2bl w:val="nil"/>
                  </w:tcBorders>
                  <w:noWrap w:val="0"/>
                  <w:tcMar>
                    <w:top w:w="0" w:type="dxa"/>
                    <w:left w:w="0" w:type="dxa"/>
                    <w:bottom w:w="0" w:type="dxa"/>
                    <w:right w:w="0" w:type="dxa"/>
                  </w:tcMar>
                  <w:vAlign w:val="center"/>
                </w:tcPr>
                <w:p w14:paraId="11E2FA13">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颗粒物</w:t>
                  </w:r>
                </w:p>
              </w:tc>
              <w:tc>
                <w:tcPr>
                  <w:tcW w:w="430" w:type="pct"/>
                  <w:tcBorders>
                    <w:tl2br w:val="nil"/>
                    <w:tr2bl w:val="nil"/>
                  </w:tcBorders>
                  <w:noWrap w:val="0"/>
                  <w:tcMar>
                    <w:top w:w="0" w:type="dxa"/>
                    <w:left w:w="0" w:type="dxa"/>
                    <w:bottom w:w="0" w:type="dxa"/>
                    <w:right w:w="0" w:type="dxa"/>
                  </w:tcMar>
                  <w:vAlign w:val="center"/>
                </w:tcPr>
                <w:p w14:paraId="4416FDF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0.0586</w:t>
                  </w:r>
                </w:p>
              </w:tc>
            </w:tr>
          </w:tbl>
          <w:p w14:paraId="253EA6C0">
            <w:pPr>
              <w:keepNext w:val="0"/>
              <w:keepLines w:val="0"/>
              <w:pageBreakBefore w:val="0"/>
              <w:widowControl w:val="0"/>
              <w:suppressLineNumbers w:val="0"/>
              <w:kinsoku/>
              <w:wordWrap/>
              <w:overflowPunct/>
              <w:topLinePunct w:val="0"/>
              <w:autoSpaceDE/>
              <w:autoSpaceDN/>
              <w:bidi w:val="0"/>
              <w:adjustRightInd w:val="0"/>
              <w:snapToGrid w:val="0"/>
              <w:spacing w:before="157" w:beforeLines="50" w:beforeAutospacing="0" w:after="0" w:afterAutospacing="0" w:line="360" w:lineRule="auto"/>
              <w:ind w:left="0" w:right="0" w:firstLine="420" w:firstLineChars="200"/>
              <w:jc w:val="left"/>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lang w:val="en-US" w:eastAsia="zh-CN"/>
              </w:rPr>
              <w:t>③</w:t>
            </w:r>
            <w:r>
              <w:rPr>
                <w:rFonts w:hint="default" w:ascii="Times New Roman" w:hAnsi="Times New Roman" w:eastAsia="宋体" w:cs="Times New Roman"/>
                <w:bCs/>
                <w:color w:val="auto"/>
                <w:sz w:val="21"/>
                <w:szCs w:val="21"/>
              </w:rPr>
              <w:t>非正常排放</w:t>
            </w:r>
          </w:p>
          <w:p w14:paraId="38AED7C8">
            <w:pPr>
              <w:pStyle w:val="25"/>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firstLine="420"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建设项目非正常工况是指生产设施非正常工况或污染防治（控制）设施非正常状况，其中生产设施非正常工况指开停炉（机）、设备检修、工艺设备运转异常等工况，污染防治（控制）设施非正常状况指达不到应有治理效率或同步运转率等情况。</w:t>
            </w:r>
          </w:p>
          <w:p w14:paraId="5268BDAE">
            <w:pPr>
              <w:pStyle w:val="25"/>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firstLine="420" w:firstLineChars="20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设定有开停工管理制度，每班作业开始或结束时严格按照操作规程，基本无废气产生。不正常操作及设备故障的具体原因有意外负荷跳闸，仪表失灵导致操作失控、误操作等，也可因突然断电等引起。发生不正常操作及设备故障时，将视情况及时停产。</w:t>
            </w:r>
          </w:p>
          <w:p w14:paraId="457B62A8">
            <w:pPr>
              <w:pStyle w:val="25"/>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firstLine="420" w:firstLineChars="200"/>
              <w:jc w:val="both"/>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color w:val="auto"/>
                <w:sz w:val="21"/>
                <w:szCs w:val="21"/>
              </w:rPr>
              <w:t>本项目</w:t>
            </w:r>
            <w:r>
              <w:rPr>
                <w:rFonts w:hint="default" w:ascii="Times New Roman" w:hAnsi="Times New Roman" w:eastAsia="宋体" w:cs="Times New Roman"/>
                <w:color w:val="auto"/>
                <w:sz w:val="21"/>
                <w:szCs w:val="21"/>
                <w:lang w:val="en-US" w:eastAsia="zh-CN"/>
              </w:rPr>
              <w:t>一旦废气处理装置出现故障</w:t>
            </w:r>
            <w:r>
              <w:rPr>
                <w:rFonts w:hint="default" w:ascii="Times New Roman" w:hAnsi="Times New Roman" w:eastAsia="宋体" w:cs="Times New Roman"/>
                <w:color w:val="auto"/>
                <w:sz w:val="21"/>
                <w:szCs w:val="21"/>
              </w:rPr>
              <w:t>，则</w:t>
            </w:r>
            <w:r>
              <w:rPr>
                <w:rFonts w:hint="default" w:ascii="Times New Roman" w:hAnsi="Times New Roman" w:eastAsia="宋体" w:cs="Times New Roman"/>
                <w:color w:val="auto"/>
                <w:sz w:val="21"/>
                <w:szCs w:val="21"/>
                <w:lang w:val="en-US" w:eastAsia="zh-CN"/>
              </w:rPr>
              <w:t>非甲烷总烃</w:t>
            </w:r>
            <w:r>
              <w:rPr>
                <w:rFonts w:hint="default" w:ascii="Times New Roman" w:hAnsi="Times New Roman" w:eastAsia="宋体" w:cs="Times New Roman"/>
                <w:color w:val="auto"/>
                <w:sz w:val="21"/>
                <w:szCs w:val="21"/>
              </w:rPr>
              <w:t>处理设施的综合治理效率将达不到规定指标。假设出现上述非正常工况时，废气排放情况如下表所示。</w:t>
            </w:r>
          </w:p>
          <w:p w14:paraId="030263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表4-</w:t>
            </w:r>
            <w:r>
              <w:rPr>
                <w:rFonts w:hint="default" w:ascii="Times New Roman" w:hAnsi="Times New Roman" w:eastAsia="宋体" w:cs="Times New Roman"/>
                <w:b/>
                <w:bCs/>
                <w:color w:val="auto"/>
                <w:sz w:val="21"/>
                <w:szCs w:val="21"/>
                <w:lang w:val="en-US" w:eastAsia="zh-CN"/>
              </w:rPr>
              <w:t>1</w:t>
            </w:r>
            <w:r>
              <w:rPr>
                <w:rFonts w:hint="eastAsia" w:ascii="Times New Roman" w:hAnsi="Times New Roman" w:eastAsia="宋体" w:cs="Times New Roman"/>
                <w:b/>
                <w:bCs/>
                <w:color w:val="auto"/>
                <w:sz w:val="21"/>
                <w:szCs w:val="21"/>
                <w:lang w:val="en-US" w:eastAsia="zh-CN"/>
              </w:rPr>
              <w:t>3</w:t>
            </w:r>
            <w:r>
              <w:rPr>
                <w:rFonts w:hint="default" w:ascii="Times New Roman" w:hAnsi="Times New Roman" w:eastAsia="宋体" w:cs="Times New Roman"/>
                <w:b/>
                <w:bCs/>
                <w:color w:val="auto"/>
                <w:sz w:val="21"/>
                <w:szCs w:val="21"/>
                <w:lang w:val="en-US" w:eastAsia="zh-CN"/>
              </w:rPr>
              <w:t xml:space="preserve"> </w:t>
            </w:r>
            <w:r>
              <w:rPr>
                <w:rFonts w:hint="default" w:ascii="Times New Roman" w:hAnsi="Times New Roman" w:eastAsia="宋体" w:cs="Times New Roman"/>
                <w:b/>
                <w:bCs/>
                <w:color w:val="auto"/>
                <w:sz w:val="21"/>
                <w:szCs w:val="21"/>
              </w:rPr>
              <w:t>非正常工况时废气排放情况表</w:t>
            </w:r>
          </w:p>
          <w:tbl>
            <w:tblPr>
              <w:tblStyle w:val="28"/>
              <w:tblW w:w="5000" w:type="pct"/>
              <w:tblInd w:w="5"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657"/>
              <w:gridCol w:w="850"/>
              <w:gridCol w:w="979"/>
              <w:gridCol w:w="716"/>
              <w:gridCol w:w="485"/>
              <w:gridCol w:w="548"/>
              <w:gridCol w:w="723"/>
              <w:gridCol w:w="631"/>
              <w:gridCol w:w="741"/>
              <w:gridCol w:w="600"/>
              <w:gridCol w:w="1450"/>
            </w:tblGrid>
            <w:tr w14:paraId="0788879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trPr>
              <w:tc>
                <w:tcPr>
                  <w:tcW w:w="392" w:type="pct"/>
                  <w:vMerge w:val="restart"/>
                  <w:tcBorders>
                    <w:tl2br w:val="nil"/>
                    <w:tr2bl w:val="nil"/>
                  </w:tcBorders>
                  <w:noWrap w:val="0"/>
                  <w:vAlign w:val="center"/>
                </w:tcPr>
                <w:p w14:paraId="7F4F9943">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排气筒</w:t>
                  </w:r>
                </w:p>
              </w:tc>
              <w:tc>
                <w:tcPr>
                  <w:tcW w:w="507" w:type="pct"/>
                  <w:vMerge w:val="restart"/>
                  <w:tcBorders>
                    <w:tl2br w:val="nil"/>
                    <w:tr2bl w:val="nil"/>
                  </w:tcBorders>
                  <w:noWrap w:val="0"/>
                  <w:vAlign w:val="center"/>
                </w:tcPr>
                <w:p w14:paraId="5862B1B4">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产生环节</w:t>
                  </w:r>
                </w:p>
              </w:tc>
              <w:tc>
                <w:tcPr>
                  <w:tcW w:w="584" w:type="pct"/>
                  <w:vMerge w:val="restart"/>
                  <w:tcBorders>
                    <w:tl2br w:val="nil"/>
                    <w:tr2bl w:val="nil"/>
                  </w:tcBorders>
                  <w:noWrap w:val="0"/>
                  <w:vAlign w:val="center"/>
                </w:tcPr>
                <w:p w14:paraId="1EC85844">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非正常排放原因</w:t>
                  </w:r>
                </w:p>
              </w:tc>
              <w:tc>
                <w:tcPr>
                  <w:tcW w:w="427" w:type="pct"/>
                  <w:vMerge w:val="restart"/>
                  <w:tcBorders>
                    <w:tl2br w:val="nil"/>
                    <w:tr2bl w:val="nil"/>
                  </w:tcBorders>
                  <w:noWrap w:val="0"/>
                  <w:vAlign w:val="center"/>
                </w:tcPr>
                <w:p w14:paraId="69792122">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sz w:val="21"/>
                      <w:szCs w:val="21"/>
                    </w:rPr>
                    <w:t>污染物种类</w:t>
                  </w:r>
                </w:p>
              </w:tc>
              <w:tc>
                <w:tcPr>
                  <w:tcW w:w="289" w:type="pct"/>
                  <w:vMerge w:val="restart"/>
                  <w:tcBorders>
                    <w:tl2br w:val="nil"/>
                    <w:tr2bl w:val="nil"/>
                  </w:tcBorders>
                  <w:noWrap w:val="0"/>
                  <w:vAlign w:val="center"/>
                </w:tcPr>
                <w:p w14:paraId="48CA1145">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去除</w:t>
                  </w:r>
                </w:p>
                <w:p w14:paraId="7DE53CB2">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率%</w:t>
                  </w:r>
                </w:p>
              </w:tc>
              <w:tc>
                <w:tcPr>
                  <w:tcW w:w="326" w:type="pct"/>
                  <w:vMerge w:val="restart"/>
                  <w:tcBorders>
                    <w:tl2br w:val="nil"/>
                    <w:tr2bl w:val="nil"/>
                  </w:tcBorders>
                  <w:noWrap w:val="0"/>
                  <w:vAlign w:val="center"/>
                </w:tcPr>
                <w:p w14:paraId="20A97252">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排气量m</w:t>
                  </w:r>
                  <w:r>
                    <w:rPr>
                      <w:rFonts w:hint="default" w:ascii="Times New Roman" w:hAnsi="Times New Roman" w:eastAsia="宋体" w:cs="Times New Roman"/>
                      <w:b/>
                      <w:bCs w:val="0"/>
                      <w:color w:val="auto"/>
                      <w:kern w:val="0"/>
                      <w:sz w:val="21"/>
                      <w:szCs w:val="21"/>
                      <w:vertAlign w:val="superscript"/>
                    </w:rPr>
                    <w:t>3</w:t>
                  </w:r>
                  <w:r>
                    <w:rPr>
                      <w:rFonts w:hint="default" w:ascii="Times New Roman" w:hAnsi="Times New Roman" w:eastAsia="宋体" w:cs="Times New Roman"/>
                      <w:b/>
                      <w:bCs w:val="0"/>
                      <w:color w:val="auto"/>
                      <w:kern w:val="0"/>
                      <w:sz w:val="21"/>
                      <w:szCs w:val="21"/>
                    </w:rPr>
                    <w:t>/h</w:t>
                  </w:r>
                </w:p>
              </w:tc>
              <w:tc>
                <w:tcPr>
                  <w:tcW w:w="807" w:type="pct"/>
                  <w:gridSpan w:val="2"/>
                  <w:tcBorders>
                    <w:tl2br w:val="nil"/>
                    <w:tr2bl w:val="nil"/>
                  </w:tcBorders>
                  <w:noWrap w:val="0"/>
                  <w:vAlign w:val="center"/>
                </w:tcPr>
                <w:p w14:paraId="335598C7">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排放情况</w:t>
                  </w:r>
                </w:p>
              </w:tc>
              <w:tc>
                <w:tcPr>
                  <w:tcW w:w="442" w:type="pct"/>
                  <w:vMerge w:val="restart"/>
                  <w:tcBorders>
                    <w:tl2br w:val="nil"/>
                    <w:tr2bl w:val="nil"/>
                  </w:tcBorders>
                  <w:noWrap w:val="0"/>
                  <w:vAlign w:val="center"/>
                </w:tcPr>
                <w:p w14:paraId="4AC7C251">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单次持续时间/h</w:t>
                  </w:r>
                </w:p>
              </w:tc>
              <w:tc>
                <w:tcPr>
                  <w:tcW w:w="357" w:type="pct"/>
                  <w:vMerge w:val="restart"/>
                  <w:tcBorders>
                    <w:tl2br w:val="nil"/>
                    <w:tr2bl w:val="nil"/>
                  </w:tcBorders>
                  <w:noWrap w:val="0"/>
                  <w:vAlign w:val="center"/>
                </w:tcPr>
                <w:p w14:paraId="51512195">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年发生频次/次</w:t>
                  </w:r>
                </w:p>
              </w:tc>
              <w:tc>
                <w:tcPr>
                  <w:tcW w:w="865" w:type="pct"/>
                  <w:vMerge w:val="restart"/>
                  <w:tcBorders>
                    <w:tl2br w:val="nil"/>
                    <w:tr2bl w:val="nil"/>
                  </w:tcBorders>
                  <w:noWrap w:val="0"/>
                  <w:vAlign w:val="center"/>
                </w:tcPr>
                <w:p w14:paraId="3B441C67">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应对措施</w:t>
                  </w:r>
                </w:p>
              </w:tc>
            </w:tr>
            <w:tr w14:paraId="5DF7678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trPr>
              <w:tc>
                <w:tcPr>
                  <w:tcW w:w="392" w:type="pct"/>
                  <w:vMerge w:val="continue"/>
                  <w:tcBorders>
                    <w:tl2br w:val="nil"/>
                    <w:tr2bl w:val="nil"/>
                  </w:tcBorders>
                  <w:noWrap w:val="0"/>
                  <w:vAlign w:val="center"/>
                </w:tcPr>
                <w:p w14:paraId="6780D69C">
                  <w:pPr>
                    <w:widowControl/>
                    <w:jc w:val="center"/>
                    <w:rPr>
                      <w:rFonts w:hint="default" w:ascii="Times New Roman" w:hAnsi="Times New Roman" w:eastAsia="宋体" w:cs="Times New Roman"/>
                      <w:bCs/>
                      <w:color w:val="auto"/>
                      <w:kern w:val="0"/>
                      <w:sz w:val="21"/>
                      <w:szCs w:val="21"/>
                    </w:rPr>
                  </w:pPr>
                </w:p>
              </w:tc>
              <w:tc>
                <w:tcPr>
                  <w:tcW w:w="507" w:type="pct"/>
                  <w:vMerge w:val="continue"/>
                  <w:tcBorders>
                    <w:tl2br w:val="nil"/>
                    <w:tr2bl w:val="nil"/>
                  </w:tcBorders>
                  <w:noWrap w:val="0"/>
                  <w:vAlign w:val="center"/>
                </w:tcPr>
                <w:p w14:paraId="4A688D2D">
                  <w:pPr>
                    <w:widowControl/>
                    <w:jc w:val="center"/>
                    <w:rPr>
                      <w:rFonts w:hint="default" w:ascii="Times New Roman" w:hAnsi="Times New Roman" w:eastAsia="宋体" w:cs="Times New Roman"/>
                      <w:bCs/>
                      <w:color w:val="auto"/>
                      <w:kern w:val="0"/>
                      <w:sz w:val="21"/>
                      <w:szCs w:val="21"/>
                    </w:rPr>
                  </w:pPr>
                </w:p>
              </w:tc>
              <w:tc>
                <w:tcPr>
                  <w:tcW w:w="584" w:type="pct"/>
                  <w:vMerge w:val="continue"/>
                  <w:tcBorders>
                    <w:tl2br w:val="nil"/>
                    <w:tr2bl w:val="nil"/>
                  </w:tcBorders>
                  <w:noWrap w:val="0"/>
                  <w:vAlign w:val="center"/>
                </w:tcPr>
                <w:p w14:paraId="4784AA51">
                  <w:pPr>
                    <w:jc w:val="center"/>
                    <w:rPr>
                      <w:rFonts w:hint="default" w:ascii="Times New Roman" w:hAnsi="Times New Roman" w:eastAsia="宋体" w:cs="Times New Roman"/>
                      <w:bCs/>
                      <w:color w:val="auto"/>
                      <w:kern w:val="0"/>
                      <w:sz w:val="21"/>
                      <w:szCs w:val="21"/>
                    </w:rPr>
                  </w:pPr>
                </w:p>
              </w:tc>
              <w:tc>
                <w:tcPr>
                  <w:tcW w:w="427" w:type="pct"/>
                  <w:vMerge w:val="continue"/>
                  <w:tcBorders>
                    <w:tl2br w:val="nil"/>
                    <w:tr2bl w:val="nil"/>
                  </w:tcBorders>
                  <w:noWrap w:val="0"/>
                  <w:vAlign w:val="center"/>
                </w:tcPr>
                <w:p w14:paraId="07A1E597">
                  <w:pPr>
                    <w:jc w:val="center"/>
                    <w:rPr>
                      <w:rFonts w:hint="default" w:ascii="Times New Roman" w:hAnsi="Times New Roman" w:eastAsia="宋体" w:cs="Times New Roman"/>
                      <w:bCs/>
                      <w:color w:val="auto"/>
                      <w:kern w:val="0"/>
                      <w:sz w:val="21"/>
                      <w:szCs w:val="21"/>
                    </w:rPr>
                  </w:pPr>
                </w:p>
              </w:tc>
              <w:tc>
                <w:tcPr>
                  <w:tcW w:w="289" w:type="pct"/>
                  <w:vMerge w:val="continue"/>
                  <w:tcBorders>
                    <w:tl2br w:val="nil"/>
                    <w:tr2bl w:val="nil"/>
                  </w:tcBorders>
                  <w:noWrap w:val="0"/>
                  <w:vAlign w:val="center"/>
                </w:tcPr>
                <w:p w14:paraId="0397AB2A">
                  <w:pPr>
                    <w:jc w:val="center"/>
                    <w:rPr>
                      <w:rFonts w:hint="default" w:ascii="Times New Roman" w:hAnsi="Times New Roman" w:eastAsia="宋体" w:cs="Times New Roman"/>
                      <w:bCs/>
                      <w:color w:val="auto"/>
                      <w:kern w:val="0"/>
                      <w:sz w:val="21"/>
                      <w:szCs w:val="21"/>
                    </w:rPr>
                  </w:pPr>
                </w:p>
              </w:tc>
              <w:tc>
                <w:tcPr>
                  <w:tcW w:w="326" w:type="pct"/>
                  <w:vMerge w:val="continue"/>
                  <w:tcBorders>
                    <w:tl2br w:val="nil"/>
                    <w:tr2bl w:val="nil"/>
                  </w:tcBorders>
                  <w:noWrap w:val="0"/>
                  <w:vAlign w:val="center"/>
                </w:tcPr>
                <w:p w14:paraId="1A0CEE17">
                  <w:pPr>
                    <w:widowControl/>
                    <w:jc w:val="center"/>
                    <w:rPr>
                      <w:rFonts w:hint="default" w:ascii="Times New Roman" w:hAnsi="Times New Roman" w:eastAsia="宋体" w:cs="Times New Roman"/>
                      <w:bCs/>
                      <w:color w:val="auto"/>
                      <w:kern w:val="0"/>
                      <w:sz w:val="21"/>
                      <w:szCs w:val="21"/>
                    </w:rPr>
                  </w:pPr>
                </w:p>
              </w:tc>
              <w:tc>
                <w:tcPr>
                  <w:tcW w:w="431" w:type="pct"/>
                  <w:tcBorders>
                    <w:tl2br w:val="nil"/>
                    <w:tr2bl w:val="nil"/>
                  </w:tcBorders>
                  <w:noWrap w:val="0"/>
                  <w:vAlign w:val="center"/>
                </w:tcPr>
                <w:p w14:paraId="0495EB44">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浓度mg/m</w:t>
                  </w:r>
                  <w:r>
                    <w:rPr>
                      <w:rFonts w:hint="default" w:ascii="Times New Roman" w:hAnsi="Times New Roman" w:eastAsia="宋体" w:cs="Times New Roman"/>
                      <w:b/>
                      <w:bCs w:val="0"/>
                      <w:color w:val="auto"/>
                      <w:kern w:val="0"/>
                      <w:sz w:val="21"/>
                      <w:szCs w:val="21"/>
                      <w:vertAlign w:val="superscript"/>
                    </w:rPr>
                    <w:t>3</w:t>
                  </w:r>
                </w:p>
              </w:tc>
              <w:tc>
                <w:tcPr>
                  <w:tcW w:w="376" w:type="pct"/>
                  <w:tcBorders>
                    <w:tl2br w:val="nil"/>
                    <w:tr2bl w:val="nil"/>
                  </w:tcBorders>
                  <w:noWrap w:val="0"/>
                  <w:vAlign w:val="center"/>
                </w:tcPr>
                <w:p w14:paraId="2EB47638">
                  <w:pPr>
                    <w:widowControl/>
                    <w:jc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速率kg/h</w:t>
                  </w:r>
                </w:p>
              </w:tc>
              <w:tc>
                <w:tcPr>
                  <w:tcW w:w="442" w:type="pct"/>
                  <w:vMerge w:val="continue"/>
                  <w:tcBorders>
                    <w:tl2br w:val="nil"/>
                    <w:tr2bl w:val="nil"/>
                  </w:tcBorders>
                  <w:noWrap w:val="0"/>
                  <w:vAlign w:val="center"/>
                </w:tcPr>
                <w:p w14:paraId="63D0E511">
                  <w:pPr>
                    <w:jc w:val="center"/>
                    <w:rPr>
                      <w:rFonts w:hint="default" w:ascii="Times New Roman" w:hAnsi="Times New Roman" w:eastAsia="宋体" w:cs="Times New Roman"/>
                      <w:bCs/>
                      <w:color w:val="auto"/>
                      <w:kern w:val="0"/>
                      <w:sz w:val="21"/>
                      <w:szCs w:val="21"/>
                    </w:rPr>
                  </w:pPr>
                </w:p>
              </w:tc>
              <w:tc>
                <w:tcPr>
                  <w:tcW w:w="357" w:type="pct"/>
                  <w:vMerge w:val="continue"/>
                  <w:tcBorders>
                    <w:tl2br w:val="nil"/>
                    <w:tr2bl w:val="nil"/>
                  </w:tcBorders>
                  <w:noWrap w:val="0"/>
                  <w:vAlign w:val="center"/>
                </w:tcPr>
                <w:p w14:paraId="66F6DD6C">
                  <w:pPr>
                    <w:jc w:val="center"/>
                    <w:rPr>
                      <w:rFonts w:hint="default" w:ascii="Times New Roman" w:hAnsi="Times New Roman" w:eastAsia="宋体" w:cs="Times New Roman"/>
                      <w:bCs/>
                      <w:color w:val="auto"/>
                      <w:kern w:val="0"/>
                      <w:sz w:val="21"/>
                      <w:szCs w:val="21"/>
                    </w:rPr>
                  </w:pPr>
                </w:p>
              </w:tc>
              <w:tc>
                <w:tcPr>
                  <w:tcW w:w="865" w:type="pct"/>
                  <w:vMerge w:val="continue"/>
                  <w:tcBorders>
                    <w:tl2br w:val="nil"/>
                    <w:tr2bl w:val="nil"/>
                  </w:tcBorders>
                  <w:noWrap w:val="0"/>
                  <w:vAlign w:val="center"/>
                </w:tcPr>
                <w:p w14:paraId="77085ABD">
                  <w:pPr>
                    <w:jc w:val="center"/>
                    <w:rPr>
                      <w:rFonts w:hint="default" w:ascii="Times New Roman" w:hAnsi="Times New Roman" w:eastAsia="宋体" w:cs="Times New Roman"/>
                      <w:bCs/>
                      <w:color w:val="auto"/>
                      <w:kern w:val="0"/>
                      <w:sz w:val="21"/>
                      <w:szCs w:val="21"/>
                    </w:rPr>
                  </w:pPr>
                </w:p>
              </w:tc>
            </w:tr>
            <w:tr w14:paraId="65AF508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trPr>
              <w:tc>
                <w:tcPr>
                  <w:tcW w:w="392" w:type="pct"/>
                  <w:vMerge w:val="restart"/>
                  <w:tcBorders>
                    <w:tl2br w:val="nil"/>
                    <w:tr2bl w:val="nil"/>
                  </w:tcBorders>
                  <w:noWrap w:val="0"/>
                  <w:vAlign w:val="center"/>
                </w:tcPr>
                <w:p w14:paraId="4A6A345E">
                  <w:pPr>
                    <w:contextualSpacing/>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DA00</w:t>
                  </w:r>
                  <w:r>
                    <w:rPr>
                      <w:rFonts w:hint="eastAsia" w:ascii="Times New Roman" w:hAnsi="Times New Roman" w:eastAsia="宋体" w:cs="Times New Roman"/>
                      <w:bCs/>
                      <w:color w:val="auto"/>
                      <w:sz w:val="21"/>
                      <w:szCs w:val="21"/>
                      <w:lang w:val="en-US" w:eastAsia="zh-CN"/>
                    </w:rPr>
                    <w:t>2</w:t>
                  </w:r>
                </w:p>
              </w:tc>
              <w:tc>
                <w:tcPr>
                  <w:tcW w:w="507" w:type="pct"/>
                  <w:vMerge w:val="restart"/>
                  <w:tcBorders>
                    <w:tl2br w:val="nil"/>
                    <w:tr2bl w:val="nil"/>
                  </w:tcBorders>
                  <w:noWrap w:val="0"/>
                  <w:vAlign w:val="center"/>
                </w:tcPr>
                <w:p w14:paraId="69B5904F">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r>
                    <w:rPr>
                      <w:rFonts w:hint="eastAsia" w:ascii="Times New Roman" w:hAnsi="Times New Roman" w:eastAsia="宋体" w:cs="Times New Roman"/>
                      <w:b w:val="0"/>
                      <w:bCs/>
                      <w:color w:val="auto"/>
                      <w:sz w:val="21"/>
                      <w:szCs w:val="21"/>
                      <w:lang w:val="en-US" w:eastAsia="zh-CN" w:bidi="ar"/>
                    </w:rPr>
                    <w:t>挤出、烘干、测试</w:t>
                  </w:r>
                </w:p>
              </w:tc>
              <w:tc>
                <w:tcPr>
                  <w:tcW w:w="584" w:type="pct"/>
                  <w:vMerge w:val="restart"/>
                  <w:tcBorders>
                    <w:tl2br w:val="nil"/>
                    <w:tr2bl w:val="nil"/>
                  </w:tcBorders>
                  <w:noWrap w:val="0"/>
                  <w:vAlign w:val="center"/>
                </w:tcPr>
                <w:p w14:paraId="2CEFC97E">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color w:val="auto"/>
                      <w:sz w:val="21"/>
                      <w:szCs w:val="21"/>
                    </w:rPr>
                    <w:t>废气处理设施故障，达不到规定效率</w:t>
                  </w:r>
                </w:p>
              </w:tc>
              <w:tc>
                <w:tcPr>
                  <w:tcW w:w="427" w:type="pct"/>
                  <w:tcBorders>
                    <w:tl2br w:val="nil"/>
                    <w:tr2bl w:val="nil"/>
                  </w:tcBorders>
                  <w:noWrap w:val="0"/>
                  <w:vAlign w:val="center"/>
                </w:tcPr>
                <w:p w14:paraId="329478F5">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非甲烷总烃</w:t>
                  </w:r>
                </w:p>
              </w:tc>
              <w:tc>
                <w:tcPr>
                  <w:tcW w:w="289" w:type="pct"/>
                  <w:tcBorders>
                    <w:tl2br w:val="nil"/>
                    <w:tr2bl w:val="nil"/>
                  </w:tcBorders>
                  <w:noWrap w:val="0"/>
                  <w:vAlign w:val="center"/>
                </w:tcPr>
                <w:p w14:paraId="53CA56F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w:t>
                  </w:r>
                </w:p>
              </w:tc>
              <w:tc>
                <w:tcPr>
                  <w:tcW w:w="326" w:type="pct"/>
                  <w:vMerge w:val="restart"/>
                  <w:tcBorders>
                    <w:tl2br w:val="nil"/>
                    <w:tr2bl w:val="nil"/>
                  </w:tcBorders>
                  <w:noWrap w:val="0"/>
                  <w:vAlign w:val="center"/>
                </w:tcPr>
                <w:p w14:paraId="788D8C39">
                  <w:pPr>
                    <w:jc w:val="center"/>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10000</w:t>
                  </w:r>
                </w:p>
              </w:tc>
              <w:tc>
                <w:tcPr>
                  <w:tcW w:w="723" w:type="dxa"/>
                  <w:tcBorders>
                    <w:tl2br w:val="nil"/>
                    <w:tr2bl w:val="nil"/>
                  </w:tcBorders>
                  <w:noWrap w:val="0"/>
                  <w:vAlign w:val="center"/>
                </w:tcPr>
                <w:p w14:paraId="4207D91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12.02</w:t>
                  </w:r>
                </w:p>
              </w:tc>
              <w:tc>
                <w:tcPr>
                  <w:tcW w:w="631" w:type="dxa"/>
                  <w:tcBorders>
                    <w:tl2br w:val="nil"/>
                    <w:tr2bl w:val="nil"/>
                  </w:tcBorders>
                  <w:noWrap w:val="0"/>
                  <w:vAlign w:val="center"/>
                </w:tcPr>
                <w:p w14:paraId="48E766F4">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0.1202</w:t>
                  </w:r>
                </w:p>
              </w:tc>
              <w:tc>
                <w:tcPr>
                  <w:tcW w:w="442" w:type="pct"/>
                  <w:vMerge w:val="restart"/>
                  <w:tcBorders>
                    <w:tl2br w:val="nil"/>
                    <w:tr2bl w:val="nil"/>
                  </w:tcBorders>
                  <w:noWrap w:val="0"/>
                  <w:vAlign w:val="center"/>
                </w:tcPr>
                <w:p w14:paraId="45A2B17B">
                  <w:pPr>
                    <w:widowControl/>
                    <w:jc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rPr>
                    <w:t>≤</w:t>
                  </w:r>
                  <w:r>
                    <w:rPr>
                      <w:rFonts w:hint="default" w:ascii="Times New Roman" w:hAnsi="Times New Roman" w:eastAsia="宋体" w:cs="Times New Roman"/>
                      <w:color w:val="auto"/>
                      <w:kern w:val="0"/>
                      <w:sz w:val="21"/>
                      <w:szCs w:val="21"/>
                      <w:lang w:val="en-US" w:eastAsia="zh-CN"/>
                    </w:rPr>
                    <w:t>0.5</w:t>
                  </w:r>
                </w:p>
              </w:tc>
              <w:tc>
                <w:tcPr>
                  <w:tcW w:w="357" w:type="pct"/>
                  <w:vMerge w:val="restart"/>
                  <w:tcBorders>
                    <w:tl2br w:val="nil"/>
                    <w:tr2bl w:val="nil"/>
                  </w:tcBorders>
                  <w:noWrap w:val="0"/>
                  <w:vAlign w:val="center"/>
                </w:tcPr>
                <w:p w14:paraId="56F2E7B4">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≤1</w:t>
                  </w:r>
                </w:p>
              </w:tc>
              <w:tc>
                <w:tcPr>
                  <w:tcW w:w="865" w:type="pct"/>
                  <w:vMerge w:val="restart"/>
                  <w:tcBorders>
                    <w:tl2br w:val="nil"/>
                    <w:tr2bl w:val="nil"/>
                  </w:tcBorders>
                  <w:noWrap w:val="0"/>
                  <w:vAlign w:val="center"/>
                </w:tcPr>
                <w:p w14:paraId="55C22A98">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加强维护、选用可靠设备、废气日常监测与记录，加强管理</w:t>
                  </w:r>
                </w:p>
              </w:tc>
            </w:tr>
            <w:tr w14:paraId="645C92F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trPr>
              <w:tc>
                <w:tcPr>
                  <w:tcW w:w="392" w:type="pct"/>
                  <w:vMerge w:val="continue"/>
                  <w:tcBorders>
                    <w:tl2br w:val="nil"/>
                    <w:tr2bl w:val="nil"/>
                  </w:tcBorders>
                  <w:noWrap w:val="0"/>
                  <w:vAlign w:val="center"/>
                </w:tcPr>
                <w:p w14:paraId="0261B425">
                  <w:pPr>
                    <w:contextualSpacing/>
                    <w:jc w:val="center"/>
                    <w:rPr>
                      <w:rFonts w:hint="default" w:ascii="Times New Roman" w:hAnsi="Times New Roman" w:eastAsia="宋体" w:cs="Times New Roman"/>
                      <w:bCs/>
                      <w:color w:val="auto"/>
                      <w:sz w:val="21"/>
                      <w:szCs w:val="21"/>
                      <w:lang w:val="en-US" w:eastAsia="zh-CN"/>
                    </w:rPr>
                  </w:pPr>
                </w:p>
              </w:tc>
              <w:tc>
                <w:tcPr>
                  <w:tcW w:w="507" w:type="pct"/>
                  <w:vMerge w:val="continue"/>
                  <w:tcBorders>
                    <w:tl2br w:val="nil"/>
                    <w:tr2bl w:val="nil"/>
                  </w:tcBorders>
                  <w:noWrap w:val="0"/>
                  <w:vAlign w:val="center"/>
                </w:tcPr>
                <w:p w14:paraId="0BEE22F3">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kern w:val="2"/>
                      <w:sz w:val="21"/>
                      <w:szCs w:val="21"/>
                      <w:lang w:val="en-US" w:eastAsia="zh-CN" w:bidi="ar"/>
                    </w:rPr>
                  </w:pPr>
                </w:p>
              </w:tc>
              <w:tc>
                <w:tcPr>
                  <w:tcW w:w="584" w:type="pct"/>
                  <w:vMerge w:val="continue"/>
                  <w:tcBorders>
                    <w:tl2br w:val="nil"/>
                    <w:tr2bl w:val="nil"/>
                  </w:tcBorders>
                  <w:noWrap w:val="0"/>
                  <w:vAlign w:val="center"/>
                </w:tcPr>
                <w:p w14:paraId="74648A3E">
                  <w:pPr>
                    <w:jc w:val="center"/>
                    <w:rPr>
                      <w:rFonts w:hint="default" w:ascii="Times New Roman" w:hAnsi="Times New Roman" w:eastAsia="宋体" w:cs="Times New Roman"/>
                      <w:color w:val="auto"/>
                      <w:sz w:val="21"/>
                      <w:szCs w:val="21"/>
                    </w:rPr>
                  </w:pPr>
                </w:p>
              </w:tc>
              <w:tc>
                <w:tcPr>
                  <w:tcW w:w="427" w:type="pct"/>
                  <w:tcBorders>
                    <w:tl2br w:val="nil"/>
                    <w:tr2bl w:val="nil"/>
                  </w:tcBorders>
                  <w:noWrap w:val="0"/>
                  <w:vAlign w:val="center"/>
                </w:tcPr>
                <w:p w14:paraId="007CA4BB">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289" w:type="pct"/>
                  <w:tcBorders>
                    <w:tl2br w:val="nil"/>
                    <w:tr2bl w:val="nil"/>
                  </w:tcBorders>
                  <w:noWrap w:val="0"/>
                  <w:vAlign w:val="center"/>
                </w:tcPr>
                <w:p w14:paraId="43637314">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w:t>
                  </w:r>
                </w:p>
              </w:tc>
              <w:tc>
                <w:tcPr>
                  <w:tcW w:w="326" w:type="pct"/>
                  <w:vMerge w:val="continue"/>
                  <w:tcBorders>
                    <w:tl2br w:val="nil"/>
                    <w:tr2bl w:val="nil"/>
                  </w:tcBorders>
                  <w:noWrap w:val="0"/>
                  <w:vAlign w:val="center"/>
                </w:tcPr>
                <w:p w14:paraId="63439A73">
                  <w:pPr>
                    <w:jc w:val="center"/>
                    <w:rPr>
                      <w:rFonts w:hint="default" w:ascii="Times New Roman" w:hAnsi="Times New Roman" w:eastAsia="宋体" w:cs="Times New Roman"/>
                      <w:color w:val="auto"/>
                      <w:sz w:val="21"/>
                      <w:szCs w:val="21"/>
                      <w:lang w:val="en-US" w:eastAsia="zh-CN"/>
                    </w:rPr>
                  </w:pPr>
                </w:p>
              </w:tc>
              <w:tc>
                <w:tcPr>
                  <w:tcW w:w="723" w:type="dxa"/>
                  <w:tcBorders>
                    <w:tl2br w:val="nil"/>
                    <w:tr2bl w:val="nil"/>
                  </w:tcBorders>
                  <w:noWrap w:val="0"/>
                  <w:vAlign w:val="center"/>
                </w:tcPr>
                <w:p w14:paraId="4D9891D1">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23.06</w:t>
                  </w:r>
                </w:p>
              </w:tc>
              <w:tc>
                <w:tcPr>
                  <w:tcW w:w="631" w:type="dxa"/>
                  <w:tcBorders>
                    <w:tl2br w:val="nil"/>
                    <w:tr2bl w:val="nil"/>
                  </w:tcBorders>
                  <w:noWrap w:val="0"/>
                  <w:vAlign w:val="center"/>
                </w:tcPr>
                <w:p w14:paraId="6CF6FD10">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0.2306</w:t>
                  </w:r>
                </w:p>
              </w:tc>
              <w:tc>
                <w:tcPr>
                  <w:tcW w:w="442" w:type="pct"/>
                  <w:vMerge w:val="continue"/>
                  <w:tcBorders>
                    <w:tl2br w:val="nil"/>
                    <w:tr2bl w:val="nil"/>
                  </w:tcBorders>
                  <w:noWrap w:val="0"/>
                  <w:vAlign w:val="center"/>
                </w:tcPr>
                <w:p w14:paraId="3DD2E497">
                  <w:pPr>
                    <w:widowControl/>
                    <w:jc w:val="center"/>
                    <w:rPr>
                      <w:rFonts w:hint="default" w:ascii="Times New Roman" w:hAnsi="Times New Roman" w:eastAsia="宋体" w:cs="Times New Roman"/>
                      <w:color w:val="auto"/>
                      <w:kern w:val="0"/>
                      <w:sz w:val="21"/>
                      <w:szCs w:val="21"/>
                    </w:rPr>
                  </w:pPr>
                </w:p>
              </w:tc>
              <w:tc>
                <w:tcPr>
                  <w:tcW w:w="357" w:type="pct"/>
                  <w:vMerge w:val="continue"/>
                  <w:tcBorders>
                    <w:tl2br w:val="nil"/>
                    <w:tr2bl w:val="nil"/>
                  </w:tcBorders>
                  <w:noWrap w:val="0"/>
                  <w:vAlign w:val="center"/>
                </w:tcPr>
                <w:p w14:paraId="099EAA47">
                  <w:pPr>
                    <w:widowControl/>
                    <w:jc w:val="center"/>
                    <w:rPr>
                      <w:rFonts w:hint="default" w:ascii="Times New Roman" w:hAnsi="Times New Roman" w:eastAsia="宋体" w:cs="Times New Roman"/>
                      <w:color w:val="auto"/>
                      <w:kern w:val="0"/>
                      <w:sz w:val="21"/>
                      <w:szCs w:val="21"/>
                    </w:rPr>
                  </w:pPr>
                </w:p>
              </w:tc>
              <w:tc>
                <w:tcPr>
                  <w:tcW w:w="865" w:type="pct"/>
                  <w:vMerge w:val="continue"/>
                  <w:tcBorders>
                    <w:tl2br w:val="nil"/>
                    <w:tr2bl w:val="nil"/>
                  </w:tcBorders>
                  <w:noWrap w:val="0"/>
                  <w:vAlign w:val="center"/>
                </w:tcPr>
                <w:p w14:paraId="5016967B">
                  <w:pPr>
                    <w:widowControl/>
                    <w:jc w:val="center"/>
                    <w:rPr>
                      <w:rFonts w:hint="default" w:ascii="Times New Roman" w:hAnsi="Times New Roman" w:eastAsia="宋体" w:cs="Times New Roman"/>
                      <w:color w:val="auto"/>
                      <w:kern w:val="0"/>
                      <w:sz w:val="21"/>
                      <w:szCs w:val="21"/>
                    </w:rPr>
                  </w:pPr>
                </w:p>
              </w:tc>
            </w:tr>
            <w:tr w14:paraId="761F8E9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trPr>
              <w:tc>
                <w:tcPr>
                  <w:tcW w:w="392" w:type="pct"/>
                  <w:tcBorders>
                    <w:tl2br w:val="nil"/>
                    <w:tr2bl w:val="nil"/>
                  </w:tcBorders>
                  <w:noWrap w:val="0"/>
                  <w:vAlign w:val="center"/>
                </w:tcPr>
                <w:p w14:paraId="7178A377">
                  <w:pPr>
                    <w:contextualSpacing/>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DA00</w:t>
                  </w:r>
                  <w:r>
                    <w:rPr>
                      <w:rFonts w:hint="eastAsia" w:ascii="Times New Roman" w:hAnsi="Times New Roman" w:eastAsia="宋体" w:cs="Times New Roman"/>
                      <w:bCs/>
                      <w:color w:val="auto"/>
                      <w:sz w:val="21"/>
                      <w:szCs w:val="21"/>
                      <w:lang w:val="en-US" w:eastAsia="zh-CN"/>
                    </w:rPr>
                    <w:t>1</w:t>
                  </w:r>
                </w:p>
              </w:tc>
              <w:tc>
                <w:tcPr>
                  <w:tcW w:w="507" w:type="pct"/>
                  <w:tcBorders>
                    <w:tl2br w:val="nil"/>
                    <w:tr2bl w:val="nil"/>
                  </w:tcBorders>
                  <w:noWrap w:val="0"/>
                  <w:vAlign w:val="center"/>
                </w:tcPr>
                <w:p w14:paraId="25D6A958">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 w:val="0"/>
                      <w:bCs/>
                      <w:color w:val="auto"/>
                      <w:sz w:val="21"/>
                      <w:szCs w:val="21"/>
                      <w:lang w:val="en-US" w:eastAsia="zh-CN" w:bidi="ar"/>
                    </w:rPr>
                  </w:pPr>
                  <w:r>
                    <w:rPr>
                      <w:rFonts w:hint="eastAsia" w:ascii="Times New Roman" w:hAnsi="Times New Roman" w:eastAsia="宋体" w:cs="Times New Roman"/>
                      <w:b w:val="0"/>
                      <w:bCs/>
                      <w:color w:val="auto"/>
                      <w:sz w:val="21"/>
                      <w:szCs w:val="21"/>
                      <w:lang w:val="en-US" w:eastAsia="zh-CN" w:bidi="ar"/>
                    </w:rPr>
                    <w:t>配料、投料</w:t>
                  </w:r>
                </w:p>
              </w:tc>
              <w:tc>
                <w:tcPr>
                  <w:tcW w:w="584" w:type="pct"/>
                  <w:vMerge w:val="continue"/>
                  <w:tcBorders>
                    <w:tl2br w:val="nil"/>
                    <w:tr2bl w:val="nil"/>
                  </w:tcBorders>
                  <w:noWrap w:val="0"/>
                  <w:vAlign w:val="center"/>
                </w:tcPr>
                <w:p w14:paraId="173C0A48">
                  <w:pPr>
                    <w:jc w:val="center"/>
                    <w:rPr>
                      <w:rFonts w:hint="default" w:ascii="Times New Roman" w:hAnsi="Times New Roman" w:eastAsia="宋体" w:cs="Times New Roman"/>
                      <w:color w:val="auto"/>
                      <w:sz w:val="21"/>
                      <w:szCs w:val="21"/>
                    </w:rPr>
                  </w:pPr>
                </w:p>
              </w:tc>
              <w:tc>
                <w:tcPr>
                  <w:tcW w:w="427" w:type="pct"/>
                  <w:tcBorders>
                    <w:tl2br w:val="nil"/>
                    <w:tr2bl w:val="nil"/>
                  </w:tcBorders>
                  <w:noWrap w:val="0"/>
                  <w:vAlign w:val="center"/>
                </w:tcPr>
                <w:p w14:paraId="256E6A90">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289" w:type="pct"/>
                  <w:tcBorders>
                    <w:tl2br w:val="nil"/>
                    <w:tr2bl w:val="nil"/>
                  </w:tcBorders>
                  <w:noWrap w:val="0"/>
                  <w:vAlign w:val="center"/>
                </w:tcPr>
                <w:p w14:paraId="7BEB22C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w:t>
                  </w:r>
                </w:p>
              </w:tc>
              <w:tc>
                <w:tcPr>
                  <w:tcW w:w="326" w:type="pct"/>
                  <w:tcBorders>
                    <w:tl2br w:val="nil"/>
                    <w:tr2bl w:val="nil"/>
                  </w:tcBorders>
                  <w:noWrap w:val="0"/>
                  <w:vAlign w:val="center"/>
                </w:tcPr>
                <w:p w14:paraId="0B9C381C">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3000</w:t>
                  </w:r>
                </w:p>
              </w:tc>
              <w:tc>
                <w:tcPr>
                  <w:tcW w:w="723" w:type="dxa"/>
                  <w:tcBorders>
                    <w:tl2br w:val="nil"/>
                    <w:tr2bl w:val="nil"/>
                  </w:tcBorders>
                  <w:noWrap w:val="0"/>
                  <w:vAlign w:val="center"/>
                </w:tcPr>
                <w:p w14:paraId="19F2C93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99.5</w:t>
                  </w:r>
                </w:p>
              </w:tc>
              <w:tc>
                <w:tcPr>
                  <w:tcW w:w="631" w:type="dxa"/>
                  <w:tcBorders>
                    <w:tl2br w:val="nil"/>
                    <w:tr2bl w:val="nil"/>
                  </w:tcBorders>
                  <w:noWrap w:val="0"/>
                  <w:vAlign w:val="center"/>
                </w:tcPr>
                <w:p w14:paraId="4A0816A2">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0.2985</w:t>
                  </w:r>
                </w:p>
              </w:tc>
              <w:tc>
                <w:tcPr>
                  <w:tcW w:w="442" w:type="pct"/>
                  <w:vMerge w:val="continue"/>
                  <w:tcBorders>
                    <w:tl2br w:val="nil"/>
                    <w:tr2bl w:val="nil"/>
                  </w:tcBorders>
                  <w:noWrap w:val="0"/>
                  <w:vAlign w:val="center"/>
                </w:tcPr>
                <w:p w14:paraId="337BC999">
                  <w:pPr>
                    <w:widowControl/>
                    <w:jc w:val="center"/>
                    <w:rPr>
                      <w:rFonts w:hint="default" w:ascii="Times New Roman" w:hAnsi="Times New Roman" w:eastAsia="宋体" w:cs="Times New Roman"/>
                      <w:color w:val="auto"/>
                      <w:kern w:val="0"/>
                      <w:sz w:val="21"/>
                      <w:szCs w:val="21"/>
                    </w:rPr>
                  </w:pPr>
                </w:p>
              </w:tc>
              <w:tc>
                <w:tcPr>
                  <w:tcW w:w="357" w:type="pct"/>
                  <w:vMerge w:val="continue"/>
                  <w:tcBorders>
                    <w:tl2br w:val="nil"/>
                    <w:tr2bl w:val="nil"/>
                  </w:tcBorders>
                  <w:noWrap w:val="0"/>
                  <w:vAlign w:val="center"/>
                </w:tcPr>
                <w:p w14:paraId="76B14873">
                  <w:pPr>
                    <w:widowControl/>
                    <w:jc w:val="center"/>
                    <w:rPr>
                      <w:rFonts w:hint="default" w:ascii="Times New Roman" w:hAnsi="Times New Roman" w:eastAsia="宋体" w:cs="Times New Roman"/>
                      <w:color w:val="auto"/>
                      <w:kern w:val="0"/>
                      <w:sz w:val="21"/>
                      <w:szCs w:val="21"/>
                    </w:rPr>
                  </w:pPr>
                </w:p>
              </w:tc>
              <w:tc>
                <w:tcPr>
                  <w:tcW w:w="865" w:type="pct"/>
                  <w:vMerge w:val="continue"/>
                  <w:tcBorders>
                    <w:tl2br w:val="nil"/>
                    <w:tr2bl w:val="nil"/>
                  </w:tcBorders>
                  <w:noWrap w:val="0"/>
                  <w:vAlign w:val="center"/>
                </w:tcPr>
                <w:p w14:paraId="6BC24562">
                  <w:pPr>
                    <w:widowControl/>
                    <w:jc w:val="center"/>
                    <w:rPr>
                      <w:rFonts w:hint="default" w:ascii="Times New Roman" w:hAnsi="Times New Roman" w:eastAsia="宋体" w:cs="Times New Roman"/>
                      <w:color w:val="auto"/>
                      <w:kern w:val="0"/>
                      <w:sz w:val="21"/>
                      <w:szCs w:val="21"/>
                    </w:rPr>
                  </w:pPr>
                </w:p>
              </w:tc>
            </w:tr>
          </w:tbl>
          <w:p w14:paraId="25B9B152">
            <w:pPr>
              <w:spacing w:before="120" w:beforeLines="50" w:line="360" w:lineRule="auto"/>
              <w:ind w:left="420" w:leftChars="200"/>
              <w:rPr>
                <w:b/>
                <w:color w:val="auto"/>
                <w:szCs w:val="21"/>
              </w:rPr>
            </w:pPr>
            <w:r>
              <w:rPr>
                <w:rFonts w:hint="eastAsia"/>
                <w:b/>
                <w:color w:val="auto"/>
                <w:szCs w:val="21"/>
              </w:rPr>
              <w:t>3</w:t>
            </w:r>
            <w:r>
              <w:rPr>
                <w:b/>
                <w:color w:val="auto"/>
                <w:szCs w:val="21"/>
              </w:rPr>
              <w:t>、卫生防护距离</w:t>
            </w:r>
          </w:p>
          <w:p w14:paraId="0BF80762">
            <w:pPr>
              <w:spacing w:line="360" w:lineRule="auto"/>
              <w:ind w:firstLine="420" w:firstLineChars="200"/>
              <w:rPr>
                <w:color w:val="auto"/>
                <w:szCs w:val="21"/>
              </w:rPr>
            </w:pPr>
            <w:r>
              <w:rPr>
                <w:color w:val="auto"/>
                <w:szCs w:val="21"/>
              </w:rPr>
              <w:t>根据《大气有害物质无组织排放卫生防护距离推导技术导则》（GB/T39499-2020），各类工业企业卫生防护距离按下式计算：</w:t>
            </w:r>
          </w:p>
          <w:p w14:paraId="3AA1E66B">
            <w:pPr>
              <w:adjustRightInd w:val="0"/>
              <w:snapToGrid w:val="0"/>
              <w:spacing w:line="360" w:lineRule="auto"/>
              <w:jc w:val="center"/>
              <w:rPr>
                <w:bCs/>
                <w:color w:val="auto"/>
                <w:szCs w:val="21"/>
              </w:rPr>
            </w:pPr>
            <w:r>
              <w:rPr>
                <w:color w:val="auto"/>
                <w:position w:val="-30"/>
                <w:szCs w:val="21"/>
              </w:rPr>
              <w:object>
                <v:shape id="_x0000_i1029" o:spt="75" type="#_x0000_t75" style="height:34.8pt;width:137.3pt;" o:ole="t" filled="f" o:preferrelative="t" stroked="f" coordsize="21600,21600">
                  <v:path/>
                  <v:fill on="f" focussize="0,0"/>
                  <v:stroke on="f"/>
                  <v:imagedata r:id="rId21" o:title=""/>
                  <o:lock v:ext="edit" aspectratio="t"/>
                  <w10:wrap type="none"/>
                  <w10:anchorlock/>
                </v:shape>
                <o:OLEObject Type="Embed" ProgID="Equation.3" ShapeID="_x0000_i1029" DrawAspect="Content" ObjectID="_1468075729" r:id="rId20">
                  <o:LockedField>false</o:LockedField>
                </o:OLEObject>
              </w:object>
            </w:r>
          </w:p>
          <w:p w14:paraId="0AF0EC49">
            <w:pPr>
              <w:adjustRightInd w:val="0"/>
              <w:snapToGrid w:val="0"/>
              <w:spacing w:line="360" w:lineRule="auto"/>
              <w:ind w:firstLine="420" w:firstLineChars="200"/>
              <w:jc w:val="left"/>
              <w:rPr>
                <w:bCs/>
                <w:color w:val="auto"/>
                <w:szCs w:val="21"/>
              </w:rPr>
            </w:pPr>
            <w:r>
              <w:rPr>
                <w:bCs/>
                <w:color w:val="auto"/>
                <w:szCs w:val="21"/>
              </w:rPr>
              <w:t>式中：Qc——大气有害物质的无组织排放量（kg/h）；</w:t>
            </w:r>
          </w:p>
          <w:p w14:paraId="2F686F7D">
            <w:pPr>
              <w:adjustRightInd w:val="0"/>
              <w:snapToGrid w:val="0"/>
              <w:spacing w:line="360" w:lineRule="auto"/>
              <w:ind w:firstLine="1050" w:firstLineChars="500"/>
              <w:jc w:val="left"/>
              <w:rPr>
                <w:bCs/>
                <w:color w:val="auto"/>
                <w:szCs w:val="21"/>
              </w:rPr>
            </w:pPr>
            <w:r>
              <w:rPr>
                <w:bCs/>
                <w:color w:val="auto"/>
                <w:szCs w:val="21"/>
              </w:rPr>
              <w:t>C</w:t>
            </w:r>
            <w:r>
              <w:rPr>
                <w:bCs/>
                <w:color w:val="auto"/>
                <w:szCs w:val="21"/>
                <w:vertAlign w:val="subscript"/>
              </w:rPr>
              <w:t>m</w:t>
            </w:r>
            <w:r>
              <w:rPr>
                <w:bCs/>
                <w:color w:val="auto"/>
                <w:szCs w:val="21"/>
              </w:rPr>
              <w:t>——大气有害物质环境空气质量的标准限值（mg/m</w:t>
            </w:r>
            <w:r>
              <w:rPr>
                <w:bCs/>
                <w:color w:val="auto"/>
                <w:szCs w:val="21"/>
                <w:vertAlign w:val="superscript"/>
              </w:rPr>
              <w:t>3</w:t>
            </w:r>
            <w:r>
              <w:rPr>
                <w:bCs/>
                <w:color w:val="auto"/>
                <w:szCs w:val="21"/>
              </w:rPr>
              <w:t>）；</w:t>
            </w:r>
          </w:p>
          <w:p w14:paraId="226D694F">
            <w:pPr>
              <w:adjustRightInd w:val="0"/>
              <w:snapToGrid w:val="0"/>
              <w:spacing w:line="360" w:lineRule="auto"/>
              <w:ind w:firstLine="1050" w:firstLineChars="500"/>
              <w:jc w:val="left"/>
              <w:rPr>
                <w:bCs/>
                <w:color w:val="auto"/>
                <w:szCs w:val="21"/>
              </w:rPr>
            </w:pPr>
            <w:r>
              <w:rPr>
                <w:bCs/>
                <w:color w:val="auto"/>
                <w:szCs w:val="21"/>
              </w:rPr>
              <w:t>L——大气有害物质卫生防护距离初值（m）；</w:t>
            </w:r>
          </w:p>
          <w:p w14:paraId="3102A944">
            <w:pPr>
              <w:adjustRightInd w:val="0"/>
              <w:snapToGrid w:val="0"/>
              <w:spacing w:line="360" w:lineRule="auto"/>
              <w:ind w:firstLine="1050" w:firstLineChars="500"/>
              <w:jc w:val="left"/>
              <w:rPr>
                <w:bCs/>
                <w:color w:val="auto"/>
                <w:szCs w:val="21"/>
              </w:rPr>
            </w:pPr>
            <w:r>
              <w:rPr>
                <w:bCs/>
                <w:color w:val="auto"/>
                <w:szCs w:val="21"/>
              </w:rPr>
              <w:t>r——大气有害物质无组织排放源所在生产单元的等效半径（m）；</w:t>
            </w:r>
          </w:p>
          <w:p w14:paraId="3D2245CC">
            <w:pPr>
              <w:adjustRightInd w:val="0"/>
              <w:snapToGrid w:val="0"/>
              <w:spacing w:line="360" w:lineRule="auto"/>
              <w:ind w:firstLine="1050" w:firstLineChars="500"/>
              <w:jc w:val="left"/>
              <w:rPr>
                <w:bCs/>
                <w:color w:val="auto"/>
                <w:szCs w:val="21"/>
              </w:rPr>
            </w:pPr>
            <w:r>
              <w:rPr>
                <w:bCs/>
                <w:color w:val="auto"/>
                <w:szCs w:val="21"/>
              </w:rPr>
              <w:t>A、B、C、D——卫生防护距离计算系数；</w:t>
            </w:r>
          </w:p>
          <w:p w14:paraId="7EB69800">
            <w:pPr>
              <w:adjustRightInd w:val="0"/>
              <w:snapToGrid w:val="0"/>
              <w:spacing w:line="360" w:lineRule="auto"/>
              <w:ind w:firstLine="420" w:firstLineChars="200"/>
              <w:jc w:val="left"/>
              <w:rPr>
                <w:bCs/>
                <w:color w:val="auto"/>
                <w:szCs w:val="21"/>
              </w:rPr>
            </w:pPr>
            <w:r>
              <w:rPr>
                <w:bCs/>
                <w:color w:val="auto"/>
                <w:szCs w:val="21"/>
              </w:rPr>
              <w:t>各参数取值见下表。</w:t>
            </w:r>
          </w:p>
          <w:p w14:paraId="21D93AB5">
            <w:pPr>
              <w:keepNext w:val="0"/>
              <w:keepLines w:val="0"/>
              <w:pageBreakBefore w:val="0"/>
              <w:widowControl w:val="0"/>
              <w:kinsoku/>
              <w:wordWrap/>
              <w:overflowPunct/>
              <w:topLinePunct w:val="0"/>
              <w:autoSpaceDE/>
              <w:autoSpaceDN/>
              <w:bidi w:val="0"/>
              <w:adjustRightInd/>
              <w:snapToGrid/>
              <w:jc w:val="center"/>
              <w:textAlignment w:val="auto"/>
              <w:rPr>
                <w:b/>
                <w:color w:val="auto"/>
                <w:szCs w:val="21"/>
              </w:rPr>
            </w:pPr>
            <w:r>
              <w:rPr>
                <w:b/>
                <w:color w:val="auto"/>
                <w:szCs w:val="21"/>
              </w:rPr>
              <w:t>表4-</w:t>
            </w:r>
            <w:r>
              <w:rPr>
                <w:rFonts w:hint="eastAsia"/>
                <w:b/>
                <w:color w:val="auto"/>
                <w:szCs w:val="21"/>
                <w:lang w:val="en-US" w:eastAsia="zh-CN"/>
              </w:rPr>
              <w:t>14</w:t>
            </w:r>
            <w:r>
              <w:rPr>
                <w:b/>
                <w:color w:val="auto"/>
                <w:szCs w:val="21"/>
              </w:rPr>
              <w:t xml:space="preserve"> 卫生防护距离计算系数</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1363"/>
              <w:gridCol w:w="1302"/>
              <w:gridCol w:w="634"/>
              <w:gridCol w:w="634"/>
              <w:gridCol w:w="637"/>
              <w:gridCol w:w="635"/>
              <w:gridCol w:w="635"/>
              <w:gridCol w:w="635"/>
              <w:gridCol w:w="635"/>
              <w:gridCol w:w="635"/>
              <w:gridCol w:w="635"/>
            </w:tblGrid>
            <w:tr w14:paraId="0034C8B2">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restart"/>
                  <w:noWrap w:val="0"/>
                  <w:tcMar>
                    <w:top w:w="0" w:type="dxa"/>
                    <w:left w:w="0" w:type="dxa"/>
                    <w:bottom w:w="0" w:type="dxa"/>
                    <w:right w:w="0" w:type="dxa"/>
                  </w:tcMar>
                  <w:vAlign w:val="center"/>
                </w:tcPr>
                <w:p w14:paraId="2828584D">
                  <w:pPr>
                    <w:snapToGrid w:val="0"/>
                    <w:jc w:val="center"/>
                    <w:rPr>
                      <w:b/>
                      <w:bCs/>
                      <w:color w:val="auto"/>
                      <w:szCs w:val="21"/>
                    </w:rPr>
                  </w:pPr>
                  <w:r>
                    <w:rPr>
                      <w:b/>
                      <w:bCs/>
                      <w:color w:val="auto"/>
                      <w:szCs w:val="21"/>
                    </w:rPr>
                    <w:t>计算系数</w:t>
                  </w:r>
                </w:p>
              </w:tc>
              <w:tc>
                <w:tcPr>
                  <w:tcW w:w="776" w:type="pct"/>
                  <w:vMerge w:val="restart"/>
                  <w:noWrap w:val="0"/>
                  <w:tcMar>
                    <w:top w:w="0" w:type="dxa"/>
                    <w:left w:w="0" w:type="dxa"/>
                    <w:bottom w:w="0" w:type="dxa"/>
                    <w:right w:w="0" w:type="dxa"/>
                  </w:tcMar>
                  <w:vAlign w:val="center"/>
                </w:tcPr>
                <w:p w14:paraId="0CC771EB">
                  <w:pPr>
                    <w:snapToGrid w:val="0"/>
                    <w:jc w:val="center"/>
                    <w:rPr>
                      <w:b/>
                      <w:bCs/>
                      <w:color w:val="auto"/>
                      <w:szCs w:val="21"/>
                    </w:rPr>
                  </w:pPr>
                  <w:r>
                    <w:rPr>
                      <w:b/>
                      <w:bCs/>
                      <w:color w:val="auto"/>
                      <w:szCs w:val="21"/>
                    </w:rPr>
                    <w:t>5年平均风速，m/s</w:t>
                  </w:r>
                </w:p>
              </w:tc>
              <w:tc>
                <w:tcPr>
                  <w:tcW w:w="3409" w:type="pct"/>
                  <w:gridSpan w:val="9"/>
                  <w:noWrap w:val="0"/>
                  <w:tcMar>
                    <w:top w:w="0" w:type="dxa"/>
                    <w:left w:w="0" w:type="dxa"/>
                    <w:bottom w:w="0" w:type="dxa"/>
                    <w:right w:w="0" w:type="dxa"/>
                  </w:tcMar>
                  <w:vAlign w:val="center"/>
                </w:tcPr>
                <w:p w14:paraId="3EC04D67">
                  <w:pPr>
                    <w:snapToGrid w:val="0"/>
                    <w:jc w:val="center"/>
                    <w:rPr>
                      <w:b/>
                      <w:bCs/>
                      <w:color w:val="auto"/>
                      <w:szCs w:val="21"/>
                    </w:rPr>
                  </w:pPr>
                  <w:r>
                    <w:rPr>
                      <w:b/>
                      <w:bCs/>
                      <w:color w:val="auto"/>
                      <w:szCs w:val="21"/>
                    </w:rPr>
                    <w:t>卫生防护距离L（m）</w:t>
                  </w:r>
                </w:p>
              </w:tc>
            </w:tr>
            <w:tr w14:paraId="2A5A95D3">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continue"/>
                  <w:noWrap w:val="0"/>
                  <w:tcMar>
                    <w:top w:w="0" w:type="dxa"/>
                    <w:left w:w="0" w:type="dxa"/>
                    <w:bottom w:w="0" w:type="dxa"/>
                    <w:right w:w="0" w:type="dxa"/>
                  </w:tcMar>
                  <w:vAlign w:val="center"/>
                </w:tcPr>
                <w:p w14:paraId="53A5E46B">
                  <w:pPr>
                    <w:snapToGrid w:val="0"/>
                    <w:jc w:val="center"/>
                    <w:rPr>
                      <w:color w:val="auto"/>
                      <w:szCs w:val="21"/>
                    </w:rPr>
                  </w:pPr>
                </w:p>
              </w:tc>
              <w:tc>
                <w:tcPr>
                  <w:tcW w:w="776" w:type="pct"/>
                  <w:vMerge w:val="continue"/>
                  <w:noWrap w:val="0"/>
                  <w:tcMar>
                    <w:top w:w="0" w:type="dxa"/>
                    <w:left w:w="0" w:type="dxa"/>
                    <w:bottom w:w="0" w:type="dxa"/>
                    <w:right w:w="0" w:type="dxa"/>
                  </w:tcMar>
                  <w:vAlign w:val="center"/>
                </w:tcPr>
                <w:p w14:paraId="3E5F49B9">
                  <w:pPr>
                    <w:snapToGrid w:val="0"/>
                    <w:jc w:val="center"/>
                    <w:rPr>
                      <w:color w:val="auto"/>
                      <w:szCs w:val="21"/>
                    </w:rPr>
                  </w:pPr>
                </w:p>
              </w:tc>
              <w:tc>
                <w:tcPr>
                  <w:tcW w:w="1136" w:type="pct"/>
                  <w:gridSpan w:val="3"/>
                  <w:noWrap w:val="0"/>
                  <w:tcMar>
                    <w:top w:w="0" w:type="dxa"/>
                    <w:left w:w="0" w:type="dxa"/>
                    <w:bottom w:w="0" w:type="dxa"/>
                    <w:right w:w="0" w:type="dxa"/>
                  </w:tcMar>
                  <w:vAlign w:val="center"/>
                </w:tcPr>
                <w:p w14:paraId="1B77A0F3">
                  <w:pPr>
                    <w:snapToGrid w:val="0"/>
                    <w:jc w:val="center"/>
                    <w:rPr>
                      <w:color w:val="auto"/>
                      <w:szCs w:val="21"/>
                    </w:rPr>
                  </w:pPr>
                  <w:r>
                    <w:rPr>
                      <w:color w:val="auto"/>
                      <w:szCs w:val="21"/>
                    </w:rPr>
                    <w:t>L≤1000</w:t>
                  </w:r>
                </w:p>
              </w:tc>
              <w:tc>
                <w:tcPr>
                  <w:tcW w:w="1136" w:type="pct"/>
                  <w:gridSpan w:val="3"/>
                  <w:noWrap w:val="0"/>
                  <w:tcMar>
                    <w:top w:w="0" w:type="dxa"/>
                    <w:left w:w="0" w:type="dxa"/>
                    <w:bottom w:w="0" w:type="dxa"/>
                    <w:right w:w="0" w:type="dxa"/>
                  </w:tcMar>
                  <w:vAlign w:val="center"/>
                </w:tcPr>
                <w:p w14:paraId="7922DEFB">
                  <w:pPr>
                    <w:snapToGrid w:val="0"/>
                    <w:jc w:val="center"/>
                    <w:rPr>
                      <w:color w:val="auto"/>
                      <w:szCs w:val="21"/>
                    </w:rPr>
                  </w:pPr>
                  <w:r>
                    <w:rPr>
                      <w:color w:val="auto"/>
                      <w:szCs w:val="21"/>
                    </w:rPr>
                    <w:t>1000＜L≤2000</w:t>
                  </w:r>
                </w:p>
              </w:tc>
              <w:tc>
                <w:tcPr>
                  <w:tcW w:w="1136" w:type="pct"/>
                  <w:gridSpan w:val="3"/>
                  <w:noWrap w:val="0"/>
                  <w:tcMar>
                    <w:top w:w="0" w:type="dxa"/>
                    <w:left w:w="0" w:type="dxa"/>
                    <w:bottom w:w="0" w:type="dxa"/>
                    <w:right w:w="0" w:type="dxa"/>
                  </w:tcMar>
                  <w:vAlign w:val="center"/>
                </w:tcPr>
                <w:p w14:paraId="52874CB5">
                  <w:pPr>
                    <w:snapToGrid w:val="0"/>
                    <w:jc w:val="center"/>
                    <w:rPr>
                      <w:color w:val="auto"/>
                      <w:szCs w:val="21"/>
                    </w:rPr>
                  </w:pPr>
                  <w:r>
                    <w:rPr>
                      <w:color w:val="auto"/>
                      <w:szCs w:val="21"/>
                    </w:rPr>
                    <w:t>L＞2000</w:t>
                  </w:r>
                </w:p>
              </w:tc>
            </w:tr>
            <w:tr w14:paraId="4C70E92D">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continue"/>
                  <w:noWrap w:val="0"/>
                  <w:tcMar>
                    <w:top w:w="0" w:type="dxa"/>
                    <w:left w:w="0" w:type="dxa"/>
                    <w:bottom w:w="0" w:type="dxa"/>
                    <w:right w:w="0" w:type="dxa"/>
                  </w:tcMar>
                  <w:vAlign w:val="center"/>
                </w:tcPr>
                <w:p w14:paraId="6DC64A14">
                  <w:pPr>
                    <w:snapToGrid w:val="0"/>
                    <w:jc w:val="center"/>
                    <w:rPr>
                      <w:color w:val="auto"/>
                      <w:szCs w:val="21"/>
                    </w:rPr>
                  </w:pPr>
                </w:p>
              </w:tc>
              <w:tc>
                <w:tcPr>
                  <w:tcW w:w="776" w:type="pct"/>
                  <w:vMerge w:val="continue"/>
                  <w:noWrap w:val="0"/>
                  <w:tcMar>
                    <w:top w:w="0" w:type="dxa"/>
                    <w:left w:w="0" w:type="dxa"/>
                    <w:bottom w:w="0" w:type="dxa"/>
                    <w:right w:w="0" w:type="dxa"/>
                  </w:tcMar>
                  <w:vAlign w:val="center"/>
                </w:tcPr>
                <w:p w14:paraId="2D7FE0C2">
                  <w:pPr>
                    <w:snapToGrid w:val="0"/>
                    <w:jc w:val="center"/>
                    <w:rPr>
                      <w:color w:val="auto"/>
                      <w:szCs w:val="21"/>
                    </w:rPr>
                  </w:pPr>
                </w:p>
              </w:tc>
              <w:tc>
                <w:tcPr>
                  <w:tcW w:w="3409" w:type="pct"/>
                  <w:gridSpan w:val="9"/>
                  <w:noWrap w:val="0"/>
                  <w:tcMar>
                    <w:top w:w="0" w:type="dxa"/>
                    <w:left w:w="0" w:type="dxa"/>
                    <w:bottom w:w="0" w:type="dxa"/>
                    <w:right w:w="0" w:type="dxa"/>
                  </w:tcMar>
                  <w:vAlign w:val="center"/>
                </w:tcPr>
                <w:p w14:paraId="0DF70719">
                  <w:pPr>
                    <w:snapToGrid w:val="0"/>
                    <w:jc w:val="center"/>
                    <w:rPr>
                      <w:b/>
                      <w:bCs/>
                      <w:color w:val="auto"/>
                      <w:szCs w:val="21"/>
                    </w:rPr>
                  </w:pPr>
                  <w:r>
                    <w:rPr>
                      <w:b/>
                      <w:bCs/>
                      <w:color w:val="auto"/>
                      <w:szCs w:val="21"/>
                    </w:rPr>
                    <w:t>工业大气污染源构成类别</w:t>
                  </w:r>
                </w:p>
              </w:tc>
            </w:tr>
            <w:tr w14:paraId="080518A7">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continue"/>
                  <w:noWrap w:val="0"/>
                  <w:tcMar>
                    <w:top w:w="0" w:type="dxa"/>
                    <w:left w:w="0" w:type="dxa"/>
                    <w:bottom w:w="0" w:type="dxa"/>
                    <w:right w:w="0" w:type="dxa"/>
                  </w:tcMar>
                  <w:vAlign w:val="center"/>
                </w:tcPr>
                <w:p w14:paraId="402BDFAF">
                  <w:pPr>
                    <w:snapToGrid w:val="0"/>
                    <w:jc w:val="center"/>
                    <w:rPr>
                      <w:color w:val="auto"/>
                      <w:szCs w:val="21"/>
                    </w:rPr>
                  </w:pPr>
                </w:p>
              </w:tc>
              <w:tc>
                <w:tcPr>
                  <w:tcW w:w="776" w:type="pct"/>
                  <w:vMerge w:val="continue"/>
                  <w:noWrap w:val="0"/>
                  <w:tcMar>
                    <w:top w:w="0" w:type="dxa"/>
                    <w:left w:w="0" w:type="dxa"/>
                    <w:bottom w:w="0" w:type="dxa"/>
                    <w:right w:w="0" w:type="dxa"/>
                  </w:tcMar>
                  <w:vAlign w:val="center"/>
                </w:tcPr>
                <w:p w14:paraId="0BFFBA22">
                  <w:pPr>
                    <w:snapToGrid w:val="0"/>
                    <w:jc w:val="center"/>
                    <w:rPr>
                      <w:color w:val="auto"/>
                      <w:szCs w:val="21"/>
                    </w:rPr>
                  </w:pPr>
                </w:p>
              </w:tc>
              <w:tc>
                <w:tcPr>
                  <w:tcW w:w="378" w:type="pct"/>
                  <w:noWrap w:val="0"/>
                  <w:tcMar>
                    <w:top w:w="0" w:type="dxa"/>
                    <w:left w:w="0" w:type="dxa"/>
                    <w:bottom w:w="0" w:type="dxa"/>
                    <w:right w:w="0" w:type="dxa"/>
                  </w:tcMar>
                  <w:vAlign w:val="center"/>
                </w:tcPr>
                <w:p w14:paraId="68B7005E">
                  <w:pPr>
                    <w:snapToGrid w:val="0"/>
                    <w:jc w:val="center"/>
                    <w:rPr>
                      <w:color w:val="auto"/>
                      <w:szCs w:val="21"/>
                    </w:rPr>
                  </w:pPr>
                  <w:r>
                    <w:rPr>
                      <w:color w:val="auto"/>
                      <w:szCs w:val="21"/>
                    </w:rPr>
                    <w:t>Ⅰ</w:t>
                  </w:r>
                </w:p>
              </w:tc>
              <w:tc>
                <w:tcPr>
                  <w:tcW w:w="378" w:type="pct"/>
                  <w:noWrap w:val="0"/>
                  <w:tcMar>
                    <w:top w:w="0" w:type="dxa"/>
                    <w:left w:w="0" w:type="dxa"/>
                    <w:bottom w:w="0" w:type="dxa"/>
                    <w:right w:w="0" w:type="dxa"/>
                  </w:tcMar>
                  <w:vAlign w:val="center"/>
                </w:tcPr>
                <w:p w14:paraId="29D451C2">
                  <w:pPr>
                    <w:snapToGrid w:val="0"/>
                    <w:jc w:val="center"/>
                    <w:rPr>
                      <w:color w:val="auto"/>
                      <w:szCs w:val="21"/>
                    </w:rPr>
                  </w:pPr>
                  <w:r>
                    <w:rPr>
                      <w:color w:val="auto"/>
                      <w:szCs w:val="21"/>
                    </w:rPr>
                    <w:t>Ⅱ</w:t>
                  </w:r>
                </w:p>
              </w:tc>
              <w:tc>
                <w:tcPr>
                  <w:tcW w:w="380" w:type="pct"/>
                  <w:noWrap w:val="0"/>
                  <w:tcMar>
                    <w:top w:w="0" w:type="dxa"/>
                    <w:left w:w="0" w:type="dxa"/>
                    <w:bottom w:w="0" w:type="dxa"/>
                    <w:right w:w="0" w:type="dxa"/>
                  </w:tcMar>
                  <w:vAlign w:val="center"/>
                </w:tcPr>
                <w:p w14:paraId="03BE4CB0">
                  <w:pPr>
                    <w:snapToGrid w:val="0"/>
                    <w:jc w:val="center"/>
                    <w:rPr>
                      <w:color w:val="auto"/>
                      <w:szCs w:val="21"/>
                    </w:rPr>
                  </w:pPr>
                  <w:r>
                    <w:rPr>
                      <w:color w:val="auto"/>
                      <w:szCs w:val="21"/>
                    </w:rPr>
                    <w:t>Ⅲ</w:t>
                  </w:r>
                </w:p>
              </w:tc>
              <w:tc>
                <w:tcPr>
                  <w:tcW w:w="378" w:type="pct"/>
                  <w:noWrap w:val="0"/>
                  <w:tcMar>
                    <w:top w:w="0" w:type="dxa"/>
                    <w:left w:w="0" w:type="dxa"/>
                    <w:bottom w:w="0" w:type="dxa"/>
                    <w:right w:w="0" w:type="dxa"/>
                  </w:tcMar>
                  <w:vAlign w:val="center"/>
                </w:tcPr>
                <w:p w14:paraId="519A502D">
                  <w:pPr>
                    <w:snapToGrid w:val="0"/>
                    <w:jc w:val="center"/>
                    <w:rPr>
                      <w:color w:val="auto"/>
                      <w:szCs w:val="21"/>
                    </w:rPr>
                  </w:pPr>
                  <w:r>
                    <w:rPr>
                      <w:color w:val="auto"/>
                      <w:szCs w:val="21"/>
                    </w:rPr>
                    <w:t>Ⅰ</w:t>
                  </w:r>
                </w:p>
              </w:tc>
              <w:tc>
                <w:tcPr>
                  <w:tcW w:w="378" w:type="pct"/>
                  <w:noWrap w:val="0"/>
                  <w:tcMar>
                    <w:top w:w="0" w:type="dxa"/>
                    <w:left w:w="0" w:type="dxa"/>
                    <w:bottom w:w="0" w:type="dxa"/>
                    <w:right w:w="0" w:type="dxa"/>
                  </w:tcMar>
                  <w:vAlign w:val="center"/>
                </w:tcPr>
                <w:p w14:paraId="5E14EF35">
                  <w:pPr>
                    <w:snapToGrid w:val="0"/>
                    <w:jc w:val="center"/>
                    <w:rPr>
                      <w:color w:val="auto"/>
                      <w:szCs w:val="21"/>
                    </w:rPr>
                  </w:pPr>
                  <w:r>
                    <w:rPr>
                      <w:color w:val="auto"/>
                      <w:szCs w:val="21"/>
                    </w:rPr>
                    <w:t>Ⅱ</w:t>
                  </w:r>
                </w:p>
              </w:tc>
              <w:tc>
                <w:tcPr>
                  <w:tcW w:w="378" w:type="pct"/>
                  <w:noWrap w:val="0"/>
                  <w:tcMar>
                    <w:top w:w="0" w:type="dxa"/>
                    <w:left w:w="0" w:type="dxa"/>
                    <w:bottom w:w="0" w:type="dxa"/>
                    <w:right w:w="0" w:type="dxa"/>
                  </w:tcMar>
                  <w:vAlign w:val="center"/>
                </w:tcPr>
                <w:p w14:paraId="637142FB">
                  <w:pPr>
                    <w:snapToGrid w:val="0"/>
                    <w:jc w:val="center"/>
                    <w:rPr>
                      <w:color w:val="auto"/>
                      <w:szCs w:val="21"/>
                    </w:rPr>
                  </w:pPr>
                  <w:r>
                    <w:rPr>
                      <w:color w:val="auto"/>
                      <w:szCs w:val="21"/>
                    </w:rPr>
                    <w:t>Ⅲ</w:t>
                  </w:r>
                </w:p>
              </w:tc>
              <w:tc>
                <w:tcPr>
                  <w:tcW w:w="378" w:type="pct"/>
                  <w:noWrap w:val="0"/>
                  <w:tcMar>
                    <w:top w:w="0" w:type="dxa"/>
                    <w:left w:w="0" w:type="dxa"/>
                    <w:bottom w:w="0" w:type="dxa"/>
                    <w:right w:w="0" w:type="dxa"/>
                  </w:tcMar>
                  <w:vAlign w:val="center"/>
                </w:tcPr>
                <w:p w14:paraId="482F1215">
                  <w:pPr>
                    <w:snapToGrid w:val="0"/>
                    <w:jc w:val="center"/>
                    <w:rPr>
                      <w:color w:val="auto"/>
                      <w:szCs w:val="21"/>
                    </w:rPr>
                  </w:pPr>
                  <w:r>
                    <w:rPr>
                      <w:color w:val="auto"/>
                      <w:szCs w:val="21"/>
                    </w:rPr>
                    <w:t>Ⅰ</w:t>
                  </w:r>
                </w:p>
              </w:tc>
              <w:tc>
                <w:tcPr>
                  <w:tcW w:w="378" w:type="pct"/>
                  <w:noWrap w:val="0"/>
                  <w:tcMar>
                    <w:top w:w="0" w:type="dxa"/>
                    <w:left w:w="0" w:type="dxa"/>
                    <w:bottom w:w="0" w:type="dxa"/>
                    <w:right w:w="0" w:type="dxa"/>
                  </w:tcMar>
                  <w:vAlign w:val="center"/>
                </w:tcPr>
                <w:p w14:paraId="4029F696">
                  <w:pPr>
                    <w:snapToGrid w:val="0"/>
                    <w:jc w:val="center"/>
                    <w:rPr>
                      <w:color w:val="auto"/>
                      <w:szCs w:val="21"/>
                    </w:rPr>
                  </w:pPr>
                  <w:r>
                    <w:rPr>
                      <w:color w:val="auto"/>
                      <w:szCs w:val="21"/>
                    </w:rPr>
                    <w:t>Ⅱ</w:t>
                  </w:r>
                </w:p>
              </w:tc>
              <w:tc>
                <w:tcPr>
                  <w:tcW w:w="378" w:type="pct"/>
                  <w:noWrap w:val="0"/>
                  <w:tcMar>
                    <w:top w:w="0" w:type="dxa"/>
                    <w:left w:w="0" w:type="dxa"/>
                    <w:bottom w:w="0" w:type="dxa"/>
                    <w:right w:w="0" w:type="dxa"/>
                  </w:tcMar>
                  <w:vAlign w:val="center"/>
                </w:tcPr>
                <w:p w14:paraId="22181D70">
                  <w:pPr>
                    <w:snapToGrid w:val="0"/>
                    <w:jc w:val="center"/>
                    <w:rPr>
                      <w:color w:val="auto"/>
                      <w:szCs w:val="21"/>
                    </w:rPr>
                  </w:pPr>
                  <w:r>
                    <w:rPr>
                      <w:color w:val="auto"/>
                      <w:szCs w:val="21"/>
                    </w:rPr>
                    <w:t>Ⅲ</w:t>
                  </w:r>
                </w:p>
              </w:tc>
            </w:tr>
            <w:tr w14:paraId="5836A97C">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restart"/>
                  <w:noWrap w:val="0"/>
                  <w:tcMar>
                    <w:top w:w="0" w:type="dxa"/>
                    <w:left w:w="0" w:type="dxa"/>
                    <w:bottom w:w="0" w:type="dxa"/>
                    <w:right w:w="0" w:type="dxa"/>
                  </w:tcMar>
                  <w:vAlign w:val="center"/>
                </w:tcPr>
                <w:p w14:paraId="314D6E59">
                  <w:pPr>
                    <w:snapToGrid w:val="0"/>
                    <w:jc w:val="center"/>
                    <w:rPr>
                      <w:color w:val="auto"/>
                      <w:szCs w:val="21"/>
                    </w:rPr>
                  </w:pPr>
                  <w:r>
                    <w:rPr>
                      <w:color w:val="auto"/>
                      <w:szCs w:val="21"/>
                    </w:rPr>
                    <w:t>A</w:t>
                  </w:r>
                </w:p>
              </w:tc>
              <w:tc>
                <w:tcPr>
                  <w:tcW w:w="776" w:type="pct"/>
                  <w:noWrap w:val="0"/>
                  <w:tcMar>
                    <w:top w:w="0" w:type="dxa"/>
                    <w:left w:w="0" w:type="dxa"/>
                    <w:bottom w:w="0" w:type="dxa"/>
                    <w:right w:w="0" w:type="dxa"/>
                  </w:tcMar>
                  <w:vAlign w:val="center"/>
                </w:tcPr>
                <w:p w14:paraId="1521163E">
                  <w:pPr>
                    <w:snapToGrid w:val="0"/>
                    <w:jc w:val="center"/>
                    <w:rPr>
                      <w:color w:val="auto"/>
                      <w:szCs w:val="21"/>
                    </w:rPr>
                  </w:pPr>
                  <w:r>
                    <w:rPr>
                      <w:color w:val="auto"/>
                      <w:szCs w:val="21"/>
                    </w:rPr>
                    <w:t>＜2</w:t>
                  </w:r>
                </w:p>
              </w:tc>
              <w:tc>
                <w:tcPr>
                  <w:tcW w:w="378" w:type="pct"/>
                  <w:noWrap w:val="0"/>
                  <w:tcMar>
                    <w:top w:w="0" w:type="dxa"/>
                    <w:left w:w="0" w:type="dxa"/>
                    <w:bottom w:w="0" w:type="dxa"/>
                    <w:right w:w="0" w:type="dxa"/>
                  </w:tcMar>
                  <w:vAlign w:val="center"/>
                </w:tcPr>
                <w:p w14:paraId="3C3713BE">
                  <w:pPr>
                    <w:snapToGrid w:val="0"/>
                    <w:jc w:val="center"/>
                    <w:rPr>
                      <w:color w:val="auto"/>
                      <w:szCs w:val="21"/>
                    </w:rPr>
                  </w:pPr>
                  <w:r>
                    <w:rPr>
                      <w:color w:val="auto"/>
                      <w:szCs w:val="21"/>
                    </w:rPr>
                    <w:t>400</w:t>
                  </w:r>
                </w:p>
              </w:tc>
              <w:tc>
                <w:tcPr>
                  <w:tcW w:w="378" w:type="pct"/>
                  <w:noWrap w:val="0"/>
                  <w:tcMar>
                    <w:top w:w="0" w:type="dxa"/>
                    <w:left w:w="0" w:type="dxa"/>
                    <w:bottom w:w="0" w:type="dxa"/>
                    <w:right w:w="0" w:type="dxa"/>
                  </w:tcMar>
                  <w:vAlign w:val="center"/>
                </w:tcPr>
                <w:p w14:paraId="7838C27C">
                  <w:pPr>
                    <w:snapToGrid w:val="0"/>
                    <w:jc w:val="center"/>
                    <w:rPr>
                      <w:color w:val="auto"/>
                      <w:szCs w:val="21"/>
                      <w:highlight w:val="none"/>
                    </w:rPr>
                  </w:pPr>
                  <w:r>
                    <w:rPr>
                      <w:color w:val="auto"/>
                      <w:szCs w:val="21"/>
                      <w:highlight w:val="none"/>
                    </w:rPr>
                    <w:t>400</w:t>
                  </w:r>
                </w:p>
              </w:tc>
              <w:tc>
                <w:tcPr>
                  <w:tcW w:w="380" w:type="pct"/>
                  <w:noWrap w:val="0"/>
                  <w:tcMar>
                    <w:top w:w="0" w:type="dxa"/>
                    <w:left w:w="0" w:type="dxa"/>
                    <w:bottom w:w="0" w:type="dxa"/>
                    <w:right w:w="0" w:type="dxa"/>
                  </w:tcMar>
                  <w:vAlign w:val="center"/>
                </w:tcPr>
                <w:p w14:paraId="15703BBD">
                  <w:pPr>
                    <w:snapToGrid w:val="0"/>
                    <w:jc w:val="center"/>
                    <w:rPr>
                      <w:color w:val="auto"/>
                      <w:szCs w:val="21"/>
                      <w:highlight w:val="none"/>
                    </w:rPr>
                  </w:pPr>
                  <w:r>
                    <w:rPr>
                      <w:color w:val="auto"/>
                      <w:szCs w:val="21"/>
                      <w:highlight w:val="none"/>
                    </w:rPr>
                    <w:t>400</w:t>
                  </w:r>
                </w:p>
              </w:tc>
              <w:tc>
                <w:tcPr>
                  <w:tcW w:w="378" w:type="pct"/>
                  <w:noWrap w:val="0"/>
                  <w:tcMar>
                    <w:top w:w="0" w:type="dxa"/>
                    <w:left w:w="0" w:type="dxa"/>
                    <w:bottom w:w="0" w:type="dxa"/>
                    <w:right w:w="0" w:type="dxa"/>
                  </w:tcMar>
                  <w:vAlign w:val="center"/>
                </w:tcPr>
                <w:p w14:paraId="28896144">
                  <w:pPr>
                    <w:snapToGrid w:val="0"/>
                    <w:jc w:val="center"/>
                    <w:rPr>
                      <w:color w:val="auto"/>
                      <w:szCs w:val="21"/>
                    </w:rPr>
                  </w:pPr>
                  <w:r>
                    <w:rPr>
                      <w:color w:val="auto"/>
                      <w:szCs w:val="21"/>
                    </w:rPr>
                    <w:t>400</w:t>
                  </w:r>
                </w:p>
              </w:tc>
              <w:tc>
                <w:tcPr>
                  <w:tcW w:w="378" w:type="pct"/>
                  <w:noWrap w:val="0"/>
                  <w:tcMar>
                    <w:top w:w="0" w:type="dxa"/>
                    <w:left w:w="0" w:type="dxa"/>
                    <w:bottom w:w="0" w:type="dxa"/>
                    <w:right w:w="0" w:type="dxa"/>
                  </w:tcMar>
                  <w:vAlign w:val="center"/>
                </w:tcPr>
                <w:p w14:paraId="5926E910">
                  <w:pPr>
                    <w:snapToGrid w:val="0"/>
                    <w:jc w:val="center"/>
                    <w:rPr>
                      <w:color w:val="auto"/>
                      <w:szCs w:val="21"/>
                    </w:rPr>
                  </w:pPr>
                  <w:r>
                    <w:rPr>
                      <w:color w:val="auto"/>
                      <w:szCs w:val="21"/>
                    </w:rPr>
                    <w:t>400</w:t>
                  </w:r>
                </w:p>
              </w:tc>
              <w:tc>
                <w:tcPr>
                  <w:tcW w:w="378" w:type="pct"/>
                  <w:noWrap w:val="0"/>
                  <w:tcMar>
                    <w:top w:w="0" w:type="dxa"/>
                    <w:left w:w="0" w:type="dxa"/>
                    <w:bottom w:w="0" w:type="dxa"/>
                    <w:right w:w="0" w:type="dxa"/>
                  </w:tcMar>
                  <w:vAlign w:val="center"/>
                </w:tcPr>
                <w:p w14:paraId="22D6DB79">
                  <w:pPr>
                    <w:snapToGrid w:val="0"/>
                    <w:jc w:val="center"/>
                    <w:rPr>
                      <w:color w:val="auto"/>
                      <w:szCs w:val="21"/>
                    </w:rPr>
                  </w:pPr>
                  <w:r>
                    <w:rPr>
                      <w:color w:val="auto"/>
                      <w:szCs w:val="21"/>
                    </w:rPr>
                    <w:t>400</w:t>
                  </w:r>
                </w:p>
              </w:tc>
              <w:tc>
                <w:tcPr>
                  <w:tcW w:w="378" w:type="pct"/>
                  <w:noWrap w:val="0"/>
                  <w:tcMar>
                    <w:top w:w="0" w:type="dxa"/>
                    <w:left w:w="0" w:type="dxa"/>
                    <w:bottom w:w="0" w:type="dxa"/>
                    <w:right w:w="0" w:type="dxa"/>
                  </w:tcMar>
                  <w:vAlign w:val="center"/>
                </w:tcPr>
                <w:p w14:paraId="48FC5A3C">
                  <w:pPr>
                    <w:snapToGrid w:val="0"/>
                    <w:jc w:val="center"/>
                    <w:rPr>
                      <w:color w:val="auto"/>
                      <w:szCs w:val="21"/>
                    </w:rPr>
                  </w:pPr>
                  <w:r>
                    <w:rPr>
                      <w:color w:val="auto"/>
                      <w:szCs w:val="21"/>
                    </w:rPr>
                    <w:t>80</w:t>
                  </w:r>
                </w:p>
              </w:tc>
              <w:tc>
                <w:tcPr>
                  <w:tcW w:w="378" w:type="pct"/>
                  <w:noWrap w:val="0"/>
                  <w:tcMar>
                    <w:top w:w="0" w:type="dxa"/>
                    <w:left w:w="0" w:type="dxa"/>
                    <w:bottom w:w="0" w:type="dxa"/>
                    <w:right w:w="0" w:type="dxa"/>
                  </w:tcMar>
                  <w:vAlign w:val="center"/>
                </w:tcPr>
                <w:p w14:paraId="22DFECA8">
                  <w:pPr>
                    <w:snapToGrid w:val="0"/>
                    <w:jc w:val="center"/>
                    <w:rPr>
                      <w:color w:val="auto"/>
                      <w:szCs w:val="21"/>
                    </w:rPr>
                  </w:pPr>
                  <w:r>
                    <w:rPr>
                      <w:color w:val="auto"/>
                      <w:szCs w:val="21"/>
                    </w:rPr>
                    <w:t>80</w:t>
                  </w:r>
                </w:p>
              </w:tc>
              <w:tc>
                <w:tcPr>
                  <w:tcW w:w="378" w:type="pct"/>
                  <w:noWrap w:val="0"/>
                  <w:tcMar>
                    <w:top w:w="0" w:type="dxa"/>
                    <w:left w:w="0" w:type="dxa"/>
                    <w:bottom w:w="0" w:type="dxa"/>
                    <w:right w:w="0" w:type="dxa"/>
                  </w:tcMar>
                  <w:vAlign w:val="center"/>
                </w:tcPr>
                <w:p w14:paraId="606C6925">
                  <w:pPr>
                    <w:snapToGrid w:val="0"/>
                    <w:jc w:val="center"/>
                    <w:rPr>
                      <w:color w:val="auto"/>
                      <w:szCs w:val="21"/>
                    </w:rPr>
                  </w:pPr>
                  <w:r>
                    <w:rPr>
                      <w:color w:val="auto"/>
                      <w:szCs w:val="21"/>
                    </w:rPr>
                    <w:t>80</w:t>
                  </w:r>
                </w:p>
              </w:tc>
            </w:tr>
            <w:tr w14:paraId="47D065A1">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continue"/>
                  <w:shd w:val="clear" w:color="auto" w:fill="auto"/>
                  <w:noWrap w:val="0"/>
                  <w:tcMar>
                    <w:top w:w="0" w:type="dxa"/>
                    <w:left w:w="0" w:type="dxa"/>
                    <w:bottom w:w="0" w:type="dxa"/>
                    <w:right w:w="0" w:type="dxa"/>
                  </w:tcMar>
                  <w:vAlign w:val="center"/>
                </w:tcPr>
                <w:p w14:paraId="6B3B7A97">
                  <w:pPr>
                    <w:snapToGrid w:val="0"/>
                    <w:jc w:val="center"/>
                    <w:rPr>
                      <w:color w:val="auto"/>
                      <w:szCs w:val="21"/>
                    </w:rPr>
                  </w:pPr>
                </w:p>
              </w:tc>
              <w:tc>
                <w:tcPr>
                  <w:tcW w:w="776" w:type="pct"/>
                  <w:shd w:val="clear" w:color="auto" w:fill="auto"/>
                  <w:noWrap w:val="0"/>
                  <w:tcMar>
                    <w:top w:w="0" w:type="dxa"/>
                    <w:left w:w="0" w:type="dxa"/>
                    <w:bottom w:w="0" w:type="dxa"/>
                    <w:right w:w="0" w:type="dxa"/>
                  </w:tcMar>
                  <w:vAlign w:val="center"/>
                </w:tcPr>
                <w:p w14:paraId="4F053134">
                  <w:pPr>
                    <w:snapToGrid w:val="0"/>
                    <w:jc w:val="center"/>
                    <w:rPr>
                      <w:color w:val="auto"/>
                      <w:szCs w:val="21"/>
                    </w:rPr>
                  </w:pPr>
                  <w:r>
                    <w:rPr>
                      <w:color w:val="auto"/>
                      <w:szCs w:val="21"/>
                    </w:rPr>
                    <w:t>2-4</w:t>
                  </w:r>
                </w:p>
              </w:tc>
              <w:tc>
                <w:tcPr>
                  <w:tcW w:w="378" w:type="pct"/>
                  <w:shd w:val="clear" w:color="auto" w:fill="auto"/>
                  <w:noWrap w:val="0"/>
                  <w:tcMar>
                    <w:top w:w="0" w:type="dxa"/>
                    <w:left w:w="0" w:type="dxa"/>
                    <w:bottom w:w="0" w:type="dxa"/>
                    <w:right w:w="0" w:type="dxa"/>
                  </w:tcMar>
                  <w:vAlign w:val="center"/>
                </w:tcPr>
                <w:p w14:paraId="6882260C">
                  <w:pPr>
                    <w:snapToGrid w:val="0"/>
                    <w:jc w:val="center"/>
                    <w:rPr>
                      <w:color w:val="auto"/>
                      <w:szCs w:val="21"/>
                    </w:rPr>
                  </w:pPr>
                  <w:r>
                    <w:rPr>
                      <w:color w:val="auto"/>
                      <w:szCs w:val="21"/>
                    </w:rPr>
                    <w:t>700</w:t>
                  </w:r>
                </w:p>
              </w:tc>
              <w:tc>
                <w:tcPr>
                  <w:tcW w:w="378" w:type="pct"/>
                  <w:shd w:val="clear" w:color="auto" w:fill="7E7E7E" w:themeFill="background1" w:themeFillShade="7F"/>
                  <w:noWrap w:val="0"/>
                  <w:tcMar>
                    <w:top w:w="0" w:type="dxa"/>
                    <w:left w:w="0" w:type="dxa"/>
                    <w:bottom w:w="0" w:type="dxa"/>
                    <w:right w:w="0" w:type="dxa"/>
                  </w:tcMar>
                  <w:vAlign w:val="center"/>
                </w:tcPr>
                <w:p w14:paraId="6F6D508B">
                  <w:pPr>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470</w:t>
                  </w:r>
                </w:p>
              </w:tc>
              <w:tc>
                <w:tcPr>
                  <w:tcW w:w="380" w:type="pct"/>
                  <w:shd w:val="clear" w:color="auto" w:fill="auto"/>
                  <w:noWrap w:val="0"/>
                  <w:tcMar>
                    <w:top w:w="0" w:type="dxa"/>
                    <w:left w:w="0" w:type="dxa"/>
                    <w:bottom w:w="0" w:type="dxa"/>
                    <w:right w:w="0" w:type="dxa"/>
                  </w:tcMar>
                  <w:vAlign w:val="center"/>
                </w:tcPr>
                <w:p w14:paraId="74EF222A">
                  <w:pPr>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350</w:t>
                  </w:r>
                </w:p>
              </w:tc>
              <w:tc>
                <w:tcPr>
                  <w:tcW w:w="378" w:type="pct"/>
                  <w:noWrap w:val="0"/>
                  <w:tcMar>
                    <w:top w:w="0" w:type="dxa"/>
                    <w:left w:w="0" w:type="dxa"/>
                    <w:bottom w:w="0" w:type="dxa"/>
                    <w:right w:w="0" w:type="dxa"/>
                  </w:tcMar>
                  <w:vAlign w:val="center"/>
                </w:tcPr>
                <w:p w14:paraId="6843C32F">
                  <w:pPr>
                    <w:snapToGrid w:val="0"/>
                    <w:jc w:val="center"/>
                    <w:rPr>
                      <w:color w:val="auto"/>
                      <w:szCs w:val="21"/>
                    </w:rPr>
                  </w:pPr>
                  <w:r>
                    <w:rPr>
                      <w:color w:val="auto"/>
                      <w:szCs w:val="21"/>
                    </w:rPr>
                    <w:t>700</w:t>
                  </w:r>
                </w:p>
              </w:tc>
              <w:tc>
                <w:tcPr>
                  <w:tcW w:w="378" w:type="pct"/>
                  <w:noWrap w:val="0"/>
                  <w:tcMar>
                    <w:top w:w="0" w:type="dxa"/>
                    <w:left w:w="0" w:type="dxa"/>
                    <w:bottom w:w="0" w:type="dxa"/>
                    <w:right w:w="0" w:type="dxa"/>
                  </w:tcMar>
                  <w:vAlign w:val="center"/>
                </w:tcPr>
                <w:p w14:paraId="6916655E">
                  <w:pPr>
                    <w:snapToGrid w:val="0"/>
                    <w:jc w:val="center"/>
                    <w:rPr>
                      <w:color w:val="auto"/>
                      <w:szCs w:val="21"/>
                    </w:rPr>
                  </w:pPr>
                  <w:r>
                    <w:rPr>
                      <w:color w:val="auto"/>
                      <w:szCs w:val="21"/>
                    </w:rPr>
                    <w:t>470</w:t>
                  </w:r>
                </w:p>
              </w:tc>
              <w:tc>
                <w:tcPr>
                  <w:tcW w:w="378" w:type="pct"/>
                  <w:noWrap w:val="0"/>
                  <w:tcMar>
                    <w:top w:w="0" w:type="dxa"/>
                    <w:left w:w="0" w:type="dxa"/>
                    <w:bottom w:w="0" w:type="dxa"/>
                    <w:right w:w="0" w:type="dxa"/>
                  </w:tcMar>
                  <w:vAlign w:val="center"/>
                </w:tcPr>
                <w:p w14:paraId="5618BAD5">
                  <w:pPr>
                    <w:snapToGrid w:val="0"/>
                    <w:jc w:val="center"/>
                    <w:rPr>
                      <w:color w:val="auto"/>
                      <w:szCs w:val="21"/>
                    </w:rPr>
                  </w:pPr>
                  <w:r>
                    <w:rPr>
                      <w:color w:val="auto"/>
                      <w:szCs w:val="21"/>
                    </w:rPr>
                    <w:t>350</w:t>
                  </w:r>
                </w:p>
              </w:tc>
              <w:tc>
                <w:tcPr>
                  <w:tcW w:w="378" w:type="pct"/>
                  <w:noWrap w:val="0"/>
                  <w:tcMar>
                    <w:top w:w="0" w:type="dxa"/>
                    <w:left w:w="0" w:type="dxa"/>
                    <w:bottom w:w="0" w:type="dxa"/>
                    <w:right w:w="0" w:type="dxa"/>
                  </w:tcMar>
                  <w:vAlign w:val="center"/>
                </w:tcPr>
                <w:p w14:paraId="70D5BB06">
                  <w:pPr>
                    <w:snapToGrid w:val="0"/>
                    <w:jc w:val="center"/>
                    <w:rPr>
                      <w:color w:val="auto"/>
                      <w:szCs w:val="21"/>
                    </w:rPr>
                  </w:pPr>
                  <w:r>
                    <w:rPr>
                      <w:color w:val="auto"/>
                      <w:szCs w:val="21"/>
                    </w:rPr>
                    <w:t>380</w:t>
                  </w:r>
                </w:p>
              </w:tc>
              <w:tc>
                <w:tcPr>
                  <w:tcW w:w="378" w:type="pct"/>
                  <w:noWrap w:val="0"/>
                  <w:tcMar>
                    <w:top w:w="0" w:type="dxa"/>
                    <w:left w:w="0" w:type="dxa"/>
                    <w:bottom w:w="0" w:type="dxa"/>
                    <w:right w:w="0" w:type="dxa"/>
                  </w:tcMar>
                  <w:vAlign w:val="center"/>
                </w:tcPr>
                <w:p w14:paraId="70D3E706">
                  <w:pPr>
                    <w:snapToGrid w:val="0"/>
                    <w:jc w:val="center"/>
                    <w:rPr>
                      <w:color w:val="auto"/>
                      <w:szCs w:val="21"/>
                    </w:rPr>
                  </w:pPr>
                  <w:r>
                    <w:rPr>
                      <w:color w:val="auto"/>
                      <w:szCs w:val="21"/>
                    </w:rPr>
                    <w:t>250</w:t>
                  </w:r>
                </w:p>
              </w:tc>
              <w:tc>
                <w:tcPr>
                  <w:tcW w:w="378" w:type="pct"/>
                  <w:noWrap w:val="0"/>
                  <w:tcMar>
                    <w:top w:w="0" w:type="dxa"/>
                    <w:left w:w="0" w:type="dxa"/>
                    <w:bottom w:w="0" w:type="dxa"/>
                    <w:right w:w="0" w:type="dxa"/>
                  </w:tcMar>
                  <w:vAlign w:val="center"/>
                </w:tcPr>
                <w:p w14:paraId="39D9CDF9">
                  <w:pPr>
                    <w:snapToGrid w:val="0"/>
                    <w:jc w:val="center"/>
                    <w:rPr>
                      <w:color w:val="auto"/>
                      <w:szCs w:val="21"/>
                    </w:rPr>
                  </w:pPr>
                  <w:r>
                    <w:rPr>
                      <w:color w:val="auto"/>
                      <w:szCs w:val="21"/>
                    </w:rPr>
                    <w:t>190</w:t>
                  </w:r>
                </w:p>
              </w:tc>
            </w:tr>
            <w:tr w14:paraId="134BFC68">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continue"/>
                  <w:noWrap w:val="0"/>
                  <w:tcMar>
                    <w:top w:w="0" w:type="dxa"/>
                    <w:left w:w="0" w:type="dxa"/>
                    <w:bottom w:w="0" w:type="dxa"/>
                    <w:right w:w="0" w:type="dxa"/>
                  </w:tcMar>
                  <w:vAlign w:val="center"/>
                </w:tcPr>
                <w:p w14:paraId="0938F043">
                  <w:pPr>
                    <w:snapToGrid w:val="0"/>
                    <w:jc w:val="center"/>
                    <w:rPr>
                      <w:color w:val="auto"/>
                      <w:szCs w:val="21"/>
                    </w:rPr>
                  </w:pPr>
                </w:p>
              </w:tc>
              <w:tc>
                <w:tcPr>
                  <w:tcW w:w="776" w:type="pct"/>
                  <w:noWrap w:val="0"/>
                  <w:tcMar>
                    <w:top w:w="0" w:type="dxa"/>
                    <w:left w:w="0" w:type="dxa"/>
                    <w:bottom w:w="0" w:type="dxa"/>
                    <w:right w:w="0" w:type="dxa"/>
                  </w:tcMar>
                  <w:vAlign w:val="center"/>
                </w:tcPr>
                <w:p w14:paraId="03F87393">
                  <w:pPr>
                    <w:snapToGrid w:val="0"/>
                    <w:jc w:val="center"/>
                    <w:rPr>
                      <w:color w:val="auto"/>
                      <w:szCs w:val="21"/>
                    </w:rPr>
                  </w:pPr>
                  <w:r>
                    <w:rPr>
                      <w:color w:val="auto"/>
                      <w:szCs w:val="21"/>
                    </w:rPr>
                    <w:t>＞4</w:t>
                  </w:r>
                </w:p>
              </w:tc>
              <w:tc>
                <w:tcPr>
                  <w:tcW w:w="378" w:type="pct"/>
                  <w:noWrap w:val="0"/>
                  <w:tcMar>
                    <w:top w:w="0" w:type="dxa"/>
                    <w:left w:w="0" w:type="dxa"/>
                    <w:bottom w:w="0" w:type="dxa"/>
                    <w:right w:w="0" w:type="dxa"/>
                  </w:tcMar>
                  <w:vAlign w:val="center"/>
                </w:tcPr>
                <w:p w14:paraId="5857AE70">
                  <w:pPr>
                    <w:snapToGrid w:val="0"/>
                    <w:jc w:val="center"/>
                    <w:rPr>
                      <w:color w:val="auto"/>
                      <w:szCs w:val="21"/>
                    </w:rPr>
                  </w:pPr>
                  <w:r>
                    <w:rPr>
                      <w:color w:val="auto"/>
                      <w:szCs w:val="21"/>
                    </w:rPr>
                    <w:t>530</w:t>
                  </w:r>
                </w:p>
              </w:tc>
              <w:tc>
                <w:tcPr>
                  <w:tcW w:w="378" w:type="pct"/>
                  <w:noWrap w:val="0"/>
                  <w:tcMar>
                    <w:top w:w="0" w:type="dxa"/>
                    <w:left w:w="0" w:type="dxa"/>
                    <w:bottom w:w="0" w:type="dxa"/>
                    <w:right w:w="0" w:type="dxa"/>
                  </w:tcMar>
                  <w:vAlign w:val="center"/>
                </w:tcPr>
                <w:p w14:paraId="1832F786">
                  <w:pPr>
                    <w:snapToGrid w:val="0"/>
                    <w:jc w:val="center"/>
                    <w:rPr>
                      <w:color w:val="auto"/>
                      <w:szCs w:val="21"/>
                    </w:rPr>
                  </w:pPr>
                  <w:r>
                    <w:rPr>
                      <w:rFonts w:ascii="Times New Roman" w:hAnsi="Times New Roman" w:eastAsia="宋体" w:cs="Times New Roman"/>
                      <w:color w:val="auto"/>
                      <w:szCs w:val="21"/>
                      <w:highlight w:val="none"/>
                    </w:rPr>
                    <w:t>350</w:t>
                  </w:r>
                </w:p>
              </w:tc>
              <w:tc>
                <w:tcPr>
                  <w:tcW w:w="380" w:type="pct"/>
                  <w:noWrap w:val="0"/>
                  <w:tcMar>
                    <w:top w:w="0" w:type="dxa"/>
                    <w:left w:w="0" w:type="dxa"/>
                    <w:bottom w:w="0" w:type="dxa"/>
                    <w:right w:w="0" w:type="dxa"/>
                  </w:tcMar>
                  <w:vAlign w:val="center"/>
                </w:tcPr>
                <w:p w14:paraId="66C48DF2">
                  <w:pPr>
                    <w:snapToGrid w:val="0"/>
                    <w:jc w:val="center"/>
                    <w:rPr>
                      <w:color w:val="auto"/>
                      <w:szCs w:val="21"/>
                    </w:rPr>
                  </w:pPr>
                  <w:r>
                    <w:rPr>
                      <w:color w:val="auto"/>
                      <w:szCs w:val="21"/>
                    </w:rPr>
                    <w:t>260</w:t>
                  </w:r>
                </w:p>
              </w:tc>
              <w:tc>
                <w:tcPr>
                  <w:tcW w:w="378" w:type="pct"/>
                  <w:noWrap w:val="0"/>
                  <w:tcMar>
                    <w:top w:w="0" w:type="dxa"/>
                    <w:left w:w="0" w:type="dxa"/>
                    <w:bottom w:w="0" w:type="dxa"/>
                    <w:right w:w="0" w:type="dxa"/>
                  </w:tcMar>
                  <w:vAlign w:val="center"/>
                </w:tcPr>
                <w:p w14:paraId="03822F74">
                  <w:pPr>
                    <w:snapToGrid w:val="0"/>
                    <w:jc w:val="center"/>
                    <w:rPr>
                      <w:color w:val="auto"/>
                      <w:szCs w:val="21"/>
                    </w:rPr>
                  </w:pPr>
                  <w:r>
                    <w:rPr>
                      <w:color w:val="auto"/>
                      <w:szCs w:val="21"/>
                    </w:rPr>
                    <w:t>530</w:t>
                  </w:r>
                </w:p>
              </w:tc>
              <w:tc>
                <w:tcPr>
                  <w:tcW w:w="378" w:type="pct"/>
                  <w:noWrap w:val="0"/>
                  <w:tcMar>
                    <w:top w:w="0" w:type="dxa"/>
                    <w:left w:w="0" w:type="dxa"/>
                    <w:bottom w:w="0" w:type="dxa"/>
                    <w:right w:w="0" w:type="dxa"/>
                  </w:tcMar>
                  <w:vAlign w:val="center"/>
                </w:tcPr>
                <w:p w14:paraId="4F156331">
                  <w:pPr>
                    <w:snapToGrid w:val="0"/>
                    <w:jc w:val="center"/>
                    <w:rPr>
                      <w:color w:val="auto"/>
                      <w:szCs w:val="21"/>
                    </w:rPr>
                  </w:pPr>
                  <w:r>
                    <w:rPr>
                      <w:color w:val="auto"/>
                      <w:szCs w:val="21"/>
                    </w:rPr>
                    <w:t>350</w:t>
                  </w:r>
                </w:p>
              </w:tc>
              <w:tc>
                <w:tcPr>
                  <w:tcW w:w="378" w:type="pct"/>
                  <w:noWrap w:val="0"/>
                  <w:tcMar>
                    <w:top w:w="0" w:type="dxa"/>
                    <w:left w:w="0" w:type="dxa"/>
                    <w:bottom w:w="0" w:type="dxa"/>
                    <w:right w:w="0" w:type="dxa"/>
                  </w:tcMar>
                  <w:vAlign w:val="center"/>
                </w:tcPr>
                <w:p w14:paraId="05EC2511">
                  <w:pPr>
                    <w:snapToGrid w:val="0"/>
                    <w:jc w:val="center"/>
                    <w:rPr>
                      <w:color w:val="auto"/>
                      <w:szCs w:val="21"/>
                    </w:rPr>
                  </w:pPr>
                  <w:r>
                    <w:rPr>
                      <w:color w:val="auto"/>
                      <w:szCs w:val="21"/>
                    </w:rPr>
                    <w:t>260</w:t>
                  </w:r>
                </w:p>
              </w:tc>
              <w:tc>
                <w:tcPr>
                  <w:tcW w:w="378" w:type="pct"/>
                  <w:noWrap w:val="0"/>
                  <w:tcMar>
                    <w:top w:w="0" w:type="dxa"/>
                    <w:left w:w="0" w:type="dxa"/>
                    <w:bottom w:w="0" w:type="dxa"/>
                    <w:right w:w="0" w:type="dxa"/>
                  </w:tcMar>
                  <w:vAlign w:val="center"/>
                </w:tcPr>
                <w:p w14:paraId="5FC9BA10">
                  <w:pPr>
                    <w:snapToGrid w:val="0"/>
                    <w:jc w:val="center"/>
                    <w:rPr>
                      <w:color w:val="auto"/>
                      <w:szCs w:val="21"/>
                    </w:rPr>
                  </w:pPr>
                  <w:r>
                    <w:rPr>
                      <w:color w:val="auto"/>
                      <w:szCs w:val="21"/>
                    </w:rPr>
                    <w:t>290</w:t>
                  </w:r>
                </w:p>
              </w:tc>
              <w:tc>
                <w:tcPr>
                  <w:tcW w:w="378" w:type="pct"/>
                  <w:noWrap w:val="0"/>
                  <w:tcMar>
                    <w:top w:w="0" w:type="dxa"/>
                    <w:left w:w="0" w:type="dxa"/>
                    <w:bottom w:w="0" w:type="dxa"/>
                    <w:right w:w="0" w:type="dxa"/>
                  </w:tcMar>
                  <w:vAlign w:val="center"/>
                </w:tcPr>
                <w:p w14:paraId="645BC6D1">
                  <w:pPr>
                    <w:snapToGrid w:val="0"/>
                    <w:jc w:val="center"/>
                    <w:rPr>
                      <w:color w:val="auto"/>
                      <w:szCs w:val="21"/>
                    </w:rPr>
                  </w:pPr>
                  <w:r>
                    <w:rPr>
                      <w:color w:val="auto"/>
                      <w:szCs w:val="21"/>
                    </w:rPr>
                    <w:t>190</w:t>
                  </w:r>
                </w:p>
              </w:tc>
              <w:tc>
                <w:tcPr>
                  <w:tcW w:w="378" w:type="pct"/>
                  <w:noWrap w:val="0"/>
                  <w:tcMar>
                    <w:top w:w="0" w:type="dxa"/>
                    <w:left w:w="0" w:type="dxa"/>
                    <w:bottom w:w="0" w:type="dxa"/>
                    <w:right w:w="0" w:type="dxa"/>
                  </w:tcMar>
                  <w:vAlign w:val="center"/>
                </w:tcPr>
                <w:p w14:paraId="228402D6">
                  <w:pPr>
                    <w:snapToGrid w:val="0"/>
                    <w:jc w:val="center"/>
                    <w:rPr>
                      <w:color w:val="auto"/>
                      <w:szCs w:val="21"/>
                    </w:rPr>
                  </w:pPr>
                  <w:r>
                    <w:rPr>
                      <w:color w:val="auto"/>
                      <w:szCs w:val="21"/>
                    </w:rPr>
                    <w:t>110</w:t>
                  </w:r>
                </w:p>
              </w:tc>
            </w:tr>
            <w:tr w14:paraId="4CA893B3">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restart"/>
                  <w:noWrap w:val="0"/>
                  <w:tcMar>
                    <w:top w:w="0" w:type="dxa"/>
                    <w:left w:w="0" w:type="dxa"/>
                    <w:bottom w:w="0" w:type="dxa"/>
                    <w:right w:w="0" w:type="dxa"/>
                  </w:tcMar>
                  <w:vAlign w:val="center"/>
                </w:tcPr>
                <w:p w14:paraId="282243EE">
                  <w:pPr>
                    <w:snapToGrid w:val="0"/>
                    <w:jc w:val="center"/>
                    <w:rPr>
                      <w:color w:val="auto"/>
                      <w:szCs w:val="21"/>
                    </w:rPr>
                  </w:pPr>
                  <w:r>
                    <w:rPr>
                      <w:color w:val="auto"/>
                      <w:szCs w:val="21"/>
                    </w:rPr>
                    <w:t>B</w:t>
                  </w:r>
                </w:p>
              </w:tc>
              <w:tc>
                <w:tcPr>
                  <w:tcW w:w="776" w:type="pct"/>
                  <w:noWrap w:val="0"/>
                  <w:tcMar>
                    <w:top w:w="0" w:type="dxa"/>
                    <w:left w:w="0" w:type="dxa"/>
                    <w:bottom w:w="0" w:type="dxa"/>
                    <w:right w:w="0" w:type="dxa"/>
                  </w:tcMar>
                  <w:vAlign w:val="center"/>
                </w:tcPr>
                <w:p w14:paraId="52C5DFE4">
                  <w:pPr>
                    <w:snapToGrid w:val="0"/>
                    <w:jc w:val="center"/>
                    <w:rPr>
                      <w:color w:val="auto"/>
                      <w:szCs w:val="21"/>
                    </w:rPr>
                  </w:pPr>
                  <w:r>
                    <w:rPr>
                      <w:color w:val="auto"/>
                      <w:szCs w:val="21"/>
                    </w:rPr>
                    <w:t>＜2</w:t>
                  </w:r>
                </w:p>
              </w:tc>
              <w:tc>
                <w:tcPr>
                  <w:tcW w:w="1136" w:type="pct"/>
                  <w:gridSpan w:val="3"/>
                  <w:noWrap w:val="0"/>
                  <w:tcMar>
                    <w:top w:w="0" w:type="dxa"/>
                    <w:left w:w="0" w:type="dxa"/>
                    <w:bottom w:w="0" w:type="dxa"/>
                    <w:right w:w="0" w:type="dxa"/>
                  </w:tcMar>
                  <w:vAlign w:val="center"/>
                </w:tcPr>
                <w:p w14:paraId="441FB45F">
                  <w:pPr>
                    <w:snapToGrid w:val="0"/>
                    <w:jc w:val="center"/>
                    <w:rPr>
                      <w:color w:val="auto"/>
                      <w:szCs w:val="21"/>
                    </w:rPr>
                  </w:pPr>
                  <w:r>
                    <w:rPr>
                      <w:color w:val="auto"/>
                      <w:szCs w:val="21"/>
                    </w:rPr>
                    <w:t>0.01</w:t>
                  </w:r>
                </w:p>
              </w:tc>
              <w:tc>
                <w:tcPr>
                  <w:tcW w:w="1136" w:type="pct"/>
                  <w:gridSpan w:val="3"/>
                  <w:noWrap w:val="0"/>
                  <w:tcMar>
                    <w:top w:w="0" w:type="dxa"/>
                    <w:left w:w="0" w:type="dxa"/>
                    <w:bottom w:w="0" w:type="dxa"/>
                    <w:right w:w="0" w:type="dxa"/>
                  </w:tcMar>
                  <w:vAlign w:val="center"/>
                </w:tcPr>
                <w:p w14:paraId="4531F2ED">
                  <w:pPr>
                    <w:snapToGrid w:val="0"/>
                    <w:jc w:val="center"/>
                    <w:rPr>
                      <w:color w:val="auto"/>
                      <w:szCs w:val="21"/>
                    </w:rPr>
                  </w:pPr>
                  <w:r>
                    <w:rPr>
                      <w:color w:val="auto"/>
                      <w:szCs w:val="21"/>
                    </w:rPr>
                    <w:t>0.015</w:t>
                  </w:r>
                </w:p>
              </w:tc>
              <w:tc>
                <w:tcPr>
                  <w:tcW w:w="1136" w:type="pct"/>
                  <w:gridSpan w:val="3"/>
                  <w:noWrap w:val="0"/>
                  <w:tcMar>
                    <w:top w:w="0" w:type="dxa"/>
                    <w:left w:w="0" w:type="dxa"/>
                    <w:bottom w:w="0" w:type="dxa"/>
                    <w:right w:w="0" w:type="dxa"/>
                  </w:tcMar>
                  <w:vAlign w:val="center"/>
                </w:tcPr>
                <w:p w14:paraId="67DE1079">
                  <w:pPr>
                    <w:snapToGrid w:val="0"/>
                    <w:jc w:val="center"/>
                    <w:rPr>
                      <w:color w:val="auto"/>
                      <w:szCs w:val="21"/>
                    </w:rPr>
                  </w:pPr>
                  <w:r>
                    <w:rPr>
                      <w:color w:val="auto"/>
                      <w:szCs w:val="21"/>
                    </w:rPr>
                    <w:t>0.015</w:t>
                  </w:r>
                </w:p>
              </w:tc>
            </w:tr>
            <w:tr w14:paraId="3EDFC7D0">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continue"/>
                  <w:shd w:val="clear" w:color="auto" w:fill="auto"/>
                  <w:noWrap w:val="0"/>
                  <w:tcMar>
                    <w:top w:w="0" w:type="dxa"/>
                    <w:left w:w="0" w:type="dxa"/>
                    <w:bottom w:w="0" w:type="dxa"/>
                    <w:right w:w="0" w:type="dxa"/>
                  </w:tcMar>
                  <w:vAlign w:val="center"/>
                </w:tcPr>
                <w:p w14:paraId="761D3833">
                  <w:pPr>
                    <w:snapToGrid w:val="0"/>
                    <w:jc w:val="center"/>
                    <w:rPr>
                      <w:color w:val="auto"/>
                      <w:szCs w:val="21"/>
                    </w:rPr>
                  </w:pPr>
                </w:p>
              </w:tc>
              <w:tc>
                <w:tcPr>
                  <w:tcW w:w="776" w:type="pct"/>
                  <w:shd w:val="clear" w:color="auto" w:fill="auto"/>
                  <w:noWrap w:val="0"/>
                  <w:tcMar>
                    <w:top w:w="0" w:type="dxa"/>
                    <w:left w:w="0" w:type="dxa"/>
                    <w:bottom w:w="0" w:type="dxa"/>
                    <w:right w:w="0" w:type="dxa"/>
                  </w:tcMar>
                  <w:vAlign w:val="center"/>
                </w:tcPr>
                <w:p w14:paraId="28650C4F">
                  <w:pPr>
                    <w:snapToGrid w:val="0"/>
                    <w:jc w:val="center"/>
                    <w:rPr>
                      <w:color w:val="auto"/>
                      <w:szCs w:val="21"/>
                    </w:rPr>
                  </w:pPr>
                  <w:r>
                    <w:rPr>
                      <w:color w:val="auto"/>
                      <w:szCs w:val="21"/>
                    </w:rPr>
                    <w:t>＞2</w:t>
                  </w:r>
                </w:p>
              </w:tc>
              <w:tc>
                <w:tcPr>
                  <w:tcW w:w="1136" w:type="pct"/>
                  <w:gridSpan w:val="3"/>
                  <w:shd w:val="clear" w:color="auto" w:fill="7E7E7E"/>
                  <w:noWrap w:val="0"/>
                  <w:tcMar>
                    <w:top w:w="0" w:type="dxa"/>
                    <w:left w:w="0" w:type="dxa"/>
                    <w:bottom w:w="0" w:type="dxa"/>
                    <w:right w:w="0" w:type="dxa"/>
                  </w:tcMar>
                  <w:vAlign w:val="center"/>
                </w:tcPr>
                <w:p w14:paraId="56EDAEC7">
                  <w:pPr>
                    <w:snapToGrid w:val="0"/>
                    <w:jc w:val="center"/>
                    <w:rPr>
                      <w:color w:val="auto"/>
                      <w:szCs w:val="21"/>
                    </w:rPr>
                  </w:pPr>
                  <w:r>
                    <w:rPr>
                      <w:color w:val="auto"/>
                      <w:szCs w:val="21"/>
                    </w:rPr>
                    <w:t>0.021</w:t>
                  </w:r>
                </w:p>
              </w:tc>
              <w:tc>
                <w:tcPr>
                  <w:tcW w:w="1136" w:type="pct"/>
                  <w:gridSpan w:val="3"/>
                  <w:noWrap w:val="0"/>
                  <w:tcMar>
                    <w:top w:w="0" w:type="dxa"/>
                    <w:left w:w="0" w:type="dxa"/>
                    <w:bottom w:w="0" w:type="dxa"/>
                    <w:right w:w="0" w:type="dxa"/>
                  </w:tcMar>
                  <w:vAlign w:val="center"/>
                </w:tcPr>
                <w:p w14:paraId="7DDABDD2">
                  <w:pPr>
                    <w:snapToGrid w:val="0"/>
                    <w:jc w:val="center"/>
                    <w:rPr>
                      <w:color w:val="auto"/>
                      <w:szCs w:val="21"/>
                    </w:rPr>
                  </w:pPr>
                  <w:r>
                    <w:rPr>
                      <w:color w:val="auto"/>
                      <w:szCs w:val="21"/>
                    </w:rPr>
                    <w:t>0.036</w:t>
                  </w:r>
                </w:p>
              </w:tc>
              <w:tc>
                <w:tcPr>
                  <w:tcW w:w="1136" w:type="pct"/>
                  <w:gridSpan w:val="3"/>
                  <w:noWrap w:val="0"/>
                  <w:tcMar>
                    <w:top w:w="0" w:type="dxa"/>
                    <w:left w:w="0" w:type="dxa"/>
                    <w:bottom w:w="0" w:type="dxa"/>
                    <w:right w:w="0" w:type="dxa"/>
                  </w:tcMar>
                  <w:vAlign w:val="center"/>
                </w:tcPr>
                <w:p w14:paraId="55A37DCD">
                  <w:pPr>
                    <w:snapToGrid w:val="0"/>
                    <w:jc w:val="center"/>
                    <w:rPr>
                      <w:color w:val="auto"/>
                      <w:szCs w:val="21"/>
                    </w:rPr>
                  </w:pPr>
                  <w:r>
                    <w:rPr>
                      <w:color w:val="auto"/>
                      <w:szCs w:val="21"/>
                    </w:rPr>
                    <w:t>0.036</w:t>
                  </w:r>
                </w:p>
              </w:tc>
            </w:tr>
            <w:tr w14:paraId="13BDB375">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restart"/>
                  <w:noWrap w:val="0"/>
                  <w:tcMar>
                    <w:top w:w="0" w:type="dxa"/>
                    <w:left w:w="0" w:type="dxa"/>
                    <w:bottom w:w="0" w:type="dxa"/>
                    <w:right w:w="0" w:type="dxa"/>
                  </w:tcMar>
                  <w:vAlign w:val="center"/>
                </w:tcPr>
                <w:p w14:paraId="62F16180">
                  <w:pPr>
                    <w:snapToGrid w:val="0"/>
                    <w:jc w:val="center"/>
                    <w:rPr>
                      <w:color w:val="auto"/>
                      <w:szCs w:val="21"/>
                    </w:rPr>
                  </w:pPr>
                  <w:r>
                    <w:rPr>
                      <w:color w:val="auto"/>
                      <w:szCs w:val="21"/>
                    </w:rPr>
                    <w:t>C</w:t>
                  </w:r>
                </w:p>
              </w:tc>
              <w:tc>
                <w:tcPr>
                  <w:tcW w:w="776" w:type="pct"/>
                  <w:noWrap w:val="0"/>
                  <w:tcMar>
                    <w:top w:w="0" w:type="dxa"/>
                    <w:left w:w="0" w:type="dxa"/>
                    <w:bottom w:w="0" w:type="dxa"/>
                    <w:right w:w="0" w:type="dxa"/>
                  </w:tcMar>
                  <w:vAlign w:val="center"/>
                </w:tcPr>
                <w:p w14:paraId="20358127">
                  <w:pPr>
                    <w:snapToGrid w:val="0"/>
                    <w:jc w:val="center"/>
                    <w:rPr>
                      <w:color w:val="auto"/>
                      <w:szCs w:val="21"/>
                    </w:rPr>
                  </w:pPr>
                  <w:r>
                    <w:rPr>
                      <w:color w:val="auto"/>
                      <w:szCs w:val="21"/>
                    </w:rPr>
                    <w:t>＜2</w:t>
                  </w:r>
                </w:p>
              </w:tc>
              <w:tc>
                <w:tcPr>
                  <w:tcW w:w="1136" w:type="pct"/>
                  <w:gridSpan w:val="3"/>
                  <w:noWrap w:val="0"/>
                  <w:tcMar>
                    <w:top w:w="0" w:type="dxa"/>
                    <w:left w:w="0" w:type="dxa"/>
                    <w:bottom w:w="0" w:type="dxa"/>
                    <w:right w:w="0" w:type="dxa"/>
                  </w:tcMar>
                  <w:vAlign w:val="center"/>
                </w:tcPr>
                <w:p w14:paraId="72E79B34">
                  <w:pPr>
                    <w:snapToGrid w:val="0"/>
                    <w:jc w:val="center"/>
                    <w:rPr>
                      <w:color w:val="auto"/>
                      <w:szCs w:val="21"/>
                    </w:rPr>
                  </w:pPr>
                  <w:r>
                    <w:rPr>
                      <w:rFonts w:ascii="Times New Roman" w:hAnsi="Times New Roman" w:eastAsia="宋体" w:cs="Times New Roman"/>
                      <w:color w:val="auto"/>
                      <w:szCs w:val="21"/>
                    </w:rPr>
                    <w:t>1.85</w:t>
                  </w:r>
                </w:p>
              </w:tc>
              <w:tc>
                <w:tcPr>
                  <w:tcW w:w="1136" w:type="pct"/>
                  <w:gridSpan w:val="3"/>
                  <w:noWrap w:val="0"/>
                  <w:tcMar>
                    <w:top w:w="0" w:type="dxa"/>
                    <w:left w:w="0" w:type="dxa"/>
                    <w:bottom w:w="0" w:type="dxa"/>
                    <w:right w:w="0" w:type="dxa"/>
                  </w:tcMar>
                  <w:vAlign w:val="center"/>
                </w:tcPr>
                <w:p w14:paraId="78C5B406">
                  <w:pPr>
                    <w:snapToGrid w:val="0"/>
                    <w:jc w:val="center"/>
                    <w:rPr>
                      <w:color w:val="auto"/>
                      <w:szCs w:val="21"/>
                    </w:rPr>
                  </w:pPr>
                  <w:r>
                    <w:rPr>
                      <w:color w:val="auto"/>
                      <w:szCs w:val="21"/>
                    </w:rPr>
                    <w:t>1.79</w:t>
                  </w:r>
                </w:p>
              </w:tc>
              <w:tc>
                <w:tcPr>
                  <w:tcW w:w="1136" w:type="pct"/>
                  <w:gridSpan w:val="3"/>
                  <w:noWrap w:val="0"/>
                  <w:tcMar>
                    <w:top w:w="0" w:type="dxa"/>
                    <w:left w:w="0" w:type="dxa"/>
                    <w:bottom w:w="0" w:type="dxa"/>
                    <w:right w:w="0" w:type="dxa"/>
                  </w:tcMar>
                  <w:vAlign w:val="center"/>
                </w:tcPr>
                <w:p w14:paraId="7FE746C4">
                  <w:pPr>
                    <w:snapToGrid w:val="0"/>
                    <w:jc w:val="center"/>
                    <w:rPr>
                      <w:color w:val="auto"/>
                      <w:szCs w:val="21"/>
                    </w:rPr>
                  </w:pPr>
                  <w:r>
                    <w:rPr>
                      <w:color w:val="auto"/>
                      <w:szCs w:val="21"/>
                    </w:rPr>
                    <w:t>1.79</w:t>
                  </w:r>
                </w:p>
              </w:tc>
            </w:tr>
            <w:tr w14:paraId="56A585D6">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continue"/>
                  <w:shd w:val="clear" w:color="auto" w:fill="auto"/>
                  <w:noWrap w:val="0"/>
                  <w:tcMar>
                    <w:top w:w="0" w:type="dxa"/>
                    <w:left w:w="0" w:type="dxa"/>
                    <w:bottom w:w="0" w:type="dxa"/>
                    <w:right w:w="0" w:type="dxa"/>
                  </w:tcMar>
                  <w:vAlign w:val="center"/>
                </w:tcPr>
                <w:p w14:paraId="0BA748AC">
                  <w:pPr>
                    <w:snapToGrid w:val="0"/>
                    <w:jc w:val="center"/>
                    <w:rPr>
                      <w:color w:val="auto"/>
                      <w:szCs w:val="21"/>
                    </w:rPr>
                  </w:pPr>
                </w:p>
              </w:tc>
              <w:tc>
                <w:tcPr>
                  <w:tcW w:w="776" w:type="pct"/>
                  <w:shd w:val="clear" w:color="auto" w:fill="auto"/>
                  <w:noWrap w:val="0"/>
                  <w:tcMar>
                    <w:top w:w="0" w:type="dxa"/>
                    <w:left w:w="0" w:type="dxa"/>
                    <w:bottom w:w="0" w:type="dxa"/>
                    <w:right w:w="0" w:type="dxa"/>
                  </w:tcMar>
                  <w:vAlign w:val="center"/>
                </w:tcPr>
                <w:p w14:paraId="6739A520">
                  <w:pPr>
                    <w:snapToGrid w:val="0"/>
                    <w:jc w:val="center"/>
                    <w:rPr>
                      <w:color w:val="auto"/>
                      <w:szCs w:val="21"/>
                    </w:rPr>
                  </w:pPr>
                  <w:r>
                    <w:rPr>
                      <w:color w:val="auto"/>
                      <w:szCs w:val="21"/>
                    </w:rPr>
                    <w:t>＞2</w:t>
                  </w:r>
                </w:p>
              </w:tc>
              <w:tc>
                <w:tcPr>
                  <w:tcW w:w="1136" w:type="pct"/>
                  <w:gridSpan w:val="3"/>
                  <w:shd w:val="clear" w:color="auto" w:fill="7E7E7E"/>
                  <w:noWrap w:val="0"/>
                  <w:tcMar>
                    <w:top w:w="0" w:type="dxa"/>
                    <w:left w:w="0" w:type="dxa"/>
                    <w:bottom w:w="0" w:type="dxa"/>
                    <w:right w:w="0" w:type="dxa"/>
                  </w:tcMar>
                  <w:vAlign w:val="center"/>
                </w:tcPr>
                <w:p w14:paraId="0D82416F">
                  <w:pPr>
                    <w:snapToGrid w:val="0"/>
                    <w:jc w:val="center"/>
                    <w:rPr>
                      <w:color w:val="auto"/>
                      <w:szCs w:val="21"/>
                    </w:rPr>
                  </w:pPr>
                  <w:r>
                    <w:rPr>
                      <w:color w:val="auto"/>
                      <w:szCs w:val="21"/>
                    </w:rPr>
                    <w:t>1.85</w:t>
                  </w:r>
                </w:p>
              </w:tc>
              <w:tc>
                <w:tcPr>
                  <w:tcW w:w="1136" w:type="pct"/>
                  <w:gridSpan w:val="3"/>
                  <w:noWrap w:val="0"/>
                  <w:tcMar>
                    <w:top w:w="0" w:type="dxa"/>
                    <w:left w:w="0" w:type="dxa"/>
                    <w:bottom w:w="0" w:type="dxa"/>
                    <w:right w:w="0" w:type="dxa"/>
                  </w:tcMar>
                  <w:vAlign w:val="center"/>
                </w:tcPr>
                <w:p w14:paraId="2D418AD1">
                  <w:pPr>
                    <w:snapToGrid w:val="0"/>
                    <w:jc w:val="center"/>
                    <w:rPr>
                      <w:color w:val="auto"/>
                      <w:szCs w:val="21"/>
                    </w:rPr>
                  </w:pPr>
                  <w:r>
                    <w:rPr>
                      <w:color w:val="auto"/>
                      <w:szCs w:val="21"/>
                    </w:rPr>
                    <w:t>1.77</w:t>
                  </w:r>
                </w:p>
              </w:tc>
              <w:tc>
                <w:tcPr>
                  <w:tcW w:w="1136" w:type="pct"/>
                  <w:gridSpan w:val="3"/>
                  <w:noWrap w:val="0"/>
                  <w:tcMar>
                    <w:top w:w="0" w:type="dxa"/>
                    <w:left w:w="0" w:type="dxa"/>
                    <w:bottom w:w="0" w:type="dxa"/>
                    <w:right w:w="0" w:type="dxa"/>
                  </w:tcMar>
                  <w:vAlign w:val="center"/>
                </w:tcPr>
                <w:p w14:paraId="6DEFABF7">
                  <w:pPr>
                    <w:snapToGrid w:val="0"/>
                    <w:jc w:val="center"/>
                    <w:rPr>
                      <w:color w:val="auto"/>
                      <w:szCs w:val="21"/>
                    </w:rPr>
                  </w:pPr>
                  <w:r>
                    <w:rPr>
                      <w:color w:val="auto"/>
                      <w:szCs w:val="21"/>
                    </w:rPr>
                    <w:t>1.77</w:t>
                  </w:r>
                </w:p>
              </w:tc>
            </w:tr>
            <w:tr w14:paraId="3C00AD2B">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restart"/>
                  <w:noWrap w:val="0"/>
                  <w:tcMar>
                    <w:top w:w="0" w:type="dxa"/>
                    <w:left w:w="0" w:type="dxa"/>
                    <w:bottom w:w="0" w:type="dxa"/>
                    <w:right w:w="0" w:type="dxa"/>
                  </w:tcMar>
                  <w:vAlign w:val="center"/>
                </w:tcPr>
                <w:p w14:paraId="64E26A3C">
                  <w:pPr>
                    <w:snapToGrid w:val="0"/>
                    <w:jc w:val="center"/>
                    <w:rPr>
                      <w:color w:val="auto"/>
                      <w:szCs w:val="21"/>
                    </w:rPr>
                  </w:pPr>
                  <w:r>
                    <w:rPr>
                      <w:color w:val="auto"/>
                      <w:szCs w:val="21"/>
                    </w:rPr>
                    <w:t>D</w:t>
                  </w:r>
                </w:p>
              </w:tc>
              <w:tc>
                <w:tcPr>
                  <w:tcW w:w="776" w:type="pct"/>
                  <w:noWrap w:val="0"/>
                  <w:tcMar>
                    <w:top w:w="0" w:type="dxa"/>
                    <w:left w:w="0" w:type="dxa"/>
                    <w:bottom w:w="0" w:type="dxa"/>
                    <w:right w:w="0" w:type="dxa"/>
                  </w:tcMar>
                  <w:vAlign w:val="center"/>
                </w:tcPr>
                <w:p w14:paraId="56A9D28A">
                  <w:pPr>
                    <w:snapToGrid w:val="0"/>
                    <w:jc w:val="center"/>
                    <w:rPr>
                      <w:color w:val="auto"/>
                      <w:szCs w:val="21"/>
                    </w:rPr>
                  </w:pPr>
                  <w:r>
                    <w:rPr>
                      <w:color w:val="auto"/>
                      <w:szCs w:val="21"/>
                    </w:rPr>
                    <w:t>＜2</w:t>
                  </w:r>
                </w:p>
              </w:tc>
              <w:tc>
                <w:tcPr>
                  <w:tcW w:w="1136" w:type="pct"/>
                  <w:gridSpan w:val="3"/>
                  <w:noWrap w:val="0"/>
                  <w:tcMar>
                    <w:top w:w="0" w:type="dxa"/>
                    <w:left w:w="0" w:type="dxa"/>
                    <w:bottom w:w="0" w:type="dxa"/>
                    <w:right w:w="0" w:type="dxa"/>
                  </w:tcMar>
                  <w:vAlign w:val="center"/>
                </w:tcPr>
                <w:p w14:paraId="1DB8880A">
                  <w:pPr>
                    <w:snapToGrid w:val="0"/>
                    <w:jc w:val="center"/>
                    <w:rPr>
                      <w:color w:val="auto"/>
                      <w:szCs w:val="21"/>
                    </w:rPr>
                  </w:pPr>
                  <w:r>
                    <w:rPr>
                      <w:color w:val="auto"/>
                      <w:szCs w:val="21"/>
                    </w:rPr>
                    <w:t>0.78</w:t>
                  </w:r>
                </w:p>
              </w:tc>
              <w:tc>
                <w:tcPr>
                  <w:tcW w:w="1136" w:type="pct"/>
                  <w:gridSpan w:val="3"/>
                  <w:noWrap w:val="0"/>
                  <w:tcMar>
                    <w:top w:w="0" w:type="dxa"/>
                    <w:left w:w="0" w:type="dxa"/>
                    <w:bottom w:w="0" w:type="dxa"/>
                    <w:right w:w="0" w:type="dxa"/>
                  </w:tcMar>
                  <w:vAlign w:val="center"/>
                </w:tcPr>
                <w:p w14:paraId="2AC1CA8A">
                  <w:pPr>
                    <w:snapToGrid w:val="0"/>
                    <w:jc w:val="center"/>
                    <w:rPr>
                      <w:color w:val="auto"/>
                      <w:szCs w:val="21"/>
                    </w:rPr>
                  </w:pPr>
                  <w:r>
                    <w:rPr>
                      <w:color w:val="auto"/>
                      <w:szCs w:val="21"/>
                    </w:rPr>
                    <w:t>0.78</w:t>
                  </w:r>
                </w:p>
              </w:tc>
              <w:tc>
                <w:tcPr>
                  <w:tcW w:w="1136" w:type="pct"/>
                  <w:gridSpan w:val="3"/>
                  <w:noWrap w:val="0"/>
                  <w:tcMar>
                    <w:top w:w="0" w:type="dxa"/>
                    <w:left w:w="0" w:type="dxa"/>
                    <w:bottom w:w="0" w:type="dxa"/>
                    <w:right w:w="0" w:type="dxa"/>
                  </w:tcMar>
                  <w:vAlign w:val="center"/>
                </w:tcPr>
                <w:p w14:paraId="093D5DE7">
                  <w:pPr>
                    <w:snapToGrid w:val="0"/>
                    <w:jc w:val="center"/>
                    <w:rPr>
                      <w:color w:val="auto"/>
                      <w:szCs w:val="21"/>
                    </w:rPr>
                  </w:pPr>
                  <w:r>
                    <w:rPr>
                      <w:color w:val="auto"/>
                      <w:szCs w:val="21"/>
                    </w:rPr>
                    <w:t>0.57</w:t>
                  </w:r>
                </w:p>
              </w:tc>
            </w:tr>
            <w:tr w14:paraId="645345DF">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13" w:type="pct"/>
                  <w:vMerge w:val="continue"/>
                  <w:shd w:val="clear" w:color="auto" w:fill="auto"/>
                  <w:noWrap w:val="0"/>
                  <w:tcMar>
                    <w:top w:w="0" w:type="dxa"/>
                    <w:left w:w="0" w:type="dxa"/>
                    <w:bottom w:w="0" w:type="dxa"/>
                    <w:right w:w="0" w:type="dxa"/>
                  </w:tcMar>
                  <w:vAlign w:val="center"/>
                </w:tcPr>
                <w:p w14:paraId="361B4A63">
                  <w:pPr>
                    <w:snapToGrid w:val="0"/>
                    <w:jc w:val="center"/>
                    <w:rPr>
                      <w:color w:val="auto"/>
                      <w:szCs w:val="21"/>
                    </w:rPr>
                  </w:pPr>
                </w:p>
              </w:tc>
              <w:tc>
                <w:tcPr>
                  <w:tcW w:w="776" w:type="pct"/>
                  <w:shd w:val="clear" w:color="auto" w:fill="auto"/>
                  <w:noWrap w:val="0"/>
                  <w:tcMar>
                    <w:top w:w="0" w:type="dxa"/>
                    <w:left w:w="0" w:type="dxa"/>
                    <w:bottom w:w="0" w:type="dxa"/>
                    <w:right w:w="0" w:type="dxa"/>
                  </w:tcMar>
                  <w:vAlign w:val="center"/>
                </w:tcPr>
                <w:p w14:paraId="70098BC0">
                  <w:pPr>
                    <w:snapToGrid w:val="0"/>
                    <w:jc w:val="center"/>
                    <w:rPr>
                      <w:color w:val="auto"/>
                      <w:szCs w:val="21"/>
                    </w:rPr>
                  </w:pPr>
                  <w:r>
                    <w:rPr>
                      <w:color w:val="auto"/>
                      <w:szCs w:val="21"/>
                    </w:rPr>
                    <w:t>＞2</w:t>
                  </w:r>
                </w:p>
              </w:tc>
              <w:tc>
                <w:tcPr>
                  <w:tcW w:w="1136" w:type="pct"/>
                  <w:gridSpan w:val="3"/>
                  <w:shd w:val="clear" w:color="auto" w:fill="7E7E7E"/>
                  <w:noWrap w:val="0"/>
                  <w:tcMar>
                    <w:top w:w="0" w:type="dxa"/>
                    <w:left w:w="0" w:type="dxa"/>
                    <w:bottom w:w="0" w:type="dxa"/>
                    <w:right w:w="0" w:type="dxa"/>
                  </w:tcMar>
                  <w:vAlign w:val="center"/>
                </w:tcPr>
                <w:p w14:paraId="4765A440">
                  <w:pPr>
                    <w:snapToGrid w:val="0"/>
                    <w:jc w:val="center"/>
                    <w:rPr>
                      <w:color w:val="auto"/>
                      <w:szCs w:val="21"/>
                    </w:rPr>
                  </w:pPr>
                  <w:r>
                    <w:rPr>
                      <w:color w:val="auto"/>
                      <w:szCs w:val="21"/>
                    </w:rPr>
                    <w:t>0.84</w:t>
                  </w:r>
                </w:p>
              </w:tc>
              <w:tc>
                <w:tcPr>
                  <w:tcW w:w="1136" w:type="pct"/>
                  <w:gridSpan w:val="3"/>
                  <w:noWrap w:val="0"/>
                  <w:tcMar>
                    <w:top w:w="0" w:type="dxa"/>
                    <w:left w:w="0" w:type="dxa"/>
                    <w:bottom w:w="0" w:type="dxa"/>
                    <w:right w:w="0" w:type="dxa"/>
                  </w:tcMar>
                  <w:vAlign w:val="center"/>
                </w:tcPr>
                <w:p w14:paraId="72E0E917">
                  <w:pPr>
                    <w:snapToGrid w:val="0"/>
                    <w:jc w:val="center"/>
                    <w:rPr>
                      <w:color w:val="auto"/>
                      <w:szCs w:val="21"/>
                    </w:rPr>
                  </w:pPr>
                  <w:r>
                    <w:rPr>
                      <w:color w:val="auto"/>
                      <w:szCs w:val="21"/>
                    </w:rPr>
                    <w:t>0.84</w:t>
                  </w:r>
                </w:p>
              </w:tc>
              <w:tc>
                <w:tcPr>
                  <w:tcW w:w="1136" w:type="pct"/>
                  <w:gridSpan w:val="3"/>
                  <w:noWrap w:val="0"/>
                  <w:tcMar>
                    <w:top w:w="0" w:type="dxa"/>
                    <w:left w:w="0" w:type="dxa"/>
                    <w:bottom w:w="0" w:type="dxa"/>
                    <w:right w:w="0" w:type="dxa"/>
                  </w:tcMar>
                  <w:vAlign w:val="center"/>
                </w:tcPr>
                <w:p w14:paraId="4B764707">
                  <w:pPr>
                    <w:snapToGrid w:val="0"/>
                    <w:jc w:val="center"/>
                    <w:rPr>
                      <w:color w:val="auto"/>
                      <w:szCs w:val="21"/>
                    </w:rPr>
                  </w:pPr>
                  <w:r>
                    <w:rPr>
                      <w:color w:val="auto"/>
                      <w:szCs w:val="21"/>
                    </w:rPr>
                    <w:t>0.76</w:t>
                  </w:r>
                </w:p>
              </w:tc>
            </w:tr>
          </w:tbl>
          <w:p w14:paraId="7989B52F">
            <w:pPr>
              <w:adjustRightInd w:val="0"/>
              <w:snapToGrid w:val="0"/>
              <w:spacing w:before="120" w:beforeLines="50" w:line="360" w:lineRule="auto"/>
              <w:ind w:firstLine="420" w:firstLineChars="200"/>
              <w:jc w:val="left"/>
              <w:rPr>
                <w:bCs/>
                <w:color w:val="auto"/>
                <w:szCs w:val="21"/>
              </w:rPr>
            </w:pPr>
            <w:r>
              <w:rPr>
                <w:bCs/>
                <w:color w:val="auto"/>
                <w:szCs w:val="21"/>
              </w:rPr>
              <w:t>经计算，本项目卫生防护距离计算结果见下表。</w:t>
            </w:r>
          </w:p>
          <w:p w14:paraId="4E1925A1">
            <w:pPr>
              <w:keepNext w:val="0"/>
              <w:keepLines w:val="0"/>
              <w:pageBreakBefore w:val="0"/>
              <w:widowControl w:val="0"/>
              <w:kinsoku/>
              <w:wordWrap/>
              <w:overflowPunct/>
              <w:topLinePunct w:val="0"/>
              <w:autoSpaceDE/>
              <w:autoSpaceDN/>
              <w:bidi w:val="0"/>
              <w:adjustRightInd w:val="0"/>
              <w:snapToGrid w:val="0"/>
              <w:jc w:val="center"/>
              <w:textAlignment w:val="auto"/>
              <w:rPr>
                <w:b/>
                <w:bCs/>
                <w:color w:val="auto"/>
                <w:szCs w:val="21"/>
              </w:rPr>
            </w:pPr>
            <w:r>
              <w:rPr>
                <w:b/>
                <w:bCs/>
                <w:color w:val="auto"/>
                <w:szCs w:val="21"/>
              </w:rPr>
              <w:t>表4-</w:t>
            </w:r>
            <w:r>
              <w:rPr>
                <w:rFonts w:hint="eastAsia"/>
                <w:b/>
                <w:bCs/>
                <w:color w:val="auto"/>
                <w:szCs w:val="21"/>
                <w:lang w:val="en-US" w:eastAsia="zh-CN"/>
              </w:rPr>
              <w:t>15</w:t>
            </w:r>
            <w:r>
              <w:rPr>
                <w:b/>
                <w:bCs/>
                <w:color w:val="auto"/>
                <w:szCs w:val="21"/>
              </w:rPr>
              <w:t xml:space="preserve"> 卫生防护距离计算结果表</w:t>
            </w:r>
          </w:p>
          <w:tbl>
            <w:tblPr>
              <w:tblStyle w:val="28"/>
              <w:tblW w:w="5000" w:type="pct"/>
              <w:tblInd w:w="0"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951"/>
              <w:gridCol w:w="1061"/>
              <w:gridCol w:w="738"/>
              <w:gridCol w:w="759"/>
              <w:gridCol w:w="1070"/>
              <w:gridCol w:w="543"/>
              <w:gridCol w:w="629"/>
              <w:gridCol w:w="563"/>
              <w:gridCol w:w="656"/>
              <w:gridCol w:w="738"/>
              <w:gridCol w:w="672"/>
            </w:tblGrid>
            <w:tr w14:paraId="0388143A">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67" w:type="pct"/>
                  <w:vMerge w:val="restart"/>
                  <w:noWrap w:val="0"/>
                  <w:tcMar>
                    <w:top w:w="0" w:type="dxa"/>
                    <w:left w:w="0" w:type="dxa"/>
                    <w:bottom w:w="0" w:type="dxa"/>
                    <w:right w:w="0" w:type="dxa"/>
                  </w:tcMar>
                  <w:vAlign w:val="center"/>
                </w:tcPr>
                <w:p w14:paraId="50B586D4">
                  <w:pPr>
                    <w:spacing w:line="240" w:lineRule="exact"/>
                    <w:jc w:val="center"/>
                    <w:rPr>
                      <w:b/>
                      <w:bCs/>
                      <w:color w:val="auto"/>
                      <w:szCs w:val="21"/>
                    </w:rPr>
                  </w:pPr>
                  <w:r>
                    <w:rPr>
                      <w:b/>
                      <w:bCs/>
                      <w:color w:val="auto"/>
                      <w:szCs w:val="21"/>
                    </w:rPr>
                    <w:t>面源名称</w:t>
                  </w:r>
                </w:p>
              </w:tc>
              <w:tc>
                <w:tcPr>
                  <w:tcW w:w="633" w:type="pct"/>
                  <w:vMerge w:val="restart"/>
                  <w:noWrap w:val="0"/>
                  <w:tcMar>
                    <w:top w:w="0" w:type="dxa"/>
                    <w:left w:w="0" w:type="dxa"/>
                    <w:bottom w:w="0" w:type="dxa"/>
                    <w:right w:w="0" w:type="dxa"/>
                  </w:tcMar>
                  <w:vAlign w:val="center"/>
                </w:tcPr>
                <w:p w14:paraId="45DDC968">
                  <w:pPr>
                    <w:jc w:val="center"/>
                    <w:rPr>
                      <w:b/>
                      <w:bCs/>
                      <w:color w:val="auto"/>
                      <w:szCs w:val="21"/>
                    </w:rPr>
                  </w:pPr>
                  <w:r>
                    <w:rPr>
                      <w:b/>
                      <w:bCs/>
                      <w:color w:val="auto"/>
                      <w:szCs w:val="21"/>
                    </w:rPr>
                    <w:t>污染物</w:t>
                  </w:r>
                </w:p>
              </w:tc>
              <w:tc>
                <w:tcPr>
                  <w:tcW w:w="440" w:type="pct"/>
                  <w:vMerge w:val="restart"/>
                  <w:noWrap w:val="0"/>
                  <w:tcMar>
                    <w:top w:w="0" w:type="dxa"/>
                    <w:left w:w="0" w:type="dxa"/>
                    <w:bottom w:w="0" w:type="dxa"/>
                    <w:right w:w="0" w:type="dxa"/>
                  </w:tcMar>
                  <w:vAlign w:val="center"/>
                </w:tcPr>
                <w:p w14:paraId="06D70FB9">
                  <w:pPr>
                    <w:jc w:val="center"/>
                    <w:rPr>
                      <w:b/>
                      <w:bCs/>
                      <w:color w:val="auto"/>
                      <w:szCs w:val="21"/>
                    </w:rPr>
                  </w:pPr>
                  <w:r>
                    <w:rPr>
                      <w:b/>
                      <w:bCs/>
                      <w:color w:val="auto"/>
                      <w:szCs w:val="21"/>
                    </w:rPr>
                    <w:t>产生量kg/h</w:t>
                  </w:r>
                </w:p>
              </w:tc>
              <w:tc>
                <w:tcPr>
                  <w:tcW w:w="452" w:type="pct"/>
                  <w:vMerge w:val="restart"/>
                  <w:noWrap w:val="0"/>
                  <w:tcMar>
                    <w:top w:w="0" w:type="dxa"/>
                    <w:left w:w="0" w:type="dxa"/>
                    <w:bottom w:w="0" w:type="dxa"/>
                    <w:right w:w="0" w:type="dxa"/>
                  </w:tcMar>
                  <w:vAlign w:val="center"/>
                </w:tcPr>
                <w:p w14:paraId="3E71E6DF">
                  <w:pPr>
                    <w:jc w:val="center"/>
                    <w:rPr>
                      <w:b/>
                      <w:bCs/>
                      <w:color w:val="auto"/>
                      <w:szCs w:val="21"/>
                    </w:rPr>
                  </w:pPr>
                  <w:r>
                    <w:rPr>
                      <w:b/>
                      <w:bCs/>
                      <w:color w:val="auto"/>
                      <w:szCs w:val="21"/>
                    </w:rPr>
                    <w:t>面源面积m</w:t>
                  </w:r>
                  <w:r>
                    <w:rPr>
                      <w:b/>
                      <w:bCs/>
                      <w:color w:val="auto"/>
                      <w:szCs w:val="21"/>
                      <w:vertAlign w:val="superscript"/>
                    </w:rPr>
                    <w:t>2</w:t>
                  </w:r>
                </w:p>
              </w:tc>
              <w:tc>
                <w:tcPr>
                  <w:tcW w:w="2065" w:type="pct"/>
                  <w:gridSpan w:val="5"/>
                  <w:noWrap w:val="0"/>
                  <w:tcMar>
                    <w:top w:w="0" w:type="dxa"/>
                    <w:left w:w="0" w:type="dxa"/>
                    <w:bottom w:w="0" w:type="dxa"/>
                    <w:right w:w="0" w:type="dxa"/>
                  </w:tcMar>
                  <w:vAlign w:val="center"/>
                </w:tcPr>
                <w:p w14:paraId="1C9A2E71">
                  <w:pPr>
                    <w:jc w:val="center"/>
                    <w:rPr>
                      <w:b/>
                      <w:bCs/>
                      <w:color w:val="auto"/>
                      <w:szCs w:val="21"/>
                    </w:rPr>
                  </w:pPr>
                  <w:r>
                    <w:rPr>
                      <w:b/>
                      <w:bCs/>
                      <w:color w:val="auto"/>
                      <w:szCs w:val="21"/>
                    </w:rPr>
                    <w:t>计算参数</w:t>
                  </w:r>
                </w:p>
              </w:tc>
              <w:tc>
                <w:tcPr>
                  <w:tcW w:w="841" w:type="pct"/>
                  <w:gridSpan w:val="2"/>
                  <w:noWrap w:val="0"/>
                  <w:tcMar>
                    <w:top w:w="0" w:type="dxa"/>
                    <w:left w:w="0" w:type="dxa"/>
                    <w:bottom w:w="0" w:type="dxa"/>
                    <w:right w:w="0" w:type="dxa"/>
                  </w:tcMar>
                  <w:vAlign w:val="center"/>
                </w:tcPr>
                <w:p w14:paraId="24DB7BD6">
                  <w:pPr>
                    <w:jc w:val="center"/>
                    <w:rPr>
                      <w:b/>
                      <w:bCs/>
                      <w:color w:val="auto"/>
                      <w:szCs w:val="21"/>
                    </w:rPr>
                  </w:pPr>
                  <w:r>
                    <w:rPr>
                      <w:b/>
                      <w:bCs/>
                      <w:color w:val="auto"/>
                      <w:szCs w:val="21"/>
                    </w:rPr>
                    <w:t>卫生防护距离</w:t>
                  </w:r>
                </w:p>
              </w:tc>
            </w:tr>
            <w:tr w14:paraId="33D549DB">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67" w:type="pct"/>
                  <w:vMerge w:val="continue"/>
                  <w:noWrap w:val="0"/>
                  <w:tcMar>
                    <w:top w:w="0" w:type="dxa"/>
                    <w:left w:w="0" w:type="dxa"/>
                    <w:bottom w:w="0" w:type="dxa"/>
                    <w:right w:w="0" w:type="dxa"/>
                  </w:tcMar>
                  <w:vAlign w:val="center"/>
                </w:tcPr>
                <w:p w14:paraId="75961E89">
                  <w:pPr>
                    <w:spacing w:line="240" w:lineRule="exact"/>
                    <w:jc w:val="center"/>
                    <w:rPr>
                      <w:b/>
                      <w:bCs/>
                      <w:color w:val="auto"/>
                      <w:szCs w:val="21"/>
                    </w:rPr>
                  </w:pPr>
                </w:p>
              </w:tc>
              <w:tc>
                <w:tcPr>
                  <w:tcW w:w="633" w:type="pct"/>
                  <w:vMerge w:val="continue"/>
                  <w:noWrap w:val="0"/>
                  <w:tcMar>
                    <w:top w:w="0" w:type="dxa"/>
                    <w:left w:w="0" w:type="dxa"/>
                    <w:bottom w:w="0" w:type="dxa"/>
                    <w:right w:w="0" w:type="dxa"/>
                  </w:tcMar>
                  <w:vAlign w:val="center"/>
                </w:tcPr>
                <w:p w14:paraId="7ABD2B3F">
                  <w:pPr>
                    <w:jc w:val="center"/>
                    <w:rPr>
                      <w:b/>
                      <w:bCs/>
                      <w:color w:val="auto"/>
                      <w:szCs w:val="21"/>
                    </w:rPr>
                  </w:pPr>
                </w:p>
              </w:tc>
              <w:tc>
                <w:tcPr>
                  <w:tcW w:w="440" w:type="pct"/>
                  <w:vMerge w:val="continue"/>
                  <w:noWrap w:val="0"/>
                  <w:tcMar>
                    <w:top w:w="0" w:type="dxa"/>
                    <w:left w:w="0" w:type="dxa"/>
                    <w:bottom w:w="0" w:type="dxa"/>
                    <w:right w:w="0" w:type="dxa"/>
                  </w:tcMar>
                  <w:vAlign w:val="center"/>
                </w:tcPr>
                <w:p w14:paraId="6D0D13EA">
                  <w:pPr>
                    <w:jc w:val="center"/>
                    <w:rPr>
                      <w:b/>
                      <w:bCs/>
                      <w:color w:val="auto"/>
                      <w:szCs w:val="21"/>
                    </w:rPr>
                  </w:pPr>
                </w:p>
              </w:tc>
              <w:tc>
                <w:tcPr>
                  <w:tcW w:w="452" w:type="pct"/>
                  <w:vMerge w:val="continue"/>
                  <w:noWrap w:val="0"/>
                  <w:tcMar>
                    <w:top w:w="0" w:type="dxa"/>
                    <w:left w:w="0" w:type="dxa"/>
                    <w:bottom w:w="0" w:type="dxa"/>
                    <w:right w:w="0" w:type="dxa"/>
                  </w:tcMar>
                  <w:vAlign w:val="center"/>
                </w:tcPr>
                <w:p w14:paraId="34C7D852">
                  <w:pPr>
                    <w:jc w:val="center"/>
                    <w:rPr>
                      <w:b/>
                      <w:bCs/>
                      <w:color w:val="auto"/>
                      <w:szCs w:val="21"/>
                    </w:rPr>
                  </w:pPr>
                </w:p>
              </w:tc>
              <w:tc>
                <w:tcPr>
                  <w:tcW w:w="638" w:type="pct"/>
                  <w:noWrap w:val="0"/>
                  <w:tcMar>
                    <w:top w:w="0" w:type="dxa"/>
                    <w:left w:w="0" w:type="dxa"/>
                    <w:bottom w:w="0" w:type="dxa"/>
                    <w:right w:w="0" w:type="dxa"/>
                  </w:tcMar>
                  <w:vAlign w:val="center"/>
                </w:tcPr>
                <w:p w14:paraId="41E1B320">
                  <w:pPr>
                    <w:jc w:val="center"/>
                    <w:rPr>
                      <w:b/>
                      <w:bCs/>
                      <w:color w:val="auto"/>
                      <w:szCs w:val="21"/>
                    </w:rPr>
                  </w:pPr>
                  <w:r>
                    <w:rPr>
                      <w:b/>
                      <w:bCs/>
                      <w:color w:val="auto"/>
                      <w:szCs w:val="21"/>
                    </w:rPr>
                    <w:t>C</w:t>
                  </w:r>
                  <w:r>
                    <w:rPr>
                      <w:b/>
                      <w:bCs/>
                      <w:color w:val="auto"/>
                      <w:szCs w:val="21"/>
                      <w:vertAlign w:val="subscript"/>
                    </w:rPr>
                    <w:t>m</w:t>
                  </w:r>
                  <w:r>
                    <w:rPr>
                      <w:b/>
                      <w:bCs/>
                      <w:color w:val="auto"/>
                      <w:szCs w:val="21"/>
                    </w:rPr>
                    <w:t>mg/m</w:t>
                  </w:r>
                  <w:r>
                    <w:rPr>
                      <w:b/>
                      <w:bCs/>
                      <w:color w:val="auto"/>
                      <w:szCs w:val="21"/>
                      <w:vertAlign w:val="superscript"/>
                    </w:rPr>
                    <w:t>3</w:t>
                  </w:r>
                </w:p>
              </w:tc>
              <w:tc>
                <w:tcPr>
                  <w:tcW w:w="323" w:type="pct"/>
                  <w:noWrap w:val="0"/>
                  <w:tcMar>
                    <w:top w:w="0" w:type="dxa"/>
                    <w:left w:w="0" w:type="dxa"/>
                    <w:bottom w:w="0" w:type="dxa"/>
                    <w:right w:w="0" w:type="dxa"/>
                  </w:tcMar>
                  <w:vAlign w:val="center"/>
                </w:tcPr>
                <w:p w14:paraId="5821FCFF">
                  <w:pPr>
                    <w:jc w:val="center"/>
                    <w:rPr>
                      <w:b/>
                      <w:bCs/>
                      <w:color w:val="auto"/>
                      <w:szCs w:val="21"/>
                    </w:rPr>
                  </w:pPr>
                  <w:r>
                    <w:rPr>
                      <w:b/>
                      <w:bCs/>
                      <w:color w:val="auto"/>
                      <w:szCs w:val="21"/>
                    </w:rPr>
                    <w:t>A</w:t>
                  </w:r>
                </w:p>
              </w:tc>
              <w:tc>
                <w:tcPr>
                  <w:tcW w:w="375" w:type="pct"/>
                  <w:noWrap w:val="0"/>
                  <w:tcMar>
                    <w:top w:w="0" w:type="dxa"/>
                    <w:left w:w="0" w:type="dxa"/>
                    <w:bottom w:w="0" w:type="dxa"/>
                    <w:right w:w="0" w:type="dxa"/>
                  </w:tcMar>
                  <w:vAlign w:val="center"/>
                </w:tcPr>
                <w:p w14:paraId="51B7F870">
                  <w:pPr>
                    <w:jc w:val="center"/>
                    <w:rPr>
                      <w:b/>
                      <w:bCs/>
                      <w:color w:val="auto"/>
                      <w:szCs w:val="21"/>
                    </w:rPr>
                  </w:pPr>
                  <w:r>
                    <w:rPr>
                      <w:b/>
                      <w:bCs/>
                      <w:color w:val="auto"/>
                      <w:szCs w:val="21"/>
                    </w:rPr>
                    <w:t>B</w:t>
                  </w:r>
                </w:p>
              </w:tc>
              <w:tc>
                <w:tcPr>
                  <w:tcW w:w="335" w:type="pct"/>
                  <w:noWrap w:val="0"/>
                  <w:tcMar>
                    <w:top w:w="0" w:type="dxa"/>
                    <w:left w:w="0" w:type="dxa"/>
                    <w:bottom w:w="0" w:type="dxa"/>
                    <w:right w:w="0" w:type="dxa"/>
                  </w:tcMar>
                  <w:vAlign w:val="center"/>
                </w:tcPr>
                <w:p w14:paraId="48DFD4AE">
                  <w:pPr>
                    <w:jc w:val="center"/>
                    <w:rPr>
                      <w:b/>
                      <w:bCs/>
                      <w:color w:val="auto"/>
                      <w:szCs w:val="21"/>
                    </w:rPr>
                  </w:pPr>
                  <w:r>
                    <w:rPr>
                      <w:b/>
                      <w:bCs/>
                      <w:color w:val="auto"/>
                      <w:szCs w:val="21"/>
                    </w:rPr>
                    <w:t>C</w:t>
                  </w:r>
                </w:p>
              </w:tc>
              <w:tc>
                <w:tcPr>
                  <w:tcW w:w="391" w:type="pct"/>
                  <w:noWrap w:val="0"/>
                  <w:tcMar>
                    <w:top w:w="0" w:type="dxa"/>
                    <w:left w:w="0" w:type="dxa"/>
                    <w:bottom w:w="0" w:type="dxa"/>
                    <w:right w:w="0" w:type="dxa"/>
                  </w:tcMar>
                  <w:vAlign w:val="center"/>
                </w:tcPr>
                <w:p w14:paraId="011B8CA0">
                  <w:pPr>
                    <w:jc w:val="center"/>
                    <w:rPr>
                      <w:b/>
                      <w:bCs/>
                      <w:color w:val="auto"/>
                      <w:szCs w:val="21"/>
                    </w:rPr>
                  </w:pPr>
                  <w:r>
                    <w:rPr>
                      <w:b/>
                      <w:bCs/>
                      <w:color w:val="auto"/>
                      <w:szCs w:val="21"/>
                    </w:rPr>
                    <w:t>D</w:t>
                  </w:r>
                </w:p>
              </w:tc>
              <w:tc>
                <w:tcPr>
                  <w:tcW w:w="440" w:type="pct"/>
                  <w:noWrap w:val="0"/>
                  <w:tcMar>
                    <w:top w:w="0" w:type="dxa"/>
                    <w:left w:w="0" w:type="dxa"/>
                    <w:bottom w:w="0" w:type="dxa"/>
                    <w:right w:w="0" w:type="dxa"/>
                  </w:tcMar>
                  <w:vAlign w:val="center"/>
                </w:tcPr>
                <w:p w14:paraId="6688CE29">
                  <w:pPr>
                    <w:jc w:val="center"/>
                    <w:rPr>
                      <w:b/>
                      <w:bCs/>
                      <w:color w:val="auto"/>
                      <w:szCs w:val="21"/>
                    </w:rPr>
                  </w:pPr>
                  <w:r>
                    <w:rPr>
                      <w:b/>
                      <w:bCs/>
                      <w:color w:val="auto"/>
                      <w:szCs w:val="21"/>
                    </w:rPr>
                    <w:t>L</w:t>
                  </w:r>
                  <w:r>
                    <w:rPr>
                      <w:b/>
                      <w:bCs/>
                      <w:color w:val="auto"/>
                      <w:szCs w:val="21"/>
                      <w:vertAlign w:val="subscript"/>
                    </w:rPr>
                    <w:t>计</w:t>
                  </w:r>
                  <w:r>
                    <w:rPr>
                      <w:b/>
                      <w:bCs/>
                      <w:color w:val="auto"/>
                      <w:szCs w:val="21"/>
                    </w:rPr>
                    <w:t>m</w:t>
                  </w:r>
                </w:p>
              </w:tc>
              <w:tc>
                <w:tcPr>
                  <w:tcW w:w="400" w:type="pct"/>
                  <w:noWrap w:val="0"/>
                  <w:tcMar>
                    <w:top w:w="0" w:type="dxa"/>
                    <w:left w:w="0" w:type="dxa"/>
                    <w:bottom w:w="0" w:type="dxa"/>
                    <w:right w:w="0" w:type="dxa"/>
                  </w:tcMar>
                  <w:vAlign w:val="center"/>
                </w:tcPr>
                <w:p w14:paraId="19D3725F">
                  <w:pPr>
                    <w:jc w:val="center"/>
                    <w:rPr>
                      <w:b/>
                      <w:bCs/>
                      <w:color w:val="auto"/>
                      <w:szCs w:val="21"/>
                      <w:vertAlign w:val="subscript"/>
                    </w:rPr>
                  </w:pPr>
                  <w:r>
                    <w:rPr>
                      <w:b/>
                      <w:bCs/>
                      <w:color w:val="auto"/>
                      <w:szCs w:val="21"/>
                    </w:rPr>
                    <w:t>L</w:t>
                  </w:r>
                  <w:r>
                    <w:rPr>
                      <w:b/>
                      <w:bCs/>
                      <w:color w:val="auto"/>
                      <w:szCs w:val="21"/>
                      <w:vertAlign w:val="subscript"/>
                    </w:rPr>
                    <w:t>卫</w:t>
                  </w:r>
                  <w:r>
                    <w:rPr>
                      <w:b/>
                      <w:bCs/>
                      <w:color w:val="auto"/>
                      <w:szCs w:val="21"/>
                    </w:rPr>
                    <w:t>m</w:t>
                  </w:r>
                </w:p>
              </w:tc>
            </w:tr>
            <w:tr w14:paraId="69CC278E">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67" w:type="pct"/>
                  <w:vMerge w:val="restart"/>
                  <w:noWrap w:val="0"/>
                  <w:tcMar>
                    <w:top w:w="0" w:type="dxa"/>
                    <w:left w:w="0" w:type="dxa"/>
                    <w:bottom w:w="0" w:type="dxa"/>
                    <w:right w:w="0" w:type="dxa"/>
                  </w:tcMar>
                  <w:vAlign w:val="center"/>
                </w:tcPr>
                <w:p w14:paraId="5604D92B">
                  <w:pPr>
                    <w:jc w:val="center"/>
                    <w:rPr>
                      <w:color w:val="auto"/>
                      <w:szCs w:val="21"/>
                    </w:rPr>
                  </w:pPr>
                  <w:r>
                    <w:rPr>
                      <w:rFonts w:hint="eastAsia"/>
                      <w:color w:val="auto"/>
                      <w:szCs w:val="21"/>
                    </w:rPr>
                    <w:t>生产车间</w:t>
                  </w:r>
                </w:p>
              </w:tc>
              <w:tc>
                <w:tcPr>
                  <w:tcW w:w="633" w:type="pct"/>
                  <w:shd w:val="clear" w:color="auto" w:fill="auto"/>
                  <w:noWrap w:val="0"/>
                  <w:tcMar>
                    <w:top w:w="0" w:type="dxa"/>
                    <w:left w:w="0" w:type="dxa"/>
                    <w:bottom w:w="0" w:type="dxa"/>
                    <w:right w:w="0" w:type="dxa"/>
                  </w:tcMar>
                  <w:vAlign w:val="center"/>
                </w:tcPr>
                <w:p w14:paraId="6CBBEC76">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非甲烷总烃</w:t>
                  </w:r>
                </w:p>
              </w:tc>
              <w:tc>
                <w:tcPr>
                  <w:tcW w:w="440" w:type="pct"/>
                  <w:shd w:val="clear" w:color="auto" w:fill="auto"/>
                  <w:noWrap w:val="0"/>
                  <w:tcMar>
                    <w:top w:w="0" w:type="dxa"/>
                    <w:left w:w="0" w:type="dxa"/>
                    <w:bottom w:w="0" w:type="dxa"/>
                    <w:right w:w="0" w:type="dxa"/>
                  </w:tcMar>
                  <w:vAlign w:val="center"/>
                </w:tcPr>
                <w:p w14:paraId="0CD6DF85">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0.0133</w:t>
                  </w:r>
                </w:p>
              </w:tc>
              <w:tc>
                <w:tcPr>
                  <w:tcW w:w="452" w:type="pct"/>
                  <w:vMerge w:val="restart"/>
                  <w:noWrap w:val="0"/>
                  <w:tcMar>
                    <w:top w:w="0" w:type="dxa"/>
                    <w:left w:w="0" w:type="dxa"/>
                    <w:bottom w:w="0" w:type="dxa"/>
                    <w:right w:w="0" w:type="dxa"/>
                  </w:tcMar>
                  <w:vAlign w:val="center"/>
                </w:tcPr>
                <w:p w14:paraId="620FE537">
                  <w:pPr>
                    <w:jc w:val="center"/>
                    <w:rPr>
                      <w:rFonts w:hint="default" w:eastAsia="宋体"/>
                      <w:color w:val="auto"/>
                      <w:szCs w:val="21"/>
                      <w:lang w:val="en-US" w:eastAsia="zh-CN"/>
                    </w:rPr>
                  </w:pPr>
                  <w:r>
                    <w:rPr>
                      <w:rFonts w:hint="eastAsia"/>
                      <w:color w:val="auto"/>
                      <w:spacing w:val="-2"/>
                      <w:kern w:val="28"/>
                      <w:szCs w:val="21"/>
                      <w:lang w:val="en-US" w:eastAsia="zh-CN"/>
                    </w:rPr>
                    <w:t>1660</w:t>
                  </w:r>
                </w:p>
              </w:tc>
              <w:tc>
                <w:tcPr>
                  <w:tcW w:w="638" w:type="pct"/>
                  <w:noWrap w:val="0"/>
                  <w:tcMar>
                    <w:top w:w="0" w:type="dxa"/>
                    <w:left w:w="0" w:type="dxa"/>
                    <w:bottom w:w="0" w:type="dxa"/>
                    <w:right w:w="0" w:type="dxa"/>
                  </w:tcMar>
                  <w:vAlign w:val="center"/>
                </w:tcPr>
                <w:p w14:paraId="1B73F48B">
                  <w:pPr>
                    <w:jc w:val="center"/>
                    <w:rPr>
                      <w:rFonts w:hint="default" w:eastAsia="宋体"/>
                      <w:color w:val="auto"/>
                      <w:szCs w:val="21"/>
                      <w:lang w:val="en-US" w:eastAsia="zh-CN"/>
                    </w:rPr>
                  </w:pPr>
                  <w:r>
                    <w:rPr>
                      <w:rFonts w:hint="eastAsia"/>
                      <w:color w:val="auto"/>
                      <w:szCs w:val="21"/>
                      <w:lang w:val="en-US" w:eastAsia="zh-CN"/>
                    </w:rPr>
                    <w:t>2</w:t>
                  </w:r>
                </w:p>
              </w:tc>
              <w:tc>
                <w:tcPr>
                  <w:tcW w:w="323" w:type="pct"/>
                  <w:noWrap w:val="0"/>
                  <w:tcMar>
                    <w:top w:w="0" w:type="dxa"/>
                    <w:left w:w="0" w:type="dxa"/>
                    <w:bottom w:w="0" w:type="dxa"/>
                    <w:right w:w="0" w:type="dxa"/>
                  </w:tcMar>
                  <w:vAlign w:val="center"/>
                </w:tcPr>
                <w:p w14:paraId="285A83B8">
                  <w:pPr>
                    <w:jc w:val="center"/>
                    <w:rPr>
                      <w:rFonts w:hint="default" w:eastAsia="宋体"/>
                      <w:snapToGrid w:val="0"/>
                      <w:color w:val="auto"/>
                      <w:szCs w:val="21"/>
                      <w:lang w:val="en-US" w:eastAsia="zh-CN"/>
                    </w:rPr>
                  </w:pPr>
                  <w:r>
                    <w:rPr>
                      <w:rFonts w:hint="eastAsia"/>
                      <w:color w:val="auto"/>
                      <w:szCs w:val="21"/>
                      <w:lang w:val="en-US" w:eastAsia="zh-CN"/>
                    </w:rPr>
                    <w:t>470</w:t>
                  </w:r>
                </w:p>
              </w:tc>
              <w:tc>
                <w:tcPr>
                  <w:tcW w:w="375" w:type="pct"/>
                  <w:noWrap w:val="0"/>
                  <w:tcMar>
                    <w:top w:w="0" w:type="dxa"/>
                    <w:left w:w="0" w:type="dxa"/>
                    <w:bottom w:w="0" w:type="dxa"/>
                    <w:right w:w="0" w:type="dxa"/>
                  </w:tcMar>
                  <w:vAlign w:val="center"/>
                </w:tcPr>
                <w:p w14:paraId="3B4F5452">
                  <w:pPr>
                    <w:jc w:val="center"/>
                    <w:rPr>
                      <w:rFonts w:hint="default" w:eastAsia="宋体"/>
                      <w:snapToGrid w:val="0"/>
                      <w:color w:val="auto"/>
                      <w:szCs w:val="21"/>
                      <w:lang w:val="en-US" w:eastAsia="zh-CN"/>
                    </w:rPr>
                  </w:pPr>
                  <w:r>
                    <w:rPr>
                      <w:rFonts w:hint="eastAsia" w:eastAsia="宋体"/>
                      <w:color w:val="auto"/>
                      <w:szCs w:val="21"/>
                      <w:lang w:val="en-US" w:eastAsia="zh-CN"/>
                    </w:rPr>
                    <w:t>0.021</w:t>
                  </w:r>
                </w:p>
              </w:tc>
              <w:tc>
                <w:tcPr>
                  <w:tcW w:w="335" w:type="pct"/>
                  <w:noWrap w:val="0"/>
                  <w:tcMar>
                    <w:top w:w="0" w:type="dxa"/>
                    <w:left w:w="0" w:type="dxa"/>
                    <w:bottom w:w="0" w:type="dxa"/>
                    <w:right w:w="0" w:type="dxa"/>
                  </w:tcMar>
                  <w:vAlign w:val="center"/>
                </w:tcPr>
                <w:p w14:paraId="29F85CC3">
                  <w:pPr>
                    <w:jc w:val="center"/>
                    <w:rPr>
                      <w:snapToGrid w:val="0"/>
                      <w:color w:val="auto"/>
                      <w:szCs w:val="21"/>
                    </w:rPr>
                  </w:pPr>
                  <w:r>
                    <w:rPr>
                      <w:color w:val="auto"/>
                      <w:szCs w:val="21"/>
                    </w:rPr>
                    <w:t>1.85</w:t>
                  </w:r>
                </w:p>
              </w:tc>
              <w:tc>
                <w:tcPr>
                  <w:tcW w:w="391" w:type="pct"/>
                  <w:noWrap w:val="0"/>
                  <w:tcMar>
                    <w:top w:w="0" w:type="dxa"/>
                    <w:left w:w="0" w:type="dxa"/>
                    <w:bottom w:w="0" w:type="dxa"/>
                    <w:right w:w="0" w:type="dxa"/>
                  </w:tcMar>
                  <w:vAlign w:val="center"/>
                </w:tcPr>
                <w:p w14:paraId="4C092ABF">
                  <w:pPr>
                    <w:jc w:val="center"/>
                    <w:rPr>
                      <w:rFonts w:hint="default" w:eastAsia="宋体"/>
                      <w:snapToGrid w:val="0"/>
                      <w:color w:val="auto"/>
                      <w:szCs w:val="21"/>
                      <w:lang w:val="en-US" w:eastAsia="zh-CN"/>
                    </w:rPr>
                  </w:pPr>
                  <w:r>
                    <w:rPr>
                      <w:rFonts w:hint="eastAsia"/>
                      <w:color w:val="auto"/>
                      <w:szCs w:val="21"/>
                      <w:lang w:val="en-US" w:eastAsia="zh-CN"/>
                    </w:rPr>
                    <w:t>0.84</w:t>
                  </w:r>
                </w:p>
              </w:tc>
              <w:tc>
                <w:tcPr>
                  <w:tcW w:w="440" w:type="pct"/>
                  <w:noWrap w:val="0"/>
                  <w:tcMar>
                    <w:top w:w="0" w:type="dxa"/>
                    <w:left w:w="0" w:type="dxa"/>
                    <w:bottom w:w="0" w:type="dxa"/>
                    <w:right w:w="0" w:type="dxa"/>
                  </w:tcMar>
                  <w:vAlign w:val="center"/>
                </w:tcPr>
                <w:p w14:paraId="1E0F957C">
                  <w:pPr>
                    <w:jc w:val="center"/>
                    <w:rPr>
                      <w:rFonts w:hint="default" w:eastAsia="宋体"/>
                      <w:color w:val="auto"/>
                      <w:szCs w:val="21"/>
                      <w:lang w:val="en-US" w:eastAsia="zh-CN"/>
                    </w:rPr>
                  </w:pPr>
                  <w:r>
                    <w:rPr>
                      <w:rFonts w:hint="eastAsia"/>
                      <w:color w:val="auto"/>
                      <w:szCs w:val="21"/>
                      <w:lang w:val="en-US" w:eastAsia="zh-CN"/>
                    </w:rPr>
                    <w:t>0.212</w:t>
                  </w:r>
                </w:p>
              </w:tc>
              <w:tc>
                <w:tcPr>
                  <w:tcW w:w="400" w:type="pct"/>
                  <w:noWrap w:val="0"/>
                  <w:tcMar>
                    <w:top w:w="0" w:type="dxa"/>
                    <w:left w:w="0" w:type="dxa"/>
                    <w:bottom w:w="0" w:type="dxa"/>
                    <w:right w:w="0" w:type="dxa"/>
                  </w:tcMar>
                  <w:vAlign w:val="center"/>
                </w:tcPr>
                <w:p w14:paraId="6C15603A">
                  <w:pPr>
                    <w:jc w:val="center"/>
                    <w:rPr>
                      <w:color w:val="auto"/>
                      <w:szCs w:val="21"/>
                    </w:rPr>
                  </w:pPr>
                  <w:r>
                    <w:rPr>
                      <w:color w:val="auto"/>
                      <w:szCs w:val="21"/>
                    </w:rPr>
                    <w:t>50</w:t>
                  </w:r>
                </w:p>
              </w:tc>
            </w:tr>
            <w:tr w14:paraId="5588D9AF">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67" w:type="pct"/>
                  <w:vMerge w:val="continue"/>
                  <w:noWrap w:val="0"/>
                  <w:tcMar>
                    <w:top w:w="0" w:type="dxa"/>
                    <w:left w:w="0" w:type="dxa"/>
                    <w:bottom w:w="0" w:type="dxa"/>
                    <w:right w:w="0" w:type="dxa"/>
                  </w:tcMar>
                  <w:vAlign w:val="center"/>
                </w:tcPr>
                <w:p w14:paraId="0984A74A">
                  <w:pPr>
                    <w:jc w:val="center"/>
                    <w:rPr>
                      <w:rFonts w:hint="eastAsia"/>
                      <w:color w:val="auto"/>
                      <w:szCs w:val="21"/>
                    </w:rPr>
                  </w:pPr>
                </w:p>
              </w:tc>
              <w:tc>
                <w:tcPr>
                  <w:tcW w:w="633" w:type="pct"/>
                  <w:shd w:val="clear" w:color="auto" w:fill="auto"/>
                  <w:noWrap w:val="0"/>
                  <w:tcMar>
                    <w:top w:w="0" w:type="dxa"/>
                    <w:left w:w="0" w:type="dxa"/>
                    <w:bottom w:w="0" w:type="dxa"/>
                    <w:right w:w="0" w:type="dxa"/>
                  </w:tcMar>
                  <w:vAlign w:val="center"/>
                </w:tcPr>
                <w:p w14:paraId="4536AF45">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颗粒物</w:t>
                  </w:r>
                </w:p>
              </w:tc>
              <w:tc>
                <w:tcPr>
                  <w:tcW w:w="440" w:type="pct"/>
                  <w:shd w:val="clear" w:color="auto" w:fill="auto"/>
                  <w:noWrap w:val="0"/>
                  <w:tcMar>
                    <w:top w:w="0" w:type="dxa"/>
                    <w:left w:w="0" w:type="dxa"/>
                    <w:bottom w:w="0" w:type="dxa"/>
                    <w:right w:w="0" w:type="dxa"/>
                  </w:tcMar>
                  <w:vAlign w:val="center"/>
                </w:tcPr>
                <w:p w14:paraId="525053DB">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0.0586</w:t>
                  </w:r>
                </w:p>
              </w:tc>
              <w:tc>
                <w:tcPr>
                  <w:tcW w:w="452" w:type="pct"/>
                  <w:vMerge w:val="continue"/>
                  <w:noWrap w:val="0"/>
                  <w:tcMar>
                    <w:top w:w="0" w:type="dxa"/>
                    <w:left w:w="0" w:type="dxa"/>
                    <w:bottom w:w="0" w:type="dxa"/>
                    <w:right w:w="0" w:type="dxa"/>
                  </w:tcMar>
                  <w:vAlign w:val="center"/>
                </w:tcPr>
                <w:p w14:paraId="0E4E1D4B">
                  <w:pPr>
                    <w:jc w:val="center"/>
                    <w:rPr>
                      <w:rFonts w:hint="eastAsia"/>
                      <w:color w:val="auto"/>
                      <w:spacing w:val="-2"/>
                      <w:kern w:val="28"/>
                      <w:szCs w:val="21"/>
                      <w:lang w:val="en-US" w:eastAsia="zh-CN"/>
                    </w:rPr>
                  </w:pPr>
                </w:p>
              </w:tc>
              <w:tc>
                <w:tcPr>
                  <w:tcW w:w="638" w:type="pct"/>
                  <w:noWrap w:val="0"/>
                  <w:tcMar>
                    <w:top w:w="0" w:type="dxa"/>
                    <w:left w:w="0" w:type="dxa"/>
                    <w:bottom w:w="0" w:type="dxa"/>
                    <w:right w:w="0" w:type="dxa"/>
                  </w:tcMar>
                  <w:vAlign w:val="center"/>
                </w:tcPr>
                <w:p w14:paraId="62E13245">
                  <w:pPr>
                    <w:jc w:val="center"/>
                    <w:rPr>
                      <w:rFonts w:hint="default"/>
                      <w:color w:val="auto"/>
                      <w:szCs w:val="21"/>
                      <w:lang w:val="en-US" w:eastAsia="zh-CN"/>
                    </w:rPr>
                  </w:pPr>
                  <w:r>
                    <w:rPr>
                      <w:rFonts w:hint="eastAsia"/>
                      <w:color w:val="auto"/>
                      <w:szCs w:val="21"/>
                      <w:lang w:val="en-US" w:eastAsia="zh-CN"/>
                    </w:rPr>
                    <w:t>0.9</w:t>
                  </w:r>
                </w:p>
              </w:tc>
              <w:tc>
                <w:tcPr>
                  <w:tcW w:w="323" w:type="pct"/>
                  <w:shd w:val="clear" w:color="auto" w:fill="auto"/>
                  <w:noWrap w:val="0"/>
                  <w:tcMar>
                    <w:top w:w="0" w:type="dxa"/>
                    <w:left w:w="0" w:type="dxa"/>
                    <w:bottom w:w="0" w:type="dxa"/>
                    <w:right w:w="0" w:type="dxa"/>
                  </w:tcMar>
                  <w:vAlign w:val="center"/>
                </w:tcPr>
                <w:p w14:paraId="5B5FEA3E">
                  <w:pPr>
                    <w:jc w:val="center"/>
                    <w:rPr>
                      <w:rFonts w:hint="eastAsia" w:ascii="Times New Roman" w:hAnsi="Times New Roman" w:eastAsia="宋体" w:cs="Times New Roman"/>
                      <w:snapToGrid w:val="0"/>
                      <w:color w:val="auto"/>
                      <w:kern w:val="2"/>
                      <w:sz w:val="21"/>
                      <w:szCs w:val="21"/>
                      <w:lang w:val="en-US" w:eastAsia="zh-CN" w:bidi="ar-SA"/>
                    </w:rPr>
                  </w:pPr>
                  <w:r>
                    <w:rPr>
                      <w:rFonts w:hint="eastAsia"/>
                      <w:color w:val="auto"/>
                      <w:szCs w:val="21"/>
                      <w:lang w:val="en-US" w:eastAsia="zh-CN"/>
                    </w:rPr>
                    <w:t>470</w:t>
                  </w:r>
                </w:p>
              </w:tc>
              <w:tc>
                <w:tcPr>
                  <w:tcW w:w="375" w:type="pct"/>
                  <w:shd w:val="clear" w:color="auto" w:fill="auto"/>
                  <w:noWrap w:val="0"/>
                  <w:tcMar>
                    <w:top w:w="0" w:type="dxa"/>
                    <w:left w:w="0" w:type="dxa"/>
                    <w:bottom w:w="0" w:type="dxa"/>
                    <w:right w:w="0" w:type="dxa"/>
                  </w:tcMar>
                  <w:vAlign w:val="center"/>
                </w:tcPr>
                <w:p w14:paraId="5B62AA08">
                  <w:pPr>
                    <w:jc w:val="center"/>
                    <w:rPr>
                      <w:rFonts w:hint="eastAsia" w:ascii="Times New Roman" w:hAnsi="Times New Roman" w:eastAsia="宋体" w:cs="Times New Roman"/>
                      <w:snapToGrid w:val="0"/>
                      <w:color w:val="auto"/>
                      <w:kern w:val="2"/>
                      <w:sz w:val="21"/>
                      <w:szCs w:val="21"/>
                      <w:lang w:val="en-US" w:eastAsia="zh-CN" w:bidi="ar-SA"/>
                    </w:rPr>
                  </w:pPr>
                  <w:r>
                    <w:rPr>
                      <w:rFonts w:hint="eastAsia" w:eastAsia="宋体"/>
                      <w:color w:val="auto"/>
                      <w:szCs w:val="21"/>
                      <w:lang w:val="en-US" w:eastAsia="zh-CN"/>
                    </w:rPr>
                    <w:t>0.021</w:t>
                  </w:r>
                </w:p>
              </w:tc>
              <w:tc>
                <w:tcPr>
                  <w:tcW w:w="335" w:type="pct"/>
                  <w:shd w:val="clear" w:color="auto" w:fill="auto"/>
                  <w:noWrap w:val="0"/>
                  <w:tcMar>
                    <w:top w:w="0" w:type="dxa"/>
                    <w:left w:w="0" w:type="dxa"/>
                    <w:bottom w:w="0" w:type="dxa"/>
                    <w:right w:w="0" w:type="dxa"/>
                  </w:tcMar>
                  <w:vAlign w:val="center"/>
                </w:tcPr>
                <w:p w14:paraId="40645771">
                  <w:pPr>
                    <w:jc w:val="center"/>
                    <w:rPr>
                      <w:rFonts w:ascii="Times New Roman" w:hAnsi="Times New Roman" w:eastAsia="宋体" w:cs="Times New Roman"/>
                      <w:snapToGrid w:val="0"/>
                      <w:color w:val="auto"/>
                      <w:kern w:val="2"/>
                      <w:sz w:val="21"/>
                      <w:szCs w:val="21"/>
                      <w:lang w:val="en-US" w:eastAsia="zh-CN" w:bidi="ar-SA"/>
                    </w:rPr>
                  </w:pPr>
                  <w:r>
                    <w:rPr>
                      <w:color w:val="auto"/>
                      <w:szCs w:val="21"/>
                    </w:rPr>
                    <w:t>1.85</w:t>
                  </w:r>
                </w:p>
              </w:tc>
              <w:tc>
                <w:tcPr>
                  <w:tcW w:w="391" w:type="pct"/>
                  <w:shd w:val="clear" w:color="auto" w:fill="auto"/>
                  <w:noWrap w:val="0"/>
                  <w:tcMar>
                    <w:top w:w="0" w:type="dxa"/>
                    <w:left w:w="0" w:type="dxa"/>
                    <w:bottom w:w="0" w:type="dxa"/>
                    <w:right w:w="0" w:type="dxa"/>
                  </w:tcMar>
                  <w:vAlign w:val="center"/>
                </w:tcPr>
                <w:p w14:paraId="7122EA63">
                  <w:pPr>
                    <w:jc w:val="center"/>
                    <w:rPr>
                      <w:rFonts w:hint="eastAsia" w:ascii="Times New Roman" w:hAnsi="Times New Roman" w:eastAsia="宋体" w:cs="Times New Roman"/>
                      <w:snapToGrid w:val="0"/>
                      <w:color w:val="auto"/>
                      <w:kern w:val="2"/>
                      <w:sz w:val="21"/>
                      <w:szCs w:val="21"/>
                      <w:lang w:val="en-US" w:eastAsia="zh-CN" w:bidi="ar-SA"/>
                    </w:rPr>
                  </w:pPr>
                  <w:r>
                    <w:rPr>
                      <w:rFonts w:hint="eastAsia"/>
                      <w:color w:val="auto"/>
                      <w:szCs w:val="21"/>
                      <w:lang w:val="en-US" w:eastAsia="zh-CN"/>
                    </w:rPr>
                    <w:t>0.84</w:t>
                  </w:r>
                </w:p>
              </w:tc>
              <w:tc>
                <w:tcPr>
                  <w:tcW w:w="440" w:type="pct"/>
                  <w:shd w:val="clear" w:color="auto" w:fill="auto"/>
                  <w:noWrap w:val="0"/>
                  <w:tcMar>
                    <w:top w:w="0" w:type="dxa"/>
                    <w:left w:w="0" w:type="dxa"/>
                    <w:bottom w:w="0" w:type="dxa"/>
                    <w:right w:w="0" w:type="dxa"/>
                  </w:tcMar>
                  <w:vAlign w:val="center"/>
                </w:tcPr>
                <w:p w14:paraId="0C0E2E19">
                  <w:pPr>
                    <w:jc w:val="center"/>
                    <w:rPr>
                      <w:rFonts w:hint="default" w:ascii="Times New Roman" w:hAnsi="Times New Roman" w:eastAsia="宋体" w:cs="Times New Roman"/>
                      <w:color w:val="auto"/>
                      <w:kern w:val="2"/>
                      <w:sz w:val="21"/>
                      <w:szCs w:val="21"/>
                      <w:lang w:val="en-US" w:eastAsia="zh-CN" w:bidi="ar-SA"/>
                    </w:rPr>
                  </w:pPr>
                  <w:r>
                    <w:rPr>
                      <w:rFonts w:hint="eastAsia"/>
                      <w:color w:val="auto"/>
                    </w:rPr>
                    <w:t>3.206</w:t>
                  </w:r>
                </w:p>
              </w:tc>
              <w:tc>
                <w:tcPr>
                  <w:tcW w:w="400" w:type="pct"/>
                  <w:noWrap w:val="0"/>
                  <w:tcMar>
                    <w:top w:w="0" w:type="dxa"/>
                    <w:left w:w="0" w:type="dxa"/>
                    <w:bottom w:w="0" w:type="dxa"/>
                    <w:right w:w="0" w:type="dxa"/>
                  </w:tcMar>
                  <w:vAlign w:val="center"/>
                </w:tcPr>
                <w:p w14:paraId="5865461A">
                  <w:pPr>
                    <w:jc w:val="center"/>
                    <w:rPr>
                      <w:color w:val="auto"/>
                      <w:szCs w:val="21"/>
                    </w:rPr>
                  </w:pPr>
                  <w:r>
                    <w:rPr>
                      <w:color w:val="auto"/>
                      <w:szCs w:val="21"/>
                    </w:rPr>
                    <w:t>50</w:t>
                  </w:r>
                </w:p>
              </w:tc>
            </w:tr>
          </w:tbl>
          <w:p w14:paraId="77C50B5E">
            <w:pPr>
              <w:adjustRightInd w:val="0"/>
              <w:snapToGrid w:val="0"/>
              <w:spacing w:before="120" w:beforeLines="50" w:line="360" w:lineRule="auto"/>
              <w:ind w:firstLine="420" w:firstLineChars="200"/>
              <w:rPr>
                <w:bCs/>
                <w:color w:val="auto"/>
                <w:szCs w:val="21"/>
              </w:rPr>
            </w:pPr>
            <w:r>
              <w:rPr>
                <w:bCs/>
                <w:color w:val="auto"/>
                <w:szCs w:val="21"/>
              </w:rPr>
              <w:t>根据《大气有害物质无组织排放卫生防护距离推导技术导则》（GB/T39499-2020）中“当企业某生产单元的无组织排放存在多种特征大气有害物质时，如果分别推导出的卫生防护距离初值在同一级别时，则该企业的卫生防护距离终值应提高一级；卫生防护距离初值不在同一级别的，以卫生防护距离终值较大者为准”。</w:t>
            </w:r>
          </w:p>
          <w:p w14:paraId="6E3F39EA">
            <w:pPr>
              <w:keepNext w:val="0"/>
              <w:keepLines w:val="0"/>
              <w:pageBreakBefore w:val="0"/>
              <w:widowControl w:val="0"/>
              <w:tabs>
                <w:tab w:val="left" w:pos="960"/>
              </w:tabs>
              <w:kinsoku/>
              <w:wordWrap/>
              <w:overflowPunct/>
              <w:topLinePunct w:val="0"/>
              <w:autoSpaceDE/>
              <w:autoSpaceDN/>
              <w:bidi w:val="0"/>
              <w:adjustRightInd/>
              <w:snapToGrid/>
              <w:spacing w:line="360" w:lineRule="auto"/>
              <w:ind w:firstLine="420" w:firstLineChars="200"/>
              <w:textAlignment w:val="auto"/>
              <w:rPr>
                <w:color w:val="auto"/>
                <w:szCs w:val="21"/>
              </w:rPr>
            </w:pPr>
            <w:r>
              <w:rPr>
                <w:rFonts w:hint="default" w:ascii="Times New Roman" w:hAnsi="Times New Roman" w:eastAsia="宋体" w:cs="Times New Roman"/>
                <w:bCs/>
                <w:color w:val="auto"/>
                <w:sz w:val="21"/>
                <w:szCs w:val="21"/>
              </w:rPr>
              <w:t>本项目卫生防护距离为以</w:t>
            </w:r>
            <w:r>
              <w:rPr>
                <w:rFonts w:hint="eastAsia" w:cs="Times New Roman"/>
                <w:bCs/>
                <w:color w:val="auto"/>
                <w:sz w:val="21"/>
                <w:szCs w:val="21"/>
                <w:lang w:val="en-US" w:eastAsia="zh-CN"/>
              </w:rPr>
              <w:t>生产车间</w:t>
            </w:r>
            <w:r>
              <w:rPr>
                <w:rFonts w:hint="default" w:ascii="Times New Roman" w:hAnsi="Times New Roman" w:eastAsia="宋体" w:cs="Times New Roman"/>
                <w:bCs/>
                <w:color w:val="auto"/>
                <w:sz w:val="21"/>
                <w:szCs w:val="21"/>
              </w:rPr>
              <w:t>边界外扩</w:t>
            </w:r>
            <w:r>
              <w:rPr>
                <w:rFonts w:hint="eastAsia" w:cs="Times New Roman"/>
                <w:bCs/>
                <w:color w:val="auto"/>
                <w:sz w:val="21"/>
                <w:szCs w:val="21"/>
                <w:lang w:val="en-US" w:eastAsia="zh-CN"/>
              </w:rPr>
              <w:t>100</w:t>
            </w:r>
            <w:r>
              <w:rPr>
                <w:rFonts w:hint="default" w:ascii="Times New Roman" w:hAnsi="Times New Roman" w:eastAsia="宋体" w:cs="Times New Roman"/>
                <w:bCs/>
                <w:color w:val="auto"/>
                <w:sz w:val="21"/>
                <w:szCs w:val="21"/>
              </w:rPr>
              <w:t>米，作最大包络线的范围（具体见附图</w:t>
            </w:r>
            <w:r>
              <w:rPr>
                <w:rFonts w:hint="default" w:ascii="Times New Roman" w:hAnsi="Times New Roman" w:eastAsia="宋体" w:cs="Times New Roman"/>
                <w:bCs/>
                <w:color w:val="auto"/>
                <w:sz w:val="21"/>
                <w:szCs w:val="21"/>
                <w:lang w:val="en-US" w:eastAsia="zh-CN"/>
              </w:rPr>
              <w:t>二</w:t>
            </w:r>
            <w:r>
              <w:rPr>
                <w:rFonts w:hint="default" w:ascii="Times New Roman" w:hAnsi="Times New Roman" w:eastAsia="宋体" w:cs="Times New Roman"/>
                <w:bCs/>
                <w:color w:val="auto"/>
                <w:sz w:val="21"/>
                <w:szCs w:val="21"/>
              </w:rPr>
              <w:t>），该范围内目前为</w:t>
            </w:r>
            <w:r>
              <w:rPr>
                <w:rFonts w:hint="eastAsia" w:cs="Times New Roman"/>
                <w:bCs/>
                <w:color w:val="auto"/>
                <w:sz w:val="21"/>
                <w:szCs w:val="21"/>
                <w:lang w:val="en-US" w:eastAsia="zh-CN"/>
              </w:rPr>
              <w:t>本项目厂区</w:t>
            </w:r>
            <w:r>
              <w:rPr>
                <w:rFonts w:hint="eastAsia" w:cs="Times New Roman"/>
                <w:bCs/>
                <w:color w:val="auto"/>
                <w:sz w:val="21"/>
                <w:szCs w:val="21"/>
                <w:lang w:eastAsia="zh-CN"/>
              </w:rPr>
              <w:t>、裕华包装有限公司金坛分公司、翔天国际汽车城</w:t>
            </w:r>
            <w:r>
              <w:rPr>
                <w:rFonts w:hint="eastAsia" w:cs="Times New Roman"/>
                <w:bCs/>
                <w:color w:val="auto"/>
                <w:sz w:val="21"/>
                <w:szCs w:val="21"/>
                <w:lang w:val="en-US" w:eastAsia="zh-CN"/>
              </w:rPr>
              <w:t>等</w:t>
            </w:r>
            <w:r>
              <w:rPr>
                <w:rFonts w:hint="default" w:ascii="Times New Roman" w:hAnsi="Times New Roman" w:eastAsia="宋体" w:cs="Times New Roman"/>
                <w:bCs/>
                <w:color w:val="auto"/>
                <w:sz w:val="21"/>
                <w:szCs w:val="21"/>
              </w:rPr>
              <w:t>，无居民、学校等环境敏感保护目标，可满足卫生防护距离设置要求，将来在该范围内也不得新建居民、学校、医院等属于环境保护目标的项目</w:t>
            </w:r>
            <w:r>
              <w:rPr>
                <w:color w:val="auto"/>
                <w:szCs w:val="21"/>
              </w:rPr>
              <w:t>。</w:t>
            </w:r>
          </w:p>
          <w:p w14:paraId="72B60E00">
            <w:pPr>
              <w:keepNext w:val="0"/>
              <w:keepLines w:val="0"/>
              <w:pageBreakBefore w:val="0"/>
              <w:widowControl w:val="0"/>
              <w:kinsoku/>
              <w:wordWrap/>
              <w:overflowPunct/>
              <w:topLinePunct w:val="0"/>
              <w:autoSpaceDE/>
              <w:autoSpaceDN/>
              <w:bidi w:val="0"/>
              <w:adjustRightInd w:val="0"/>
              <w:snapToGrid w:val="0"/>
              <w:spacing w:line="360" w:lineRule="auto"/>
              <w:ind w:left="420" w:leftChars="200"/>
              <w:textAlignment w:val="auto"/>
              <w:rPr>
                <w:b/>
                <w:color w:val="auto"/>
                <w:szCs w:val="21"/>
              </w:rPr>
            </w:pPr>
            <w:r>
              <w:rPr>
                <w:rFonts w:hint="eastAsia"/>
                <w:b/>
                <w:color w:val="auto"/>
                <w:szCs w:val="21"/>
              </w:rPr>
              <w:t>4</w:t>
            </w:r>
            <w:r>
              <w:rPr>
                <w:b/>
                <w:color w:val="auto"/>
                <w:szCs w:val="21"/>
              </w:rPr>
              <w:t>、环境监测</w:t>
            </w:r>
          </w:p>
          <w:p w14:paraId="1B107A21">
            <w:pPr>
              <w:keepNext w:val="0"/>
              <w:keepLines w:val="0"/>
              <w:pageBreakBefore w:val="0"/>
              <w:widowControl w:val="0"/>
              <w:kinsoku/>
              <w:wordWrap/>
              <w:overflowPunct/>
              <w:topLinePunct w:val="0"/>
              <w:autoSpaceDE/>
              <w:autoSpaceDN/>
              <w:bidi w:val="0"/>
              <w:adjustRightInd w:val="0"/>
              <w:snapToGrid w:val="0"/>
              <w:jc w:val="center"/>
              <w:textAlignment w:val="auto"/>
              <w:rPr>
                <w:b/>
                <w:bCs/>
                <w:color w:val="auto"/>
                <w:szCs w:val="21"/>
              </w:rPr>
            </w:pPr>
            <w:r>
              <w:rPr>
                <w:b/>
                <w:bCs/>
                <w:color w:val="auto"/>
                <w:szCs w:val="21"/>
              </w:rPr>
              <w:t>表4-</w:t>
            </w:r>
            <w:r>
              <w:rPr>
                <w:rFonts w:hint="eastAsia"/>
                <w:b/>
                <w:bCs/>
                <w:color w:val="auto"/>
                <w:szCs w:val="21"/>
                <w:lang w:val="en-US" w:eastAsia="zh-CN"/>
              </w:rPr>
              <w:t>16</w:t>
            </w:r>
            <w:r>
              <w:rPr>
                <w:b/>
                <w:bCs/>
                <w:color w:val="auto"/>
                <w:szCs w:val="21"/>
              </w:rPr>
              <w:t xml:space="preserve"> 项目环境监测计划表</w:t>
            </w:r>
          </w:p>
          <w:tbl>
            <w:tblPr>
              <w:tblStyle w:val="28"/>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376"/>
              <w:gridCol w:w="484"/>
              <w:gridCol w:w="1007"/>
              <w:gridCol w:w="1209"/>
              <w:gridCol w:w="927"/>
              <w:gridCol w:w="2870"/>
              <w:gridCol w:w="719"/>
              <w:gridCol w:w="786"/>
            </w:tblGrid>
            <w:tr w14:paraId="23B288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24" w:type="pct"/>
                  <w:noWrap w:val="0"/>
                  <w:tcMar>
                    <w:top w:w="0" w:type="dxa"/>
                    <w:left w:w="0" w:type="dxa"/>
                    <w:bottom w:w="0" w:type="dxa"/>
                    <w:right w:w="0" w:type="dxa"/>
                  </w:tcMar>
                  <w:vAlign w:val="center"/>
                </w:tcPr>
                <w:p w14:paraId="684CEC0D">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时段</w:t>
                  </w:r>
                </w:p>
              </w:tc>
              <w:tc>
                <w:tcPr>
                  <w:tcW w:w="288" w:type="pct"/>
                  <w:noWrap w:val="0"/>
                  <w:tcMar>
                    <w:top w:w="0" w:type="dxa"/>
                    <w:left w:w="0" w:type="dxa"/>
                    <w:bottom w:w="0" w:type="dxa"/>
                    <w:right w:w="0" w:type="dxa"/>
                  </w:tcMar>
                  <w:vAlign w:val="center"/>
                </w:tcPr>
                <w:p w14:paraId="01ADBCFB">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类别</w:t>
                  </w:r>
                </w:p>
              </w:tc>
              <w:tc>
                <w:tcPr>
                  <w:tcW w:w="600" w:type="pct"/>
                  <w:noWrap w:val="0"/>
                  <w:tcMar>
                    <w:top w:w="0" w:type="dxa"/>
                    <w:left w:w="0" w:type="dxa"/>
                    <w:bottom w:w="0" w:type="dxa"/>
                    <w:right w:w="0" w:type="dxa"/>
                  </w:tcMar>
                  <w:vAlign w:val="center"/>
                </w:tcPr>
                <w:p w14:paraId="3F5F88E2">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监测位置</w:t>
                  </w:r>
                </w:p>
              </w:tc>
              <w:tc>
                <w:tcPr>
                  <w:tcW w:w="721" w:type="pct"/>
                  <w:noWrap w:val="0"/>
                  <w:tcMar>
                    <w:top w:w="0" w:type="dxa"/>
                    <w:left w:w="0" w:type="dxa"/>
                    <w:bottom w:w="0" w:type="dxa"/>
                    <w:right w:w="0" w:type="dxa"/>
                  </w:tcMar>
                  <w:vAlign w:val="center"/>
                </w:tcPr>
                <w:p w14:paraId="6D606FD1">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监测项目</w:t>
                  </w:r>
                </w:p>
              </w:tc>
              <w:tc>
                <w:tcPr>
                  <w:tcW w:w="553" w:type="pct"/>
                  <w:noWrap w:val="0"/>
                  <w:tcMar>
                    <w:top w:w="0" w:type="dxa"/>
                    <w:left w:w="0" w:type="dxa"/>
                    <w:bottom w:w="0" w:type="dxa"/>
                    <w:right w:w="0" w:type="dxa"/>
                  </w:tcMar>
                  <w:vAlign w:val="center"/>
                </w:tcPr>
                <w:p w14:paraId="083EAFF2">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监测</w:t>
                  </w:r>
                </w:p>
                <w:p w14:paraId="33052723">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频率</w:t>
                  </w:r>
                </w:p>
              </w:tc>
              <w:tc>
                <w:tcPr>
                  <w:tcW w:w="1712" w:type="pct"/>
                  <w:noWrap w:val="0"/>
                  <w:tcMar>
                    <w:top w:w="0" w:type="dxa"/>
                    <w:left w:w="0" w:type="dxa"/>
                    <w:bottom w:w="0" w:type="dxa"/>
                    <w:right w:w="0" w:type="dxa"/>
                  </w:tcMar>
                  <w:vAlign w:val="center"/>
                </w:tcPr>
                <w:p w14:paraId="4AB72C83">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执行标准</w:t>
                  </w:r>
                </w:p>
              </w:tc>
              <w:tc>
                <w:tcPr>
                  <w:tcW w:w="429" w:type="pct"/>
                  <w:noWrap w:val="0"/>
                  <w:tcMar>
                    <w:top w:w="0" w:type="dxa"/>
                    <w:left w:w="0" w:type="dxa"/>
                    <w:bottom w:w="0" w:type="dxa"/>
                    <w:right w:w="0" w:type="dxa"/>
                  </w:tcMar>
                  <w:vAlign w:val="center"/>
                </w:tcPr>
                <w:p w14:paraId="6E53B5BC">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监测方法</w:t>
                  </w:r>
                </w:p>
              </w:tc>
              <w:tc>
                <w:tcPr>
                  <w:tcW w:w="469" w:type="pct"/>
                  <w:noWrap w:val="0"/>
                  <w:tcMar>
                    <w:top w:w="0" w:type="dxa"/>
                    <w:left w:w="0" w:type="dxa"/>
                    <w:bottom w:w="0" w:type="dxa"/>
                    <w:right w:w="0" w:type="dxa"/>
                  </w:tcMar>
                  <w:vAlign w:val="center"/>
                </w:tcPr>
                <w:p w14:paraId="24E4E31A">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备注</w:t>
                  </w:r>
                </w:p>
              </w:tc>
            </w:tr>
            <w:tr w14:paraId="3073F3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24" w:type="pct"/>
                  <w:vMerge w:val="restart"/>
                  <w:noWrap w:val="0"/>
                  <w:tcMar>
                    <w:top w:w="0" w:type="dxa"/>
                    <w:left w:w="0" w:type="dxa"/>
                    <w:bottom w:w="0" w:type="dxa"/>
                    <w:right w:w="0" w:type="dxa"/>
                  </w:tcMar>
                  <w:vAlign w:val="center"/>
                </w:tcPr>
                <w:p w14:paraId="75461D3A">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color w:val="auto"/>
                      <w:sz w:val="21"/>
                      <w:szCs w:val="21"/>
                    </w:rPr>
                    <w:t>日常监测</w:t>
                  </w:r>
                </w:p>
              </w:tc>
              <w:tc>
                <w:tcPr>
                  <w:tcW w:w="288" w:type="pct"/>
                  <w:vMerge w:val="restart"/>
                  <w:noWrap w:val="0"/>
                  <w:tcMar>
                    <w:top w:w="0" w:type="dxa"/>
                    <w:left w:w="0" w:type="dxa"/>
                    <w:bottom w:w="0" w:type="dxa"/>
                    <w:right w:w="0" w:type="dxa"/>
                  </w:tcMar>
                  <w:vAlign w:val="center"/>
                </w:tcPr>
                <w:p w14:paraId="56F3F59A">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废气</w:t>
                  </w:r>
                </w:p>
              </w:tc>
              <w:tc>
                <w:tcPr>
                  <w:tcW w:w="600" w:type="pct"/>
                  <w:noWrap w:val="0"/>
                  <w:tcMar>
                    <w:top w:w="0" w:type="dxa"/>
                    <w:left w:w="0" w:type="dxa"/>
                    <w:bottom w:w="0" w:type="dxa"/>
                    <w:right w:w="0" w:type="dxa"/>
                  </w:tcMar>
                  <w:vAlign w:val="center"/>
                </w:tcPr>
                <w:p w14:paraId="52A58EFD">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排气筒</w:t>
                  </w:r>
                </w:p>
                <w:p w14:paraId="0C42E032">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（DA00</w:t>
                  </w:r>
                  <w:r>
                    <w:rPr>
                      <w:rFonts w:hint="eastAsia" w:ascii="Times New Roman" w:hAnsi="Times New Roman" w:eastAsia="宋体" w:cs="Times New Roman"/>
                      <w:color w:val="auto"/>
                      <w:szCs w:val="21"/>
                      <w:lang w:val="en-US" w:eastAsia="zh-CN"/>
                    </w:rPr>
                    <w:t>1</w:t>
                  </w:r>
                  <w:r>
                    <w:rPr>
                      <w:rFonts w:hint="default" w:ascii="Times New Roman" w:hAnsi="Times New Roman" w:eastAsia="宋体" w:cs="Times New Roman"/>
                      <w:color w:val="auto"/>
                      <w:szCs w:val="21"/>
                      <w:lang w:val="en-US" w:eastAsia="zh-CN"/>
                    </w:rPr>
                    <w:t>）</w:t>
                  </w:r>
                </w:p>
              </w:tc>
              <w:tc>
                <w:tcPr>
                  <w:tcW w:w="721" w:type="pct"/>
                  <w:noWrap w:val="0"/>
                  <w:tcMar>
                    <w:top w:w="0" w:type="dxa"/>
                    <w:left w:w="0" w:type="dxa"/>
                    <w:bottom w:w="0" w:type="dxa"/>
                    <w:right w:w="0" w:type="dxa"/>
                  </w:tcMar>
                  <w:vAlign w:val="center"/>
                </w:tcPr>
                <w:p w14:paraId="661C6827">
                  <w:pPr>
                    <w:keepNext w:val="0"/>
                    <w:keepLines w:val="0"/>
                    <w:pageBreakBefore w:val="0"/>
                    <w:widowControl w:val="0"/>
                    <w:kinsoku/>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颗粒物</w:t>
                  </w:r>
                </w:p>
              </w:tc>
              <w:tc>
                <w:tcPr>
                  <w:tcW w:w="553" w:type="pct"/>
                  <w:noWrap w:val="0"/>
                  <w:tcMar>
                    <w:top w:w="0" w:type="dxa"/>
                    <w:left w:w="0" w:type="dxa"/>
                    <w:bottom w:w="0" w:type="dxa"/>
                    <w:right w:w="0" w:type="dxa"/>
                  </w:tcMar>
                  <w:vAlign w:val="center"/>
                </w:tcPr>
                <w:p w14:paraId="2B8DCCAD">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vertAlign w:val="superscript"/>
                      <w:lang w:val="en-US" w:eastAsia="zh-CN" w:bidi="ar-SA"/>
                    </w:rPr>
                  </w:pPr>
                  <w:r>
                    <w:rPr>
                      <w:rFonts w:hint="eastAsia"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次/年</w:t>
                  </w:r>
                </w:p>
              </w:tc>
              <w:tc>
                <w:tcPr>
                  <w:tcW w:w="1712" w:type="pct"/>
                  <w:vMerge w:val="restart"/>
                  <w:noWrap w:val="0"/>
                  <w:tcMar>
                    <w:top w:w="0" w:type="dxa"/>
                    <w:left w:w="0" w:type="dxa"/>
                    <w:bottom w:w="0" w:type="dxa"/>
                    <w:right w:w="0" w:type="dxa"/>
                  </w:tcMar>
                  <w:vAlign w:val="center"/>
                </w:tcPr>
                <w:p w14:paraId="5E610EDD">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eastAsia="zh-CN"/>
                    </w:rPr>
                    <w:t>《</w:t>
                  </w:r>
                  <w:r>
                    <w:rPr>
                      <w:rFonts w:hint="eastAsia"/>
                      <w:color w:val="auto"/>
                      <w:szCs w:val="21"/>
                    </w:rPr>
                    <w:t>合成树脂工业污染物排放标准</w:t>
                  </w:r>
                  <w:r>
                    <w:rPr>
                      <w:rFonts w:hint="eastAsia"/>
                      <w:color w:val="auto"/>
                      <w:szCs w:val="21"/>
                      <w:lang w:eastAsia="zh-CN"/>
                    </w:rPr>
                    <w:t>》</w:t>
                  </w:r>
                  <w:r>
                    <w:rPr>
                      <w:rFonts w:hint="eastAsia"/>
                      <w:color w:val="auto"/>
                      <w:szCs w:val="21"/>
                    </w:rPr>
                    <w:t>（GB 31572-2015）</w:t>
                  </w:r>
                  <w:r>
                    <w:rPr>
                      <w:rFonts w:hint="eastAsia"/>
                      <w:color w:val="auto"/>
                      <w:szCs w:val="21"/>
                      <w:lang w:val="en-US" w:eastAsia="zh-CN"/>
                    </w:rPr>
                    <w:t>及2024年修改单表5中的标准</w:t>
                  </w:r>
                </w:p>
              </w:tc>
              <w:tc>
                <w:tcPr>
                  <w:tcW w:w="429" w:type="pct"/>
                  <w:vMerge w:val="restart"/>
                  <w:noWrap w:val="0"/>
                  <w:tcMar>
                    <w:top w:w="0" w:type="dxa"/>
                    <w:left w:w="0" w:type="dxa"/>
                    <w:bottom w:w="0" w:type="dxa"/>
                    <w:right w:w="0" w:type="dxa"/>
                  </w:tcMar>
                  <w:vAlign w:val="center"/>
                </w:tcPr>
                <w:p w14:paraId="18401E8A">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采用国家规定最新监测方法与标准</w:t>
                  </w:r>
                </w:p>
              </w:tc>
              <w:tc>
                <w:tcPr>
                  <w:tcW w:w="469" w:type="pct"/>
                  <w:vMerge w:val="restart"/>
                  <w:noWrap w:val="0"/>
                  <w:tcMar>
                    <w:top w:w="0" w:type="dxa"/>
                    <w:left w:w="0" w:type="dxa"/>
                    <w:bottom w:w="0" w:type="dxa"/>
                    <w:right w:w="0" w:type="dxa"/>
                  </w:tcMar>
                  <w:vAlign w:val="center"/>
                </w:tcPr>
                <w:p w14:paraId="68DD9F23">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委托有资质的环境检测单位实施检测</w:t>
                  </w:r>
                </w:p>
              </w:tc>
            </w:tr>
            <w:tr w14:paraId="1B25A7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24" w:hRule="atLeast"/>
              </w:trPr>
              <w:tc>
                <w:tcPr>
                  <w:tcW w:w="224" w:type="pct"/>
                  <w:vMerge w:val="continue"/>
                  <w:noWrap w:val="0"/>
                  <w:tcMar>
                    <w:top w:w="0" w:type="dxa"/>
                    <w:left w:w="0" w:type="dxa"/>
                    <w:bottom w:w="0" w:type="dxa"/>
                    <w:right w:w="0" w:type="dxa"/>
                  </w:tcMar>
                  <w:vAlign w:val="center"/>
                </w:tcPr>
                <w:p w14:paraId="1085681F">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c>
                <w:tcPr>
                  <w:tcW w:w="288" w:type="pct"/>
                  <w:vMerge w:val="continue"/>
                  <w:noWrap w:val="0"/>
                  <w:tcMar>
                    <w:top w:w="0" w:type="dxa"/>
                    <w:left w:w="0" w:type="dxa"/>
                    <w:bottom w:w="0" w:type="dxa"/>
                    <w:right w:w="0" w:type="dxa"/>
                  </w:tcMar>
                  <w:vAlign w:val="center"/>
                </w:tcPr>
                <w:p w14:paraId="0930208E">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sz w:val="21"/>
                      <w:szCs w:val="21"/>
                    </w:rPr>
                  </w:pPr>
                </w:p>
              </w:tc>
              <w:tc>
                <w:tcPr>
                  <w:tcW w:w="600" w:type="pct"/>
                  <w:vMerge w:val="restart"/>
                  <w:noWrap w:val="0"/>
                  <w:tcMar>
                    <w:top w:w="0" w:type="dxa"/>
                    <w:left w:w="0" w:type="dxa"/>
                    <w:bottom w:w="0" w:type="dxa"/>
                    <w:right w:w="0" w:type="dxa"/>
                  </w:tcMar>
                  <w:vAlign w:val="center"/>
                </w:tcPr>
                <w:p w14:paraId="02A4AB9A">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排气筒</w:t>
                  </w:r>
                </w:p>
                <w:p w14:paraId="1323C69D">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（DA00</w:t>
                  </w:r>
                  <w:r>
                    <w:rPr>
                      <w:rFonts w:hint="eastAsia" w:ascii="Times New Roman" w:hAnsi="Times New Roman" w:eastAsia="宋体" w:cs="Times New Roman"/>
                      <w:color w:val="auto"/>
                      <w:szCs w:val="21"/>
                      <w:lang w:val="en-US" w:eastAsia="zh-CN"/>
                    </w:rPr>
                    <w:t>2</w:t>
                  </w:r>
                  <w:r>
                    <w:rPr>
                      <w:rFonts w:hint="default" w:ascii="Times New Roman" w:hAnsi="Times New Roman" w:eastAsia="宋体" w:cs="Times New Roman"/>
                      <w:color w:val="auto"/>
                      <w:szCs w:val="21"/>
                      <w:lang w:val="en-US" w:eastAsia="zh-CN"/>
                    </w:rPr>
                    <w:t>）</w:t>
                  </w:r>
                </w:p>
              </w:tc>
              <w:tc>
                <w:tcPr>
                  <w:tcW w:w="721" w:type="pct"/>
                  <w:noWrap w:val="0"/>
                  <w:tcMar>
                    <w:top w:w="0" w:type="dxa"/>
                    <w:left w:w="0" w:type="dxa"/>
                    <w:bottom w:w="0" w:type="dxa"/>
                    <w:right w:w="0" w:type="dxa"/>
                  </w:tcMar>
                  <w:vAlign w:val="center"/>
                </w:tcPr>
                <w:p w14:paraId="6A1C731D">
                  <w:pPr>
                    <w:keepNext w:val="0"/>
                    <w:keepLines w:val="0"/>
                    <w:pageBreakBefore w:val="0"/>
                    <w:widowControl w:val="0"/>
                    <w:kinsoku/>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非甲烷总烃</w:t>
                  </w:r>
                </w:p>
              </w:tc>
              <w:tc>
                <w:tcPr>
                  <w:tcW w:w="553" w:type="pct"/>
                  <w:shd w:val="clear" w:color="auto" w:fill="auto"/>
                  <w:noWrap w:val="0"/>
                  <w:tcMar>
                    <w:top w:w="0" w:type="dxa"/>
                    <w:left w:w="0" w:type="dxa"/>
                    <w:bottom w:w="0" w:type="dxa"/>
                    <w:right w:w="0" w:type="dxa"/>
                  </w:tcMar>
                  <w:vAlign w:val="center"/>
                </w:tcPr>
                <w:p w14:paraId="29D529F1">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vertAlign w:val="superscript"/>
                      <w:lang w:val="en-US" w:eastAsia="zh-CN" w:bidi="ar-SA"/>
                    </w:rPr>
                  </w:pPr>
                  <w:r>
                    <w:rPr>
                      <w:rFonts w:hint="eastAsia"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次/</w:t>
                  </w:r>
                  <w:r>
                    <w:rPr>
                      <w:rFonts w:hint="eastAsia" w:ascii="Times New Roman" w:hAnsi="Times New Roman" w:eastAsia="宋体" w:cs="Times New Roman"/>
                      <w:color w:val="auto"/>
                      <w:sz w:val="21"/>
                      <w:szCs w:val="21"/>
                      <w:lang w:val="en-US" w:eastAsia="zh-CN"/>
                    </w:rPr>
                    <w:t>半</w:t>
                  </w:r>
                  <w:r>
                    <w:rPr>
                      <w:rFonts w:hint="default" w:ascii="Times New Roman" w:hAnsi="Times New Roman" w:eastAsia="宋体" w:cs="Times New Roman"/>
                      <w:color w:val="auto"/>
                      <w:sz w:val="21"/>
                      <w:szCs w:val="21"/>
                    </w:rPr>
                    <w:t>年</w:t>
                  </w:r>
                </w:p>
              </w:tc>
              <w:tc>
                <w:tcPr>
                  <w:tcW w:w="1712" w:type="pct"/>
                  <w:vMerge w:val="continue"/>
                  <w:noWrap w:val="0"/>
                  <w:tcMar>
                    <w:top w:w="0" w:type="dxa"/>
                    <w:left w:w="0" w:type="dxa"/>
                    <w:bottom w:w="0" w:type="dxa"/>
                    <w:right w:w="0" w:type="dxa"/>
                  </w:tcMar>
                  <w:vAlign w:val="center"/>
                </w:tcPr>
                <w:p w14:paraId="7E87939B">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p>
              </w:tc>
              <w:tc>
                <w:tcPr>
                  <w:tcW w:w="429" w:type="pct"/>
                  <w:vMerge w:val="continue"/>
                  <w:noWrap w:val="0"/>
                  <w:tcMar>
                    <w:top w:w="0" w:type="dxa"/>
                    <w:left w:w="0" w:type="dxa"/>
                    <w:bottom w:w="0" w:type="dxa"/>
                    <w:right w:w="0" w:type="dxa"/>
                  </w:tcMar>
                  <w:vAlign w:val="center"/>
                </w:tcPr>
                <w:p w14:paraId="5F557BE5">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c>
                <w:tcPr>
                  <w:tcW w:w="469" w:type="pct"/>
                  <w:vMerge w:val="continue"/>
                  <w:noWrap w:val="0"/>
                  <w:tcMar>
                    <w:top w:w="0" w:type="dxa"/>
                    <w:left w:w="0" w:type="dxa"/>
                    <w:bottom w:w="0" w:type="dxa"/>
                    <w:right w:w="0" w:type="dxa"/>
                  </w:tcMar>
                  <w:vAlign w:val="center"/>
                </w:tcPr>
                <w:p w14:paraId="7EFA7073">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r>
            <w:tr w14:paraId="7DBD27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24" w:type="pct"/>
                  <w:vMerge w:val="continue"/>
                  <w:noWrap w:val="0"/>
                  <w:tcMar>
                    <w:top w:w="0" w:type="dxa"/>
                    <w:left w:w="0" w:type="dxa"/>
                    <w:bottom w:w="0" w:type="dxa"/>
                    <w:right w:w="0" w:type="dxa"/>
                  </w:tcMar>
                  <w:vAlign w:val="center"/>
                </w:tcPr>
                <w:p w14:paraId="49D9B65C">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c>
                <w:tcPr>
                  <w:tcW w:w="288" w:type="pct"/>
                  <w:vMerge w:val="continue"/>
                  <w:noWrap w:val="0"/>
                  <w:tcMar>
                    <w:top w:w="0" w:type="dxa"/>
                    <w:left w:w="0" w:type="dxa"/>
                    <w:bottom w:w="0" w:type="dxa"/>
                    <w:right w:w="0" w:type="dxa"/>
                  </w:tcMar>
                  <w:vAlign w:val="center"/>
                </w:tcPr>
                <w:p w14:paraId="1859E143">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sz w:val="21"/>
                      <w:szCs w:val="21"/>
                    </w:rPr>
                  </w:pPr>
                </w:p>
              </w:tc>
              <w:tc>
                <w:tcPr>
                  <w:tcW w:w="600" w:type="pct"/>
                  <w:vMerge w:val="continue"/>
                  <w:noWrap w:val="0"/>
                  <w:tcMar>
                    <w:top w:w="0" w:type="dxa"/>
                    <w:left w:w="0" w:type="dxa"/>
                    <w:bottom w:w="0" w:type="dxa"/>
                    <w:right w:w="0" w:type="dxa"/>
                  </w:tcMar>
                  <w:vAlign w:val="center"/>
                </w:tcPr>
                <w:p w14:paraId="19CD5232">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p>
              </w:tc>
              <w:tc>
                <w:tcPr>
                  <w:tcW w:w="721" w:type="pct"/>
                  <w:noWrap w:val="0"/>
                  <w:tcMar>
                    <w:top w:w="0" w:type="dxa"/>
                    <w:left w:w="0" w:type="dxa"/>
                    <w:bottom w:w="0" w:type="dxa"/>
                    <w:right w:w="0" w:type="dxa"/>
                  </w:tcMar>
                  <w:vAlign w:val="center"/>
                </w:tcPr>
                <w:p w14:paraId="7A8523EE">
                  <w:pPr>
                    <w:keepNext w:val="0"/>
                    <w:keepLines w:val="0"/>
                    <w:pageBreakBefore w:val="0"/>
                    <w:widowControl w:val="0"/>
                    <w:kinsoku/>
                    <w:overflowPunct/>
                    <w:topLinePunct w:val="0"/>
                    <w:autoSpaceDE/>
                    <w:autoSpaceDN/>
                    <w:bidi w:val="0"/>
                    <w:adjustRightInd w:val="0"/>
                    <w:snapToGrid w:val="0"/>
                    <w:spacing w:line="240" w:lineRule="auto"/>
                    <w:ind w:left="0" w:leftChars="0" w:right="0" w:rightChars="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颗粒物</w:t>
                  </w:r>
                </w:p>
              </w:tc>
              <w:tc>
                <w:tcPr>
                  <w:tcW w:w="553" w:type="pct"/>
                  <w:vMerge w:val="restart"/>
                  <w:shd w:val="clear" w:color="auto" w:fill="auto"/>
                  <w:noWrap w:val="0"/>
                  <w:tcMar>
                    <w:top w:w="0" w:type="dxa"/>
                    <w:left w:w="0" w:type="dxa"/>
                    <w:bottom w:w="0" w:type="dxa"/>
                    <w:right w:w="0" w:type="dxa"/>
                  </w:tcMar>
                  <w:vAlign w:val="center"/>
                </w:tcPr>
                <w:p w14:paraId="2F6A0928">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vertAlign w:val="superscript"/>
                      <w:lang w:val="en-US" w:eastAsia="zh-CN" w:bidi="ar-SA"/>
                    </w:rPr>
                  </w:pPr>
                  <w:r>
                    <w:rPr>
                      <w:rFonts w:hint="eastAsia"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次/年</w:t>
                  </w:r>
                </w:p>
              </w:tc>
              <w:tc>
                <w:tcPr>
                  <w:tcW w:w="1712" w:type="pct"/>
                  <w:vMerge w:val="continue"/>
                  <w:noWrap w:val="0"/>
                  <w:tcMar>
                    <w:top w:w="0" w:type="dxa"/>
                    <w:left w:w="0" w:type="dxa"/>
                    <w:bottom w:w="0" w:type="dxa"/>
                    <w:right w:w="0" w:type="dxa"/>
                  </w:tcMar>
                  <w:vAlign w:val="center"/>
                </w:tcPr>
                <w:p w14:paraId="38D17ACE">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sz w:val="21"/>
                      <w:szCs w:val="21"/>
                    </w:rPr>
                  </w:pPr>
                </w:p>
              </w:tc>
              <w:tc>
                <w:tcPr>
                  <w:tcW w:w="429" w:type="pct"/>
                  <w:vMerge w:val="continue"/>
                  <w:noWrap w:val="0"/>
                  <w:tcMar>
                    <w:top w:w="0" w:type="dxa"/>
                    <w:left w:w="0" w:type="dxa"/>
                    <w:bottom w:w="0" w:type="dxa"/>
                    <w:right w:w="0" w:type="dxa"/>
                  </w:tcMar>
                  <w:vAlign w:val="center"/>
                </w:tcPr>
                <w:p w14:paraId="7BB86ACD">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c>
                <w:tcPr>
                  <w:tcW w:w="469" w:type="pct"/>
                  <w:vMerge w:val="continue"/>
                  <w:noWrap w:val="0"/>
                  <w:tcMar>
                    <w:top w:w="0" w:type="dxa"/>
                    <w:left w:w="0" w:type="dxa"/>
                    <w:bottom w:w="0" w:type="dxa"/>
                    <w:right w:w="0" w:type="dxa"/>
                  </w:tcMar>
                  <w:vAlign w:val="center"/>
                </w:tcPr>
                <w:p w14:paraId="14EA3576">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r>
            <w:tr w14:paraId="6175EE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24" w:type="pct"/>
                  <w:vMerge w:val="continue"/>
                  <w:noWrap w:val="0"/>
                  <w:tcMar>
                    <w:top w:w="0" w:type="dxa"/>
                    <w:left w:w="0" w:type="dxa"/>
                    <w:bottom w:w="0" w:type="dxa"/>
                    <w:right w:w="0" w:type="dxa"/>
                  </w:tcMar>
                  <w:vAlign w:val="center"/>
                </w:tcPr>
                <w:p w14:paraId="6C8BFE9B">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c>
                <w:tcPr>
                  <w:tcW w:w="288" w:type="pct"/>
                  <w:vMerge w:val="continue"/>
                  <w:noWrap w:val="0"/>
                  <w:tcMar>
                    <w:top w:w="0" w:type="dxa"/>
                    <w:left w:w="0" w:type="dxa"/>
                    <w:bottom w:w="0" w:type="dxa"/>
                    <w:right w:w="0" w:type="dxa"/>
                  </w:tcMar>
                  <w:vAlign w:val="center"/>
                </w:tcPr>
                <w:p w14:paraId="34C62EAC">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sz w:val="21"/>
                      <w:szCs w:val="21"/>
                    </w:rPr>
                  </w:pPr>
                </w:p>
              </w:tc>
              <w:tc>
                <w:tcPr>
                  <w:tcW w:w="600" w:type="pct"/>
                  <w:vMerge w:val="restart"/>
                  <w:noWrap w:val="0"/>
                  <w:tcMar>
                    <w:top w:w="0" w:type="dxa"/>
                    <w:left w:w="0" w:type="dxa"/>
                    <w:bottom w:w="0" w:type="dxa"/>
                    <w:right w:w="0" w:type="dxa"/>
                  </w:tcMar>
                  <w:vAlign w:val="center"/>
                </w:tcPr>
                <w:p w14:paraId="7BFECBD3">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厂界</w:t>
                  </w:r>
                </w:p>
              </w:tc>
              <w:tc>
                <w:tcPr>
                  <w:tcW w:w="721" w:type="pct"/>
                  <w:noWrap w:val="0"/>
                  <w:tcMar>
                    <w:top w:w="0" w:type="dxa"/>
                    <w:left w:w="0" w:type="dxa"/>
                    <w:bottom w:w="0" w:type="dxa"/>
                    <w:right w:w="0" w:type="dxa"/>
                  </w:tcMar>
                  <w:vAlign w:val="center"/>
                </w:tcPr>
                <w:p w14:paraId="266658ED">
                  <w:pPr>
                    <w:keepNext w:val="0"/>
                    <w:keepLines w:val="0"/>
                    <w:pageBreakBefore w:val="0"/>
                    <w:widowControl w:val="0"/>
                    <w:kinsoku/>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非甲烷总烃</w:t>
                  </w:r>
                </w:p>
              </w:tc>
              <w:tc>
                <w:tcPr>
                  <w:tcW w:w="553" w:type="pct"/>
                  <w:vMerge w:val="continue"/>
                  <w:noWrap w:val="0"/>
                  <w:tcMar>
                    <w:top w:w="0" w:type="dxa"/>
                    <w:left w:w="0" w:type="dxa"/>
                    <w:bottom w:w="0" w:type="dxa"/>
                    <w:right w:w="0" w:type="dxa"/>
                  </w:tcMar>
                  <w:vAlign w:val="center"/>
                </w:tcPr>
                <w:p w14:paraId="6A66B996">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p>
              </w:tc>
              <w:tc>
                <w:tcPr>
                  <w:tcW w:w="1712" w:type="pct"/>
                  <w:shd w:val="clear" w:color="auto" w:fill="auto"/>
                  <w:noWrap w:val="0"/>
                  <w:tcMar>
                    <w:top w:w="0" w:type="dxa"/>
                    <w:left w:w="0" w:type="dxa"/>
                    <w:bottom w:w="0" w:type="dxa"/>
                    <w:right w:w="0" w:type="dxa"/>
                  </w:tcMar>
                  <w:vAlign w:val="center"/>
                </w:tcPr>
                <w:p w14:paraId="6CB6EACB">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eastAsia="zh-CN"/>
                    </w:rPr>
                    <w:t>《</w:t>
                  </w:r>
                  <w:r>
                    <w:rPr>
                      <w:rFonts w:hint="eastAsia"/>
                      <w:color w:val="auto"/>
                      <w:szCs w:val="21"/>
                    </w:rPr>
                    <w:t>合成树脂工业污染物排放标准</w:t>
                  </w:r>
                  <w:r>
                    <w:rPr>
                      <w:rFonts w:hint="eastAsia"/>
                      <w:color w:val="auto"/>
                      <w:szCs w:val="21"/>
                      <w:lang w:eastAsia="zh-CN"/>
                    </w:rPr>
                    <w:t>》</w:t>
                  </w:r>
                  <w:r>
                    <w:rPr>
                      <w:rFonts w:hint="eastAsia"/>
                      <w:color w:val="auto"/>
                      <w:szCs w:val="21"/>
                    </w:rPr>
                    <w:t>（GB 31572-2015）</w:t>
                  </w:r>
                  <w:r>
                    <w:rPr>
                      <w:rFonts w:hint="eastAsia"/>
                      <w:color w:val="auto"/>
                      <w:szCs w:val="21"/>
                      <w:lang w:val="en-US" w:eastAsia="zh-CN"/>
                    </w:rPr>
                    <w:t>及2024年修改单表9中的标准</w:t>
                  </w:r>
                </w:p>
              </w:tc>
              <w:tc>
                <w:tcPr>
                  <w:tcW w:w="429" w:type="pct"/>
                  <w:vMerge w:val="continue"/>
                  <w:noWrap w:val="0"/>
                  <w:tcMar>
                    <w:top w:w="0" w:type="dxa"/>
                    <w:left w:w="0" w:type="dxa"/>
                    <w:bottom w:w="0" w:type="dxa"/>
                    <w:right w:w="0" w:type="dxa"/>
                  </w:tcMar>
                  <w:vAlign w:val="center"/>
                </w:tcPr>
                <w:p w14:paraId="32CD81B5">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c>
                <w:tcPr>
                  <w:tcW w:w="469" w:type="pct"/>
                  <w:vMerge w:val="continue"/>
                  <w:noWrap w:val="0"/>
                  <w:tcMar>
                    <w:top w:w="0" w:type="dxa"/>
                    <w:left w:w="0" w:type="dxa"/>
                    <w:bottom w:w="0" w:type="dxa"/>
                    <w:right w:w="0" w:type="dxa"/>
                  </w:tcMar>
                  <w:vAlign w:val="center"/>
                </w:tcPr>
                <w:p w14:paraId="21D76969">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r>
            <w:tr w14:paraId="75D04B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24" w:type="pct"/>
                  <w:vMerge w:val="continue"/>
                  <w:noWrap w:val="0"/>
                  <w:tcMar>
                    <w:top w:w="0" w:type="dxa"/>
                    <w:left w:w="0" w:type="dxa"/>
                    <w:bottom w:w="0" w:type="dxa"/>
                    <w:right w:w="0" w:type="dxa"/>
                  </w:tcMar>
                  <w:vAlign w:val="center"/>
                </w:tcPr>
                <w:p w14:paraId="2393FC9C">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c>
                <w:tcPr>
                  <w:tcW w:w="288" w:type="pct"/>
                  <w:vMerge w:val="continue"/>
                  <w:noWrap w:val="0"/>
                  <w:tcMar>
                    <w:top w:w="0" w:type="dxa"/>
                    <w:left w:w="0" w:type="dxa"/>
                    <w:bottom w:w="0" w:type="dxa"/>
                    <w:right w:w="0" w:type="dxa"/>
                  </w:tcMar>
                  <w:vAlign w:val="center"/>
                </w:tcPr>
                <w:p w14:paraId="69295692">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sz w:val="21"/>
                      <w:szCs w:val="21"/>
                    </w:rPr>
                  </w:pPr>
                </w:p>
              </w:tc>
              <w:tc>
                <w:tcPr>
                  <w:tcW w:w="600" w:type="pct"/>
                  <w:vMerge w:val="continue"/>
                  <w:noWrap w:val="0"/>
                  <w:tcMar>
                    <w:top w:w="0" w:type="dxa"/>
                    <w:left w:w="0" w:type="dxa"/>
                    <w:bottom w:w="0" w:type="dxa"/>
                    <w:right w:w="0" w:type="dxa"/>
                  </w:tcMar>
                  <w:vAlign w:val="center"/>
                </w:tcPr>
                <w:p w14:paraId="0537BB3B">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sz w:val="21"/>
                      <w:szCs w:val="21"/>
                    </w:rPr>
                  </w:pPr>
                </w:p>
              </w:tc>
              <w:tc>
                <w:tcPr>
                  <w:tcW w:w="721" w:type="pct"/>
                  <w:noWrap w:val="0"/>
                  <w:tcMar>
                    <w:top w:w="0" w:type="dxa"/>
                    <w:left w:w="0" w:type="dxa"/>
                    <w:bottom w:w="0" w:type="dxa"/>
                    <w:right w:w="0" w:type="dxa"/>
                  </w:tcMar>
                  <w:vAlign w:val="center"/>
                </w:tcPr>
                <w:p w14:paraId="183088D3">
                  <w:pPr>
                    <w:keepNext w:val="0"/>
                    <w:keepLines w:val="0"/>
                    <w:pageBreakBefore w:val="0"/>
                    <w:widowControl w:val="0"/>
                    <w:kinsoku/>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颗粒物</w:t>
                  </w:r>
                </w:p>
              </w:tc>
              <w:tc>
                <w:tcPr>
                  <w:tcW w:w="553" w:type="pct"/>
                  <w:vMerge w:val="continue"/>
                  <w:noWrap w:val="0"/>
                  <w:tcMar>
                    <w:top w:w="0" w:type="dxa"/>
                    <w:left w:w="0" w:type="dxa"/>
                    <w:bottom w:w="0" w:type="dxa"/>
                    <w:right w:w="0" w:type="dxa"/>
                  </w:tcMar>
                  <w:vAlign w:val="center"/>
                </w:tcPr>
                <w:p w14:paraId="397E962A">
                  <w:pPr>
                    <w:keepNext w:val="0"/>
                    <w:keepLines w:val="0"/>
                    <w:pageBreakBefore w:val="0"/>
                    <w:widowControl w:val="0"/>
                    <w:suppressLineNumbers w:val="0"/>
                    <w:kinsoku/>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p>
              </w:tc>
              <w:tc>
                <w:tcPr>
                  <w:tcW w:w="1712" w:type="pct"/>
                  <w:shd w:val="clear" w:color="auto" w:fill="auto"/>
                  <w:noWrap w:val="0"/>
                  <w:tcMar>
                    <w:top w:w="0" w:type="dxa"/>
                    <w:left w:w="0" w:type="dxa"/>
                    <w:bottom w:w="0" w:type="dxa"/>
                    <w:right w:w="0" w:type="dxa"/>
                  </w:tcMar>
                  <w:vAlign w:val="center"/>
                </w:tcPr>
                <w:p w14:paraId="3427BEA6">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《大气污染物综合排放标准》（DB32/4041-2021）表</w:t>
                  </w: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标准</w:t>
                  </w:r>
                </w:p>
              </w:tc>
              <w:tc>
                <w:tcPr>
                  <w:tcW w:w="429" w:type="pct"/>
                  <w:vMerge w:val="continue"/>
                  <w:noWrap w:val="0"/>
                  <w:tcMar>
                    <w:top w:w="0" w:type="dxa"/>
                    <w:left w:w="0" w:type="dxa"/>
                    <w:bottom w:w="0" w:type="dxa"/>
                    <w:right w:w="0" w:type="dxa"/>
                  </w:tcMar>
                  <w:vAlign w:val="center"/>
                </w:tcPr>
                <w:p w14:paraId="5CF69D27">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c>
                <w:tcPr>
                  <w:tcW w:w="469" w:type="pct"/>
                  <w:vMerge w:val="continue"/>
                  <w:noWrap w:val="0"/>
                  <w:tcMar>
                    <w:top w:w="0" w:type="dxa"/>
                    <w:left w:w="0" w:type="dxa"/>
                    <w:bottom w:w="0" w:type="dxa"/>
                    <w:right w:w="0" w:type="dxa"/>
                  </w:tcMar>
                  <w:vAlign w:val="center"/>
                </w:tcPr>
                <w:p w14:paraId="71DBADD4">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r>
            <w:tr w14:paraId="4BD4F4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24" w:type="pct"/>
                  <w:vMerge w:val="continue"/>
                  <w:noWrap w:val="0"/>
                  <w:tcMar>
                    <w:top w:w="0" w:type="dxa"/>
                    <w:left w:w="0" w:type="dxa"/>
                    <w:bottom w:w="0" w:type="dxa"/>
                    <w:right w:w="0" w:type="dxa"/>
                  </w:tcMar>
                  <w:vAlign w:val="center"/>
                </w:tcPr>
                <w:p w14:paraId="57912437">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c>
                <w:tcPr>
                  <w:tcW w:w="288" w:type="pct"/>
                  <w:vMerge w:val="continue"/>
                  <w:noWrap w:val="0"/>
                  <w:tcMar>
                    <w:top w:w="0" w:type="dxa"/>
                    <w:left w:w="0" w:type="dxa"/>
                    <w:bottom w:w="0" w:type="dxa"/>
                    <w:right w:w="0" w:type="dxa"/>
                  </w:tcMar>
                  <w:vAlign w:val="center"/>
                </w:tcPr>
                <w:p w14:paraId="7859CECF">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sz w:val="21"/>
                      <w:szCs w:val="21"/>
                    </w:rPr>
                  </w:pPr>
                </w:p>
              </w:tc>
              <w:tc>
                <w:tcPr>
                  <w:tcW w:w="600" w:type="pct"/>
                  <w:noWrap w:val="0"/>
                  <w:tcMar>
                    <w:top w:w="0" w:type="dxa"/>
                    <w:left w:w="0" w:type="dxa"/>
                    <w:bottom w:w="0" w:type="dxa"/>
                    <w:right w:w="0" w:type="dxa"/>
                  </w:tcMar>
                  <w:vAlign w:val="center"/>
                </w:tcPr>
                <w:p w14:paraId="774AC2EB">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车间门窗外1m</w:t>
                  </w:r>
                </w:p>
              </w:tc>
              <w:tc>
                <w:tcPr>
                  <w:tcW w:w="721" w:type="pct"/>
                  <w:noWrap w:val="0"/>
                  <w:tcMar>
                    <w:top w:w="0" w:type="dxa"/>
                    <w:left w:w="0" w:type="dxa"/>
                    <w:bottom w:w="0" w:type="dxa"/>
                    <w:right w:w="0" w:type="dxa"/>
                  </w:tcMar>
                  <w:vAlign w:val="center"/>
                </w:tcPr>
                <w:p w14:paraId="421EDC1F">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Cs/>
                      <w:color w:val="auto"/>
                      <w:sz w:val="21"/>
                      <w:szCs w:val="21"/>
                    </w:rPr>
                    <w:t>非甲烷总烃</w:t>
                  </w:r>
                </w:p>
              </w:tc>
              <w:tc>
                <w:tcPr>
                  <w:tcW w:w="553" w:type="pct"/>
                  <w:vMerge w:val="continue"/>
                  <w:noWrap w:val="0"/>
                  <w:tcMar>
                    <w:top w:w="0" w:type="dxa"/>
                    <w:left w:w="0" w:type="dxa"/>
                    <w:bottom w:w="0" w:type="dxa"/>
                    <w:right w:w="0" w:type="dxa"/>
                  </w:tcMar>
                  <w:vAlign w:val="center"/>
                </w:tcPr>
                <w:p w14:paraId="432B70D4">
                  <w:pPr>
                    <w:keepNext w:val="0"/>
                    <w:keepLines w:val="0"/>
                    <w:pageBreakBefore w:val="0"/>
                    <w:widowControl w:val="0"/>
                    <w:suppressLineNumbers w:val="0"/>
                    <w:kinsoku/>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p>
              </w:tc>
              <w:tc>
                <w:tcPr>
                  <w:tcW w:w="1712" w:type="pct"/>
                  <w:noWrap w:val="0"/>
                  <w:tcMar>
                    <w:top w:w="0" w:type="dxa"/>
                    <w:left w:w="0" w:type="dxa"/>
                    <w:bottom w:w="0" w:type="dxa"/>
                    <w:right w:w="0" w:type="dxa"/>
                  </w:tcMar>
                  <w:vAlign w:val="center"/>
                </w:tcPr>
                <w:p w14:paraId="5DE0DAA4">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《大气污染物综合排放标准》（DB32/4041-2021）表</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标准</w:t>
                  </w:r>
                </w:p>
              </w:tc>
              <w:tc>
                <w:tcPr>
                  <w:tcW w:w="429" w:type="pct"/>
                  <w:vMerge w:val="continue"/>
                  <w:noWrap w:val="0"/>
                  <w:tcMar>
                    <w:top w:w="0" w:type="dxa"/>
                    <w:left w:w="0" w:type="dxa"/>
                    <w:bottom w:w="0" w:type="dxa"/>
                    <w:right w:w="0" w:type="dxa"/>
                  </w:tcMar>
                  <w:vAlign w:val="center"/>
                </w:tcPr>
                <w:p w14:paraId="5E609527">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c>
                <w:tcPr>
                  <w:tcW w:w="469" w:type="pct"/>
                  <w:vMerge w:val="continue"/>
                  <w:noWrap w:val="0"/>
                  <w:tcMar>
                    <w:top w:w="0" w:type="dxa"/>
                    <w:left w:w="0" w:type="dxa"/>
                    <w:bottom w:w="0" w:type="dxa"/>
                    <w:right w:w="0" w:type="dxa"/>
                  </w:tcMar>
                  <w:vAlign w:val="center"/>
                </w:tcPr>
                <w:p w14:paraId="153847DD">
                  <w:pPr>
                    <w:keepNext w:val="0"/>
                    <w:keepLines w:val="0"/>
                    <w:pageBreakBefore w:val="0"/>
                    <w:widowControl w:val="0"/>
                    <w:suppressLineNumbers w:val="0"/>
                    <w:kinsoku/>
                    <w:wordWrap w:val="0"/>
                    <w:overflowPunct/>
                    <w:topLinePunct w:val="0"/>
                    <w:autoSpaceDE/>
                    <w:autoSpaceDN/>
                    <w:bidi w:val="0"/>
                    <w:spacing w:beforeAutospacing="0" w:afterAutospacing="0" w:line="240" w:lineRule="auto"/>
                    <w:ind w:left="0" w:leftChars="0" w:right="0" w:rightChars="0"/>
                    <w:jc w:val="center"/>
                    <w:textAlignment w:val="auto"/>
                    <w:rPr>
                      <w:rFonts w:hint="default" w:ascii="Times New Roman" w:hAnsi="Times New Roman" w:eastAsia="宋体" w:cs="Times New Roman"/>
                      <w:bCs/>
                      <w:color w:val="auto"/>
                      <w:sz w:val="21"/>
                      <w:szCs w:val="21"/>
                    </w:rPr>
                  </w:pPr>
                </w:p>
              </w:tc>
            </w:tr>
          </w:tbl>
          <w:p w14:paraId="14FCB8FB">
            <w:pPr>
              <w:spacing w:before="120" w:beforeLines="50" w:line="360" w:lineRule="auto"/>
              <w:ind w:left="420" w:leftChars="200"/>
              <w:rPr>
                <w:b/>
                <w:color w:val="auto"/>
                <w:szCs w:val="21"/>
              </w:rPr>
            </w:pPr>
            <w:r>
              <w:rPr>
                <w:rFonts w:hint="eastAsia"/>
                <w:b/>
                <w:color w:val="auto"/>
                <w:szCs w:val="21"/>
              </w:rPr>
              <w:t>5</w:t>
            </w:r>
            <w:r>
              <w:rPr>
                <w:b/>
                <w:color w:val="auto"/>
                <w:szCs w:val="21"/>
              </w:rPr>
              <w:t>、大气环境影响分析结论</w:t>
            </w:r>
          </w:p>
          <w:p w14:paraId="6752EAB6">
            <w:pPr>
              <w:pStyle w:val="7"/>
              <w:adjustRightInd w:val="0"/>
              <w:snapToGrid w:val="0"/>
              <w:spacing w:line="360" w:lineRule="auto"/>
              <w:rPr>
                <w:color w:val="auto"/>
                <w:szCs w:val="21"/>
              </w:rPr>
            </w:pPr>
            <w:r>
              <w:rPr>
                <w:color w:val="auto"/>
                <w:szCs w:val="21"/>
              </w:rPr>
              <w:t>本项目位于环境空气质量非达标区，超标因子为PM</w:t>
            </w:r>
            <w:r>
              <w:rPr>
                <w:color w:val="auto"/>
                <w:szCs w:val="21"/>
                <w:vertAlign w:val="subscript"/>
              </w:rPr>
              <w:t>2.5</w:t>
            </w:r>
            <w:r>
              <w:rPr>
                <w:color w:val="auto"/>
                <w:szCs w:val="21"/>
              </w:rPr>
              <w:t>和O</w:t>
            </w:r>
            <w:r>
              <w:rPr>
                <w:color w:val="auto"/>
                <w:szCs w:val="21"/>
                <w:vertAlign w:val="subscript"/>
              </w:rPr>
              <w:t>3</w:t>
            </w:r>
            <w:r>
              <w:rPr>
                <w:color w:val="auto"/>
                <w:szCs w:val="21"/>
              </w:rPr>
              <w:t>。</w:t>
            </w:r>
            <w:r>
              <w:rPr>
                <w:rFonts w:hint="eastAsia"/>
                <w:color w:val="auto"/>
                <w:szCs w:val="21"/>
                <w:lang w:val="en-US" w:eastAsia="zh-CN"/>
              </w:rPr>
              <w:t>全厂</w:t>
            </w:r>
            <w:r>
              <w:rPr>
                <w:color w:val="auto"/>
                <w:szCs w:val="21"/>
              </w:rPr>
              <w:t>卫生防护距离为以</w:t>
            </w:r>
            <w:r>
              <w:rPr>
                <w:rFonts w:hint="eastAsia"/>
                <w:color w:val="auto"/>
                <w:szCs w:val="21"/>
              </w:rPr>
              <w:t>生产车间</w:t>
            </w:r>
            <w:r>
              <w:rPr>
                <w:color w:val="auto"/>
                <w:szCs w:val="21"/>
              </w:rPr>
              <w:t>边界外扩100米，作最大包络线的范围，各大气污染物排放强度较低，对大气环境影响较小，周边大气环境可基本维持现状，但仍应加强污染控制管理，减少非正常排放情况的发生。</w:t>
            </w:r>
          </w:p>
          <w:p w14:paraId="4460B79A">
            <w:pPr>
              <w:spacing w:line="360" w:lineRule="auto"/>
              <w:ind w:firstLine="422" w:firstLineChars="200"/>
              <w:rPr>
                <w:b/>
                <w:color w:val="auto"/>
                <w:szCs w:val="21"/>
              </w:rPr>
            </w:pPr>
            <w:r>
              <w:rPr>
                <w:b/>
                <w:color w:val="auto"/>
                <w:szCs w:val="21"/>
              </w:rPr>
              <w:t>二、水环境影响分析</w:t>
            </w:r>
          </w:p>
          <w:p w14:paraId="4F948EF7">
            <w:pPr>
              <w:spacing w:line="360" w:lineRule="auto"/>
              <w:ind w:firstLine="422" w:firstLineChars="200"/>
              <w:rPr>
                <w:b/>
                <w:bCs/>
                <w:color w:val="auto"/>
                <w:szCs w:val="21"/>
              </w:rPr>
            </w:pPr>
            <w:r>
              <w:rPr>
                <w:b/>
                <w:bCs/>
                <w:color w:val="auto"/>
                <w:szCs w:val="21"/>
              </w:rPr>
              <w:t>1、废水源强</w:t>
            </w:r>
          </w:p>
          <w:p w14:paraId="74619DFD">
            <w:pPr>
              <w:spacing w:line="360" w:lineRule="auto"/>
              <w:ind w:firstLine="420" w:firstLineChars="200"/>
              <w:rPr>
                <w:bCs/>
                <w:color w:val="auto"/>
                <w:szCs w:val="21"/>
              </w:rPr>
            </w:pPr>
            <w:r>
              <w:rPr>
                <w:bCs/>
                <w:color w:val="auto"/>
                <w:szCs w:val="21"/>
              </w:rPr>
              <w:t>本项目排水为员工生活污水。</w:t>
            </w:r>
          </w:p>
          <w:p w14:paraId="3F20822E">
            <w:pPr>
              <w:spacing w:line="360" w:lineRule="auto"/>
              <w:ind w:firstLine="420" w:firstLineChars="200"/>
              <w:rPr>
                <w:color w:val="auto"/>
                <w:szCs w:val="21"/>
              </w:rPr>
            </w:pPr>
            <w:r>
              <w:rPr>
                <w:bCs/>
                <w:color w:val="auto"/>
                <w:szCs w:val="21"/>
              </w:rPr>
              <w:t>生活污水：生活用水排放系数以0.8计，则生活污水排放量为</w:t>
            </w:r>
            <w:r>
              <w:rPr>
                <w:rFonts w:hint="eastAsia"/>
                <w:bCs/>
                <w:color w:val="auto"/>
                <w:szCs w:val="21"/>
                <w:lang w:val="en-US" w:eastAsia="zh-CN"/>
              </w:rPr>
              <w:t>144</w:t>
            </w:r>
            <w:r>
              <w:rPr>
                <w:bCs/>
                <w:color w:val="auto"/>
                <w:szCs w:val="21"/>
              </w:rPr>
              <w:t>m</w:t>
            </w:r>
            <w:r>
              <w:rPr>
                <w:bCs/>
                <w:color w:val="auto"/>
                <w:szCs w:val="21"/>
                <w:vertAlign w:val="superscript"/>
              </w:rPr>
              <w:t>3</w:t>
            </w:r>
            <w:r>
              <w:rPr>
                <w:bCs/>
                <w:color w:val="auto"/>
                <w:szCs w:val="21"/>
              </w:rPr>
              <w:t>/a，生活污水水质较为简单，其中</w:t>
            </w:r>
            <w:r>
              <w:rPr>
                <w:rFonts w:hint="default" w:ascii="Times New Roman" w:hAnsi="Times New Roman" w:eastAsia="宋体" w:cs="Times New Roman"/>
                <w:color w:val="auto"/>
                <w:sz w:val="21"/>
                <w:szCs w:val="21"/>
              </w:rPr>
              <w:t>COD</w:t>
            </w:r>
            <w:r>
              <w:rPr>
                <w:rFonts w:hint="eastAsia" w:cs="Times New Roman"/>
                <w:color w:val="auto"/>
                <w:sz w:val="21"/>
                <w:szCs w:val="21"/>
                <w:lang w:val="en-US" w:eastAsia="zh-CN"/>
              </w:rPr>
              <w:t xml:space="preserve"> </w:t>
            </w:r>
            <w:r>
              <w:rPr>
                <w:rFonts w:hint="default" w:ascii="Times New Roman" w:hAnsi="Times New Roman" w:eastAsia="宋体" w:cs="Times New Roman"/>
                <w:color w:val="auto"/>
                <w:sz w:val="21"/>
                <w:szCs w:val="21"/>
              </w:rPr>
              <w:t>400mg/L、SS</w:t>
            </w:r>
            <w:r>
              <w:rPr>
                <w:rFonts w:hint="eastAsia" w:cs="Times New Roman"/>
                <w:color w:val="auto"/>
                <w:sz w:val="21"/>
                <w:szCs w:val="21"/>
                <w:lang w:val="en-US" w:eastAsia="zh-CN"/>
              </w:rPr>
              <w:t xml:space="preserve"> </w:t>
            </w:r>
            <w:r>
              <w:rPr>
                <w:rFonts w:hint="default" w:ascii="Times New Roman" w:hAnsi="Times New Roman" w:eastAsia="宋体" w:cs="Times New Roman"/>
                <w:color w:val="auto"/>
                <w:sz w:val="21"/>
                <w:szCs w:val="21"/>
              </w:rPr>
              <w:t>200mg/L、NH</w:t>
            </w:r>
            <w:r>
              <w:rPr>
                <w:rFonts w:hint="default" w:ascii="Times New Roman" w:hAnsi="Times New Roman" w:eastAsia="宋体" w:cs="Times New Roman"/>
                <w:color w:val="auto"/>
                <w:sz w:val="21"/>
                <w:szCs w:val="21"/>
                <w:vertAlign w:val="subscript"/>
              </w:rPr>
              <w:t>3</w:t>
            </w:r>
            <w:r>
              <w:rPr>
                <w:rFonts w:hint="default" w:ascii="Times New Roman" w:hAnsi="Times New Roman" w:eastAsia="宋体" w:cs="Times New Roman"/>
                <w:color w:val="auto"/>
                <w:sz w:val="21"/>
                <w:szCs w:val="21"/>
              </w:rPr>
              <w:t>-N</w:t>
            </w:r>
            <w:r>
              <w:rPr>
                <w:rFonts w:hint="eastAsia" w:cs="Times New Roman"/>
                <w:color w:val="auto"/>
                <w:sz w:val="21"/>
                <w:szCs w:val="21"/>
                <w:lang w:val="en-US" w:eastAsia="zh-CN"/>
              </w:rPr>
              <w:t xml:space="preserve"> 30</w:t>
            </w:r>
            <w:r>
              <w:rPr>
                <w:rFonts w:hint="default" w:ascii="Times New Roman" w:hAnsi="Times New Roman" w:eastAsia="宋体" w:cs="Times New Roman"/>
                <w:color w:val="auto"/>
                <w:sz w:val="21"/>
                <w:szCs w:val="21"/>
              </w:rPr>
              <w:t xml:space="preserve">mg/L、TN </w:t>
            </w:r>
            <w:r>
              <w:rPr>
                <w:rFonts w:hint="eastAsia" w:cs="Times New Roman"/>
                <w:color w:val="auto"/>
                <w:sz w:val="21"/>
                <w:szCs w:val="21"/>
                <w:lang w:val="en-US" w:eastAsia="zh-CN"/>
              </w:rPr>
              <w:t>40</w:t>
            </w:r>
            <w:r>
              <w:rPr>
                <w:rFonts w:hint="default" w:ascii="Times New Roman" w:hAnsi="Times New Roman" w:eastAsia="宋体" w:cs="Times New Roman"/>
                <w:color w:val="auto"/>
                <w:sz w:val="21"/>
                <w:szCs w:val="21"/>
              </w:rPr>
              <w:t>mg/L、TP 3mg/L</w:t>
            </w:r>
            <w:r>
              <w:rPr>
                <w:bCs/>
                <w:color w:val="auto"/>
                <w:szCs w:val="21"/>
              </w:rPr>
              <w:t>，排入</w:t>
            </w:r>
            <w:r>
              <w:rPr>
                <w:color w:val="auto"/>
                <w:szCs w:val="21"/>
              </w:rPr>
              <w:t>常州金坛区第二污水处理有限公司。</w:t>
            </w:r>
          </w:p>
          <w:p w14:paraId="161902B8">
            <w:pPr>
              <w:keepNext w:val="0"/>
              <w:keepLines w:val="0"/>
              <w:pageBreakBefore w:val="0"/>
              <w:widowControl w:val="0"/>
              <w:kinsoku/>
              <w:wordWrap/>
              <w:overflowPunct/>
              <w:topLinePunct w:val="0"/>
              <w:autoSpaceDE/>
              <w:autoSpaceDN/>
              <w:bidi w:val="0"/>
              <w:adjustRightInd/>
              <w:snapToGrid/>
              <w:jc w:val="center"/>
              <w:textAlignment w:val="auto"/>
              <w:rPr>
                <w:b/>
                <w:bCs/>
                <w:color w:val="auto"/>
                <w:szCs w:val="21"/>
              </w:rPr>
            </w:pPr>
            <w:r>
              <w:rPr>
                <w:b/>
                <w:bCs/>
                <w:color w:val="auto"/>
                <w:szCs w:val="21"/>
              </w:rPr>
              <w:t>表4-</w:t>
            </w:r>
            <w:r>
              <w:rPr>
                <w:rFonts w:hint="eastAsia"/>
                <w:b/>
                <w:bCs/>
                <w:color w:val="auto"/>
                <w:szCs w:val="21"/>
                <w:lang w:val="en-US" w:eastAsia="zh-CN"/>
              </w:rPr>
              <w:t>17</w:t>
            </w:r>
            <w:r>
              <w:rPr>
                <w:b/>
                <w:bCs/>
                <w:color w:val="auto"/>
                <w:szCs w:val="21"/>
              </w:rPr>
              <w:t xml:space="preserve"> 废水污染源源强核算结果及相关参数一览表</w:t>
            </w:r>
          </w:p>
          <w:tbl>
            <w:tblPr>
              <w:tblStyle w:val="28"/>
              <w:tblW w:w="499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41"/>
              <w:gridCol w:w="473"/>
              <w:gridCol w:w="323"/>
              <w:gridCol w:w="659"/>
              <w:gridCol w:w="771"/>
              <w:gridCol w:w="711"/>
              <w:gridCol w:w="587"/>
              <w:gridCol w:w="761"/>
              <w:gridCol w:w="766"/>
              <w:gridCol w:w="1121"/>
              <w:gridCol w:w="928"/>
              <w:gridCol w:w="831"/>
            </w:tblGrid>
            <w:tr w14:paraId="4B074D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3" w:type="pct"/>
                  <w:vMerge w:val="restart"/>
                  <w:noWrap w:val="0"/>
                  <w:tcMar>
                    <w:top w:w="0" w:type="dxa"/>
                    <w:left w:w="0" w:type="dxa"/>
                    <w:bottom w:w="0" w:type="dxa"/>
                    <w:right w:w="0" w:type="dxa"/>
                  </w:tcMar>
                  <w:vAlign w:val="center"/>
                </w:tcPr>
                <w:p w14:paraId="6941FB9D">
                  <w:pPr>
                    <w:widowControl/>
                    <w:adjustRightInd w:val="0"/>
                    <w:snapToGrid w:val="0"/>
                    <w:jc w:val="center"/>
                    <w:rPr>
                      <w:b/>
                      <w:bCs/>
                      <w:color w:val="auto"/>
                      <w:szCs w:val="21"/>
                    </w:rPr>
                  </w:pPr>
                  <w:r>
                    <w:rPr>
                      <w:b/>
                      <w:bCs/>
                      <w:color w:val="auto"/>
                      <w:szCs w:val="21"/>
                    </w:rPr>
                    <w:t>废水来源</w:t>
                  </w:r>
                </w:p>
              </w:tc>
              <w:tc>
                <w:tcPr>
                  <w:tcW w:w="282" w:type="pct"/>
                  <w:vMerge w:val="restart"/>
                  <w:noWrap w:val="0"/>
                  <w:tcMar>
                    <w:top w:w="0" w:type="dxa"/>
                    <w:left w:w="0" w:type="dxa"/>
                    <w:bottom w:w="0" w:type="dxa"/>
                    <w:right w:w="0" w:type="dxa"/>
                  </w:tcMar>
                  <w:vAlign w:val="center"/>
                </w:tcPr>
                <w:p w14:paraId="083DB785">
                  <w:pPr>
                    <w:widowControl/>
                    <w:adjustRightInd w:val="0"/>
                    <w:snapToGrid w:val="0"/>
                    <w:jc w:val="center"/>
                    <w:rPr>
                      <w:b/>
                      <w:bCs/>
                      <w:color w:val="auto"/>
                      <w:szCs w:val="21"/>
                    </w:rPr>
                  </w:pPr>
                  <w:r>
                    <w:rPr>
                      <w:b/>
                      <w:color w:val="auto"/>
                      <w:szCs w:val="21"/>
                    </w:rPr>
                    <w:t>废水量m</w:t>
                  </w:r>
                  <w:r>
                    <w:rPr>
                      <w:b/>
                      <w:color w:val="auto"/>
                      <w:szCs w:val="21"/>
                      <w:vertAlign w:val="superscript"/>
                    </w:rPr>
                    <w:t>3</w:t>
                  </w:r>
                  <w:r>
                    <w:rPr>
                      <w:b/>
                      <w:color w:val="auto"/>
                      <w:szCs w:val="21"/>
                    </w:rPr>
                    <w:t>/a</w:t>
                  </w:r>
                </w:p>
              </w:tc>
              <w:tc>
                <w:tcPr>
                  <w:tcW w:w="192" w:type="pct"/>
                  <w:vMerge w:val="restart"/>
                  <w:noWrap w:val="0"/>
                  <w:tcMar>
                    <w:top w:w="0" w:type="dxa"/>
                    <w:left w:w="0" w:type="dxa"/>
                    <w:bottom w:w="0" w:type="dxa"/>
                    <w:right w:w="0" w:type="dxa"/>
                  </w:tcMar>
                  <w:vAlign w:val="center"/>
                </w:tcPr>
                <w:p w14:paraId="58DFEC29">
                  <w:pPr>
                    <w:widowControl/>
                    <w:adjustRightInd w:val="0"/>
                    <w:snapToGrid w:val="0"/>
                    <w:jc w:val="center"/>
                    <w:rPr>
                      <w:b/>
                      <w:bCs/>
                      <w:color w:val="auto"/>
                      <w:szCs w:val="21"/>
                    </w:rPr>
                  </w:pPr>
                  <w:r>
                    <w:rPr>
                      <w:b/>
                      <w:bCs/>
                      <w:color w:val="auto"/>
                      <w:szCs w:val="21"/>
                    </w:rPr>
                    <w:t>污染源</w:t>
                  </w:r>
                </w:p>
              </w:tc>
              <w:tc>
                <w:tcPr>
                  <w:tcW w:w="393" w:type="pct"/>
                  <w:vMerge w:val="restart"/>
                  <w:noWrap w:val="0"/>
                  <w:tcMar>
                    <w:top w:w="0" w:type="dxa"/>
                    <w:left w:w="0" w:type="dxa"/>
                    <w:bottom w:w="0" w:type="dxa"/>
                    <w:right w:w="0" w:type="dxa"/>
                  </w:tcMar>
                  <w:vAlign w:val="center"/>
                </w:tcPr>
                <w:p w14:paraId="1998D757">
                  <w:pPr>
                    <w:widowControl/>
                    <w:adjustRightInd w:val="0"/>
                    <w:snapToGrid w:val="0"/>
                    <w:jc w:val="center"/>
                    <w:rPr>
                      <w:b/>
                      <w:bCs/>
                      <w:color w:val="auto"/>
                      <w:szCs w:val="21"/>
                    </w:rPr>
                  </w:pPr>
                  <w:r>
                    <w:rPr>
                      <w:b/>
                      <w:bCs/>
                      <w:color w:val="auto"/>
                      <w:szCs w:val="21"/>
                    </w:rPr>
                    <w:t>污染物</w:t>
                  </w:r>
                </w:p>
              </w:tc>
              <w:tc>
                <w:tcPr>
                  <w:tcW w:w="885" w:type="pct"/>
                  <w:gridSpan w:val="2"/>
                  <w:noWrap w:val="0"/>
                  <w:tcMar>
                    <w:top w:w="0" w:type="dxa"/>
                    <w:left w:w="0" w:type="dxa"/>
                    <w:bottom w:w="0" w:type="dxa"/>
                    <w:right w:w="0" w:type="dxa"/>
                  </w:tcMar>
                  <w:vAlign w:val="center"/>
                </w:tcPr>
                <w:p w14:paraId="7018DD0E">
                  <w:pPr>
                    <w:widowControl/>
                    <w:adjustRightInd w:val="0"/>
                    <w:snapToGrid w:val="0"/>
                    <w:jc w:val="center"/>
                    <w:rPr>
                      <w:b/>
                      <w:bCs/>
                      <w:color w:val="auto"/>
                      <w:szCs w:val="21"/>
                    </w:rPr>
                  </w:pPr>
                  <w:r>
                    <w:rPr>
                      <w:b/>
                      <w:bCs/>
                      <w:color w:val="auto"/>
                      <w:szCs w:val="21"/>
                    </w:rPr>
                    <w:t>污染物产生</w:t>
                  </w:r>
                </w:p>
              </w:tc>
              <w:tc>
                <w:tcPr>
                  <w:tcW w:w="350" w:type="pct"/>
                  <w:vMerge w:val="restart"/>
                  <w:noWrap w:val="0"/>
                  <w:tcMar>
                    <w:top w:w="0" w:type="dxa"/>
                    <w:left w:w="0" w:type="dxa"/>
                    <w:bottom w:w="0" w:type="dxa"/>
                    <w:right w:w="0" w:type="dxa"/>
                  </w:tcMar>
                  <w:vAlign w:val="center"/>
                </w:tcPr>
                <w:p w14:paraId="5EFA3A62">
                  <w:pPr>
                    <w:widowControl/>
                    <w:adjustRightInd w:val="0"/>
                    <w:snapToGrid w:val="0"/>
                    <w:jc w:val="center"/>
                    <w:rPr>
                      <w:b/>
                      <w:bCs/>
                      <w:color w:val="auto"/>
                      <w:szCs w:val="21"/>
                    </w:rPr>
                  </w:pPr>
                  <w:r>
                    <w:rPr>
                      <w:b/>
                      <w:bCs/>
                      <w:color w:val="auto"/>
                      <w:szCs w:val="21"/>
                    </w:rPr>
                    <w:t>治理措施</w:t>
                  </w:r>
                </w:p>
              </w:tc>
              <w:tc>
                <w:tcPr>
                  <w:tcW w:w="911" w:type="pct"/>
                  <w:gridSpan w:val="2"/>
                  <w:noWrap w:val="0"/>
                  <w:tcMar>
                    <w:top w:w="0" w:type="dxa"/>
                    <w:left w:w="0" w:type="dxa"/>
                    <w:bottom w:w="0" w:type="dxa"/>
                    <w:right w:w="0" w:type="dxa"/>
                  </w:tcMar>
                  <w:vAlign w:val="center"/>
                </w:tcPr>
                <w:p w14:paraId="710064BF">
                  <w:pPr>
                    <w:widowControl/>
                    <w:adjustRightInd w:val="0"/>
                    <w:snapToGrid w:val="0"/>
                    <w:jc w:val="center"/>
                    <w:rPr>
                      <w:b/>
                      <w:bCs/>
                      <w:color w:val="auto"/>
                      <w:szCs w:val="21"/>
                    </w:rPr>
                  </w:pPr>
                  <w:r>
                    <w:rPr>
                      <w:b/>
                      <w:bCs/>
                      <w:color w:val="auto"/>
                      <w:szCs w:val="21"/>
                    </w:rPr>
                    <w:t>污染物</w:t>
                  </w:r>
                  <w:r>
                    <w:rPr>
                      <w:rFonts w:hint="eastAsia"/>
                      <w:b/>
                      <w:bCs/>
                      <w:color w:val="auto"/>
                      <w:szCs w:val="21"/>
                    </w:rPr>
                    <w:t>接管</w:t>
                  </w:r>
                </w:p>
              </w:tc>
              <w:tc>
                <w:tcPr>
                  <w:tcW w:w="669" w:type="pct"/>
                  <w:vMerge w:val="restart"/>
                  <w:noWrap w:val="0"/>
                  <w:tcMar>
                    <w:top w:w="0" w:type="dxa"/>
                    <w:left w:w="0" w:type="dxa"/>
                    <w:bottom w:w="0" w:type="dxa"/>
                    <w:right w:w="0" w:type="dxa"/>
                  </w:tcMar>
                  <w:vAlign w:val="center"/>
                </w:tcPr>
                <w:p w14:paraId="6E55D514">
                  <w:pPr>
                    <w:widowControl/>
                    <w:adjustRightInd w:val="0"/>
                    <w:snapToGrid w:val="0"/>
                    <w:jc w:val="center"/>
                    <w:rPr>
                      <w:rFonts w:hint="eastAsia"/>
                      <w:b/>
                      <w:bCs/>
                      <w:color w:val="auto"/>
                      <w:szCs w:val="21"/>
                    </w:rPr>
                  </w:pPr>
                  <w:r>
                    <w:rPr>
                      <w:b/>
                      <w:bCs/>
                      <w:color w:val="auto"/>
                      <w:szCs w:val="21"/>
                    </w:rPr>
                    <w:t>治理措施</w:t>
                  </w:r>
                </w:p>
              </w:tc>
              <w:tc>
                <w:tcPr>
                  <w:tcW w:w="1050" w:type="pct"/>
                  <w:gridSpan w:val="2"/>
                  <w:noWrap w:val="0"/>
                  <w:tcMar>
                    <w:top w:w="0" w:type="dxa"/>
                    <w:left w:w="0" w:type="dxa"/>
                    <w:bottom w:w="0" w:type="dxa"/>
                    <w:right w:w="0" w:type="dxa"/>
                  </w:tcMar>
                  <w:vAlign w:val="center"/>
                </w:tcPr>
                <w:p w14:paraId="7E315919">
                  <w:pPr>
                    <w:widowControl/>
                    <w:adjustRightInd w:val="0"/>
                    <w:snapToGrid w:val="0"/>
                    <w:jc w:val="center"/>
                    <w:rPr>
                      <w:b/>
                      <w:bCs/>
                      <w:color w:val="auto"/>
                      <w:szCs w:val="21"/>
                    </w:rPr>
                  </w:pPr>
                  <w:r>
                    <w:rPr>
                      <w:rFonts w:hint="eastAsia"/>
                      <w:b/>
                      <w:bCs/>
                      <w:color w:val="auto"/>
                      <w:szCs w:val="21"/>
                    </w:rPr>
                    <w:t>外环境排放</w:t>
                  </w:r>
                </w:p>
              </w:tc>
            </w:tr>
            <w:tr w14:paraId="107993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3" w:type="pct"/>
                  <w:vMerge w:val="continue"/>
                  <w:noWrap w:val="0"/>
                  <w:tcMar>
                    <w:top w:w="0" w:type="dxa"/>
                    <w:left w:w="0" w:type="dxa"/>
                    <w:bottom w:w="0" w:type="dxa"/>
                    <w:right w:w="0" w:type="dxa"/>
                  </w:tcMar>
                  <w:vAlign w:val="center"/>
                </w:tcPr>
                <w:p w14:paraId="786B665D">
                  <w:pPr>
                    <w:widowControl/>
                    <w:jc w:val="center"/>
                    <w:rPr>
                      <w:b/>
                      <w:bCs/>
                      <w:color w:val="auto"/>
                      <w:szCs w:val="21"/>
                    </w:rPr>
                  </w:pPr>
                </w:p>
              </w:tc>
              <w:tc>
                <w:tcPr>
                  <w:tcW w:w="282" w:type="pct"/>
                  <w:vMerge w:val="continue"/>
                  <w:noWrap w:val="0"/>
                  <w:tcMar>
                    <w:top w:w="0" w:type="dxa"/>
                    <w:left w:w="0" w:type="dxa"/>
                    <w:bottom w:w="0" w:type="dxa"/>
                    <w:right w:w="0" w:type="dxa"/>
                  </w:tcMar>
                  <w:vAlign w:val="center"/>
                </w:tcPr>
                <w:p w14:paraId="3AB6831D">
                  <w:pPr>
                    <w:widowControl/>
                    <w:jc w:val="center"/>
                    <w:rPr>
                      <w:b/>
                      <w:bCs/>
                      <w:color w:val="auto"/>
                      <w:szCs w:val="21"/>
                    </w:rPr>
                  </w:pPr>
                </w:p>
              </w:tc>
              <w:tc>
                <w:tcPr>
                  <w:tcW w:w="192" w:type="pct"/>
                  <w:vMerge w:val="continue"/>
                  <w:noWrap w:val="0"/>
                  <w:tcMar>
                    <w:top w:w="0" w:type="dxa"/>
                    <w:left w:w="0" w:type="dxa"/>
                    <w:bottom w:w="0" w:type="dxa"/>
                    <w:right w:w="0" w:type="dxa"/>
                  </w:tcMar>
                  <w:vAlign w:val="center"/>
                </w:tcPr>
                <w:p w14:paraId="67B32B3E">
                  <w:pPr>
                    <w:widowControl/>
                    <w:jc w:val="center"/>
                    <w:rPr>
                      <w:b/>
                      <w:bCs/>
                      <w:color w:val="auto"/>
                      <w:szCs w:val="21"/>
                    </w:rPr>
                  </w:pPr>
                </w:p>
              </w:tc>
              <w:tc>
                <w:tcPr>
                  <w:tcW w:w="393" w:type="pct"/>
                  <w:vMerge w:val="continue"/>
                  <w:noWrap w:val="0"/>
                  <w:tcMar>
                    <w:top w:w="0" w:type="dxa"/>
                    <w:left w:w="0" w:type="dxa"/>
                    <w:bottom w:w="0" w:type="dxa"/>
                    <w:right w:w="0" w:type="dxa"/>
                  </w:tcMar>
                  <w:vAlign w:val="center"/>
                </w:tcPr>
                <w:p w14:paraId="0DA72D2B">
                  <w:pPr>
                    <w:widowControl/>
                    <w:jc w:val="center"/>
                    <w:rPr>
                      <w:b/>
                      <w:bCs/>
                      <w:color w:val="auto"/>
                      <w:szCs w:val="21"/>
                    </w:rPr>
                  </w:pPr>
                </w:p>
              </w:tc>
              <w:tc>
                <w:tcPr>
                  <w:tcW w:w="460" w:type="pct"/>
                  <w:noWrap w:val="0"/>
                  <w:tcMar>
                    <w:top w:w="0" w:type="dxa"/>
                    <w:left w:w="0" w:type="dxa"/>
                    <w:bottom w:w="0" w:type="dxa"/>
                    <w:right w:w="0" w:type="dxa"/>
                  </w:tcMar>
                  <w:vAlign w:val="center"/>
                </w:tcPr>
                <w:p w14:paraId="452F29E8">
                  <w:pPr>
                    <w:widowControl/>
                    <w:adjustRightInd w:val="0"/>
                    <w:snapToGrid w:val="0"/>
                    <w:jc w:val="center"/>
                    <w:rPr>
                      <w:b/>
                      <w:bCs/>
                      <w:color w:val="auto"/>
                      <w:szCs w:val="21"/>
                    </w:rPr>
                  </w:pPr>
                  <w:r>
                    <w:rPr>
                      <w:b/>
                      <w:bCs/>
                      <w:color w:val="auto"/>
                      <w:szCs w:val="21"/>
                    </w:rPr>
                    <w:t>产生浓度mg/L</w:t>
                  </w:r>
                </w:p>
              </w:tc>
              <w:tc>
                <w:tcPr>
                  <w:tcW w:w="424" w:type="pct"/>
                  <w:noWrap w:val="0"/>
                  <w:tcMar>
                    <w:top w:w="0" w:type="dxa"/>
                    <w:left w:w="0" w:type="dxa"/>
                    <w:bottom w:w="0" w:type="dxa"/>
                    <w:right w:w="0" w:type="dxa"/>
                  </w:tcMar>
                  <w:vAlign w:val="center"/>
                </w:tcPr>
                <w:p w14:paraId="4FA5DD32">
                  <w:pPr>
                    <w:widowControl/>
                    <w:adjustRightInd w:val="0"/>
                    <w:snapToGrid w:val="0"/>
                    <w:jc w:val="center"/>
                    <w:rPr>
                      <w:b/>
                      <w:bCs/>
                      <w:color w:val="auto"/>
                      <w:szCs w:val="21"/>
                    </w:rPr>
                  </w:pPr>
                  <w:r>
                    <w:rPr>
                      <w:b/>
                      <w:bCs/>
                      <w:color w:val="auto"/>
                      <w:szCs w:val="21"/>
                    </w:rPr>
                    <w:t>产生量t/a</w:t>
                  </w:r>
                </w:p>
              </w:tc>
              <w:tc>
                <w:tcPr>
                  <w:tcW w:w="350" w:type="pct"/>
                  <w:vMerge w:val="continue"/>
                  <w:noWrap w:val="0"/>
                  <w:tcMar>
                    <w:top w:w="0" w:type="dxa"/>
                    <w:left w:w="0" w:type="dxa"/>
                    <w:bottom w:w="0" w:type="dxa"/>
                    <w:right w:w="0" w:type="dxa"/>
                  </w:tcMar>
                  <w:vAlign w:val="center"/>
                </w:tcPr>
                <w:p w14:paraId="62FE0DC9">
                  <w:pPr>
                    <w:widowControl/>
                    <w:adjustRightInd w:val="0"/>
                    <w:snapToGrid w:val="0"/>
                    <w:jc w:val="center"/>
                    <w:rPr>
                      <w:b/>
                      <w:bCs/>
                      <w:color w:val="auto"/>
                      <w:szCs w:val="21"/>
                    </w:rPr>
                  </w:pPr>
                </w:p>
              </w:tc>
              <w:tc>
                <w:tcPr>
                  <w:tcW w:w="454" w:type="pct"/>
                  <w:noWrap w:val="0"/>
                  <w:tcMar>
                    <w:top w:w="0" w:type="dxa"/>
                    <w:left w:w="0" w:type="dxa"/>
                    <w:bottom w:w="0" w:type="dxa"/>
                    <w:right w:w="0" w:type="dxa"/>
                  </w:tcMar>
                  <w:vAlign w:val="center"/>
                </w:tcPr>
                <w:p w14:paraId="21659C4E">
                  <w:pPr>
                    <w:widowControl/>
                    <w:adjustRightInd w:val="0"/>
                    <w:snapToGrid w:val="0"/>
                    <w:jc w:val="center"/>
                    <w:rPr>
                      <w:b/>
                      <w:bCs/>
                      <w:color w:val="auto"/>
                      <w:szCs w:val="21"/>
                    </w:rPr>
                  </w:pPr>
                  <w:r>
                    <w:rPr>
                      <w:b/>
                      <w:bCs/>
                      <w:color w:val="auto"/>
                      <w:szCs w:val="21"/>
                    </w:rPr>
                    <w:t>排放浓度mg/L</w:t>
                  </w:r>
                </w:p>
              </w:tc>
              <w:tc>
                <w:tcPr>
                  <w:tcW w:w="457" w:type="pct"/>
                  <w:noWrap w:val="0"/>
                  <w:tcMar>
                    <w:top w:w="0" w:type="dxa"/>
                    <w:left w:w="0" w:type="dxa"/>
                    <w:bottom w:w="0" w:type="dxa"/>
                    <w:right w:w="0" w:type="dxa"/>
                  </w:tcMar>
                  <w:vAlign w:val="center"/>
                </w:tcPr>
                <w:p w14:paraId="49D96DE6">
                  <w:pPr>
                    <w:widowControl/>
                    <w:adjustRightInd w:val="0"/>
                    <w:snapToGrid w:val="0"/>
                    <w:jc w:val="center"/>
                    <w:rPr>
                      <w:b/>
                      <w:bCs/>
                      <w:color w:val="auto"/>
                      <w:szCs w:val="21"/>
                    </w:rPr>
                  </w:pPr>
                  <w:r>
                    <w:rPr>
                      <w:b/>
                      <w:bCs/>
                      <w:color w:val="auto"/>
                      <w:szCs w:val="21"/>
                    </w:rPr>
                    <w:t>排放量kg/h</w:t>
                  </w:r>
                </w:p>
              </w:tc>
              <w:tc>
                <w:tcPr>
                  <w:tcW w:w="669" w:type="pct"/>
                  <w:vMerge w:val="continue"/>
                  <w:noWrap w:val="0"/>
                  <w:tcMar>
                    <w:top w:w="0" w:type="dxa"/>
                    <w:left w:w="0" w:type="dxa"/>
                    <w:bottom w:w="0" w:type="dxa"/>
                    <w:right w:w="0" w:type="dxa"/>
                  </w:tcMar>
                  <w:vAlign w:val="center"/>
                </w:tcPr>
                <w:p w14:paraId="3508A116">
                  <w:pPr>
                    <w:widowControl/>
                    <w:adjustRightInd w:val="0"/>
                    <w:snapToGrid w:val="0"/>
                    <w:jc w:val="center"/>
                    <w:rPr>
                      <w:b/>
                      <w:bCs/>
                      <w:color w:val="auto"/>
                      <w:szCs w:val="21"/>
                    </w:rPr>
                  </w:pPr>
                </w:p>
              </w:tc>
              <w:tc>
                <w:tcPr>
                  <w:tcW w:w="554" w:type="pct"/>
                  <w:noWrap w:val="0"/>
                  <w:tcMar>
                    <w:top w:w="0" w:type="dxa"/>
                    <w:left w:w="0" w:type="dxa"/>
                    <w:bottom w:w="0" w:type="dxa"/>
                    <w:right w:w="0" w:type="dxa"/>
                  </w:tcMar>
                  <w:vAlign w:val="center"/>
                </w:tcPr>
                <w:p w14:paraId="0DD63D67">
                  <w:pPr>
                    <w:widowControl/>
                    <w:adjustRightInd w:val="0"/>
                    <w:snapToGrid w:val="0"/>
                    <w:jc w:val="center"/>
                    <w:rPr>
                      <w:b/>
                      <w:bCs/>
                      <w:color w:val="auto"/>
                      <w:szCs w:val="21"/>
                    </w:rPr>
                  </w:pPr>
                  <w:r>
                    <w:rPr>
                      <w:b/>
                      <w:bCs/>
                      <w:color w:val="auto"/>
                      <w:szCs w:val="21"/>
                    </w:rPr>
                    <w:t>排放浓度mg/L</w:t>
                  </w:r>
                </w:p>
              </w:tc>
              <w:tc>
                <w:tcPr>
                  <w:tcW w:w="496" w:type="pct"/>
                  <w:noWrap w:val="0"/>
                  <w:tcMar>
                    <w:top w:w="0" w:type="dxa"/>
                    <w:left w:w="0" w:type="dxa"/>
                    <w:bottom w:w="0" w:type="dxa"/>
                    <w:right w:w="0" w:type="dxa"/>
                  </w:tcMar>
                  <w:vAlign w:val="center"/>
                </w:tcPr>
                <w:p w14:paraId="09B3512B">
                  <w:pPr>
                    <w:widowControl/>
                    <w:adjustRightInd w:val="0"/>
                    <w:snapToGrid w:val="0"/>
                    <w:jc w:val="center"/>
                    <w:rPr>
                      <w:b/>
                      <w:bCs/>
                      <w:color w:val="auto"/>
                      <w:szCs w:val="21"/>
                    </w:rPr>
                  </w:pPr>
                  <w:r>
                    <w:rPr>
                      <w:b/>
                      <w:bCs/>
                      <w:color w:val="auto"/>
                      <w:szCs w:val="21"/>
                    </w:rPr>
                    <w:t>排放量</w:t>
                  </w:r>
                  <w:r>
                    <w:rPr>
                      <w:rFonts w:hint="eastAsia"/>
                      <w:b/>
                      <w:bCs/>
                      <w:color w:val="auto"/>
                    </w:rPr>
                    <w:t>t/a</w:t>
                  </w:r>
                </w:p>
              </w:tc>
            </w:tr>
            <w:tr w14:paraId="1E688C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3" w:type="pct"/>
                  <w:vMerge w:val="restart"/>
                  <w:tcBorders>
                    <w:top w:val="single" w:color="000000" w:sz="4" w:space="0"/>
                  </w:tcBorders>
                  <w:noWrap w:val="0"/>
                  <w:tcMar>
                    <w:top w:w="0" w:type="dxa"/>
                    <w:left w:w="0" w:type="dxa"/>
                    <w:bottom w:w="0" w:type="dxa"/>
                    <w:right w:w="0" w:type="dxa"/>
                  </w:tcMar>
                  <w:vAlign w:val="center"/>
                </w:tcPr>
                <w:p w14:paraId="46DD9ADE">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生活污水</w:t>
                  </w:r>
                </w:p>
              </w:tc>
              <w:tc>
                <w:tcPr>
                  <w:tcW w:w="282" w:type="pct"/>
                  <w:vMerge w:val="restart"/>
                  <w:tcBorders>
                    <w:top w:val="single" w:color="000000" w:sz="4" w:space="0"/>
                  </w:tcBorders>
                  <w:noWrap w:val="0"/>
                  <w:tcMar>
                    <w:top w:w="0" w:type="dxa"/>
                    <w:left w:w="0" w:type="dxa"/>
                    <w:bottom w:w="0" w:type="dxa"/>
                    <w:right w:w="0" w:type="dxa"/>
                  </w:tcMar>
                  <w:vAlign w:val="center"/>
                </w:tcPr>
                <w:p w14:paraId="5AE83CE9">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144</w:t>
                  </w:r>
                </w:p>
              </w:tc>
              <w:tc>
                <w:tcPr>
                  <w:tcW w:w="192" w:type="pct"/>
                  <w:vMerge w:val="restart"/>
                  <w:noWrap w:val="0"/>
                  <w:tcMar>
                    <w:top w:w="0" w:type="dxa"/>
                    <w:left w:w="0" w:type="dxa"/>
                    <w:bottom w:w="0" w:type="dxa"/>
                    <w:right w:w="0" w:type="dxa"/>
                  </w:tcMar>
                  <w:vAlign w:val="center"/>
                </w:tcPr>
                <w:p w14:paraId="23A8C6B8">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生活污水</w:t>
                  </w:r>
                </w:p>
              </w:tc>
              <w:tc>
                <w:tcPr>
                  <w:tcW w:w="393" w:type="pct"/>
                  <w:tcBorders>
                    <w:top w:val="single" w:color="000000" w:sz="4" w:space="0"/>
                    <w:bottom w:val="single" w:color="000000" w:sz="4" w:space="0"/>
                  </w:tcBorders>
                  <w:noWrap w:val="0"/>
                  <w:tcMar>
                    <w:top w:w="0" w:type="dxa"/>
                    <w:left w:w="0" w:type="dxa"/>
                    <w:bottom w:w="0" w:type="dxa"/>
                    <w:right w:w="0" w:type="dxa"/>
                  </w:tcMar>
                  <w:vAlign w:val="center"/>
                </w:tcPr>
                <w:p w14:paraId="0E1E62F5">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COD</w:t>
                  </w:r>
                </w:p>
              </w:tc>
              <w:tc>
                <w:tcPr>
                  <w:tcW w:w="460" w:type="pct"/>
                  <w:tcBorders>
                    <w:top w:val="single" w:color="000000" w:sz="4" w:space="0"/>
                    <w:bottom w:val="single" w:color="000000" w:sz="4" w:space="0"/>
                  </w:tcBorders>
                  <w:noWrap w:val="0"/>
                  <w:tcMar>
                    <w:top w:w="0" w:type="dxa"/>
                    <w:left w:w="0" w:type="dxa"/>
                    <w:bottom w:w="0" w:type="dxa"/>
                    <w:right w:w="0" w:type="dxa"/>
                  </w:tcMar>
                  <w:vAlign w:val="center"/>
                </w:tcPr>
                <w:p w14:paraId="075C775A">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400</w:t>
                  </w:r>
                </w:p>
              </w:tc>
              <w:tc>
                <w:tcPr>
                  <w:tcW w:w="424" w:type="pct"/>
                  <w:noWrap w:val="0"/>
                  <w:tcMar>
                    <w:top w:w="0" w:type="dxa"/>
                    <w:left w:w="0" w:type="dxa"/>
                    <w:bottom w:w="0" w:type="dxa"/>
                    <w:right w:w="0" w:type="dxa"/>
                  </w:tcMar>
                  <w:vAlign w:val="center"/>
                </w:tcPr>
                <w:p w14:paraId="2AB2E0F2">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0.0576</w:t>
                  </w:r>
                </w:p>
              </w:tc>
              <w:tc>
                <w:tcPr>
                  <w:tcW w:w="350" w:type="pct"/>
                  <w:vMerge w:val="restart"/>
                  <w:noWrap w:val="0"/>
                  <w:tcMar>
                    <w:top w:w="0" w:type="dxa"/>
                    <w:left w:w="0" w:type="dxa"/>
                    <w:bottom w:w="0" w:type="dxa"/>
                    <w:right w:w="0" w:type="dxa"/>
                  </w:tcMar>
                  <w:vAlign w:val="center"/>
                </w:tcPr>
                <w:p w14:paraId="74FAEBC6">
                  <w:pPr>
                    <w:jc w:val="center"/>
                    <w:rPr>
                      <w:rFonts w:hint="eastAsia" w:ascii="Times New Roman" w:hAnsi="Times New Roman" w:eastAsia="宋体" w:cs="Times New Roman"/>
                      <w:color w:val="auto"/>
                      <w:szCs w:val="21"/>
                    </w:rPr>
                  </w:pPr>
                  <w:r>
                    <w:rPr>
                      <w:rFonts w:hint="eastAsia" w:ascii="Times New Roman" w:hAnsi="Times New Roman" w:eastAsia="宋体" w:cs="Times New Roman"/>
                      <w:color w:val="auto"/>
                      <w:szCs w:val="21"/>
                    </w:rPr>
                    <w:t>/</w:t>
                  </w:r>
                </w:p>
              </w:tc>
              <w:tc>
                <w:tcPr>
                  <w:tcW w:w="454" w:type="pct"/>
                  <w:tcBorders>
                    <w:top w:val="single" w:color="000000" w:sz="4" w:space="0"/>
                    <w:bottom w:val="single" w:color="000000" w:sz="4" w:space="0"/>
                  </w:tcBorders>
                  <w:noWrap w:val="0"/>
                  <w:tcMar>
                    <w:top w:w="0" w:type="dxa"/>
                    <w:left w:w="0" w:type="dxa"/>
                    <w:bottom w:w="0" w:type="dxa"/>
                    <w:right w:w="0" w:type="dxa"/>
                  </w:tcMar>
                  <w:vAlign w:val="center"/>
                </w:tcPr>
                <w:p w14:paraId="771ECE5C">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400</w:t>
                  </w:r>
                </w:p>
              </w:tc>
              <w:tc>
                <w:tcPr>
                  <w:tcW w:w="766" w:type="dxa"/>
                  <w:noWrap w:val="0"/>
                  <w:tcMar>
                    <w:top w:w="0" w:type="dxa"/>
                    <w:left w:w="0" w:type="dxa"/>
                    <w:bottom w:w="0" w:type="dxa"/>
                    <w:right w:w="0" w:type="dxa"/>
                  </w:tcMar>
                  <w:vAlign w:val="center"/>
                </w:tcPr>
                <w:p w14:paraId="21A06178">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0.0576</w:t>
                  </w:r>
                </w:p>
              </w:tc>
              <w:tc>
                <w:tcPr>
                  <w:tcW w:w="669" w:type="pct"/>
                  <w:vMerge w:val="restart"/>
                  <w:noWrap w:val="0"/>
                  <w:tcMar>
                    <w:top w:w="0" w:type="dxa"/>
                    <w:left w:w="0" w:type="dxa"/>
                    <w:bottom w:w="0" w:type="dxa"/>
                    <w:right w:w="0" w:type="dxa"/>
                  </w:tcMar>
                  <w:vAlign w:val="center"/>
                </w:tcPr>
                <w:p w14:paraId="49A6684A">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排入常州金坛区第二污水处理有限公司</w:t>
                  </w:r>
                  <w:r>
                    <w:rPr>
                      <w:rFonts w:hint="eastAsia" w:ascii="Times New Roman" w:hAnsi="Times New Roman" w:eastAsia="宋体" w:cs="Times New Roman"/>
                      <w:color w:val="auto"/>
                      <w:szCs w:val="21"/>
                    </w:rPr>
                    <w:t>处理</w:t>
                  </w:r>
                </w:p>
              </w:tc>
              <w:tc>
                <w:tcPr>
                  <w:tcW w:w="554" w:type="pct"/>
                  <w:noWrap w:val="0"/>
                  <w:tcMar>
                    <w:top w:w="0" w:type="dxa"/>
                    <w:left w:w="0" w:type="dxa"/>
                    <w:bottom w:w="0" w:type="dxa"/>
                    <w:right w:w="0" w:type="dxa"/>
                  </w:tcMar>
                  <w:vAlign w:val="center"/>
                </w:tcPr>
                <w:p w14:paraId="6C391C5C">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50</w:t>
                  </w:r>
                </w:p>
              </w:tc>
              <w:tc>
                <w:tcPr>
                  <w:tcW w:w="831" w:type="dxa"/>
                  <w:noWrap w:val="0"/>
                  <w:tcMar>
                    <w:top w:w="0" w:type="dxa"/>
                    <w:left w:w="0" w:type="dxa"/>
                    <w:bottom w:w="0" w:type="dxa"/>
                    <w:right w:w="0" w:type="dxa"/>
                  </w:tcMar>
                  <w:vAlign w:val="center"/>
                </w:tcPr>
                <w:p w14:paraId="7257280B">
                  <w:pPr>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lang w:val="en-US" w:eastAsia="zh-CN"/>
                    </w:rPr>
                    <w:t>0.0072</w:t>
                  </w:r>
                </w:p>
              </w:tc>
            </w:tr>
            <w:tr w14:paraId="3103F9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3" w:type="pct"/>
                  <w:vMerge w:val="continue"/>
                  <w:noWrap w:val="0"/>
                  <w:tcMar>
                    <w:top w:w="0" w:type="dxa"/>
                    <w:left w:w="0" w:type="dxa"/>
                    <w:bottom w:w="0" w:type="dxa"/>
                    <w:right w:w="0" w:type="dxa"/>
                  </w:tcMar>
                  <w:vAlign w:val="center"/>
                </w:tcPr>
                <w:p w14:paraId="0B89CCA2">
                  <w:pPr>
                    <w:jc w:val="center"/>
                    <w:rPr>
                      <w:rFonts w:ascii="Times New Roman" w:hAnsi="Times New Roman" w:eastAsia="宋体" w:cs="Times New Roman"/>
                      <w:color w:val="auto"/>
                      <w:szCs w:val="21"/>
                    </w:rPr>
                  </w:pPr>
                </w:p>
              </w:tc>
              <w:tc>
                <w:tcPr>
                  <w:tcW w:w="282" w:type="pct"/>
                  <w:vMerge w:val="continue"/>
                  <w:noWrap w:val="0"/>
                  <w:tcMar>
                    <w:top w:w="0" w:type="dxa"/>
                    <w:left w:w="0" w:type="dxa"/>
                    <w:bottom w:w="0" w:type="dxa"/>
                    <w:right w:w="0" w:type="dxa"/>
                  </w:tcMar>
                  <w:vAlign w:val="center"/>
                </w:tcPr>
                <w:p w14:paraId="7761DB91">
                  <w:pPr>
                    <w:jc w:val="center"/>
                    <w:rPr>
                      <w:rFonts w:ascii="Times New Roman" w:hAnsi="Times New Roman" w:eastAsia="宋体" w:cs="Times New Roman"/>
                      <w:color w:val="auto"/>
                      <w:szCs w:val="21"/>
                    </w:rPr>
                  </w:pPr>
                </w:p>
              </w:tc>
              <w:tc>
                <w:tcPr>
                  <w:tcW w:w="192" w:type="pct"/>
                  <w:vMerge w:val="continue"/>
                  <w:noWrap w:val="0"/>
                  <w:tcMar>
                    <w:top w:w="0" w:type="dxa"/>
                    <w:left w:w="0" w:type="dxa"/>
                    <w:bottom w:w="0" w:type="dxa"/>
                    <w:right w:w="0" w:type="dxa"/>
                  </w:tcMar>
                  <w:vAlign w:val="center"/>
                </w:tcPr>
                <w:p w14:paraId="25AE8608">
                  <w:pPr>
                    <w:jc w:val="center"/>
                    <w:rPr>
                      <w:rFonts w:ascii="Times New Roman" w:hAnsi="Times New Roman" w:eastAsia="宋体" w:cs="Times New Roman"/>
                      <w:color w:val="auto"/>
                      <w:szCs w:val="21"/>
                    </w:rPr>
                  </w:pPr>
                </w:p>
              </w:tc>
              <w:tc>
                <w:tcPr>
                  <w:tcW w:w="393" w:type="pct"/>
                  <w:tcBorders>
                    <w:top w:val="single" w:color="000000" w:sz="4" w:space="0"/>
                    <w:bottom w:val="single" w:color="000000" w:sz="4" w:space="0"/>
                  </w:tcBorders>
                  <w:noWrap w:val="0"/>
                  <w:tcMar>
                    <w:top w:w="0" w:type="dxa"/>
                    <w:left w:w="0" w:type="dxa"/>
                    <w:bottom w:w="0" w:type="dxa"/>
                    <w:right w:w="0" w:type="dxa"/>
                  </w:tcMar>
                  <w:vAlign w:val="center"/>
                </w:tcPr>
                <w:p w14:paraId="6D4633E3">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SS</w:t>
                  </w:r>
                </w:p>
              </w:tc>
              <w:tc>
                <w:tcPr>
                  <w:tcW w:w="460" w:type="pct"/>
                  <w:tcBorders>
                    <w:top w:val="single" w:color="000000" w:sz="4" w:space="0"/>
                    <w:bottom w:val="single" w:color="000000" w:sz="4" w:space="0"/>
                  </w:tcBorders>
                  <w:noWrap w:val="0"/>
                  <w:tcMar>
                    <w:top w:w="0" w:type="dxa"/>
                    <w:left w:w="0" w:type="dxa"/>
                    <w:bottom w:w="0" w:type="dxa"/>
                    <w:right w:w="0" w:type="dxa"/>
                  </w:tcMar>
                  <w:vAlign w:val="center"/>
                </w:tcPr>
                <w:p w14:paraId="1D1A3160">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200</w:t>
                  </w:r>
                </w:p>
              </w:tc>
              <w:tc>
                <w:tcPr>
                  <w:tcW w:w="424" w:type="pct"/>
                  <w:noWrap w:val="0"/>
                  <w:tcMar>
                    <w:top w:w="0" w:type="dxa"/>
                    <w:left w:w="0" w:type="dxa"/>
                    <w:bottom w:w="0" w:type="dxa"/>
                    <w:right w:w="0" w:type="dxa"/>
                  </w:tcMar>
                  <w:vAlign w:val="center"/>
                </w:tcPr>
                <w:p w14:paraId="56A78BF8">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0.0288</w:t>
                  </w:r>
                </w:p>
              </w:tc>
              <w:tc>
                <w:tcPr>
                  <w:tcW w:w="350" w:type="pct"/>
                  <w:vMerge w:val="continue"/>
                  <w:noWrap w:val="0"/>
                  <w:tcMar>
                    <w:top w:w="0" w:type="dxa"/>
                    <w:left w:w="0" w:type="dxa"/>
                    <w:bottom w:w="0" w:type="dxa"/>
                    <w:right w:w="0" w:type="dxa"/>
                  </w:tcMar>
                  <w:vAlign w:val="center"/>
                </w:tcPr>
                <w:p w14:paraId="642B6F93">
                  <w:pPr>
                    <w:jc w:val="center"/>
                    <w:rPr>
                      <w:rFonts w:ascii="Times New Roman" w:hAnsi="Times New Roman" w:eastAsia="宋体" w:cs="Times New Roman"/>
                      <w:color w:val="auto"/>
                      <w:szCs w:val="21"/>
                    </w:rPr>
                  </w:pPr>
                </w:p>
              </w:tc>
              <w:tc>
                <w:tcPr>
                  <w:tcW w:w="454" w:type="pct"/>
                  <w:tcBorders>
                    <w:top w:val="single" w:color="000000" w:sz="4" w:space="0"/>
                    <w:bottom w:val="single" w:color="000000" w:sz="4" w:space="0"/>
                  </w:tcBorders>
                  <w:noWrap w:val="0"/>
                  <w:tcMar>
                    <w:top w:w="0" w:type="dxa"/>
                    <w:left w:w="0" w:type="dxa"/>
                    <w:bottom w:w="0" w:type="dxa"/>
                    <w:right w:w="0" w:type="dxa"/>
                  </w:tcMar>
                  <w:vAlign w:val="center"/>
                </w:tcPr>
                <w:p w14:paraId="60E2C3E8">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200</w:t>
                  </w:r>
                </w:p>
              </w:tc>
              <w:tc>
                <w:tcPr>
                  <w:tcW w:w="766" w:type="dxa"/>
                  <w:noWrap w:val="0"/>
                  <w:tcMar>
                    <w:top w:w="0" w:type="dxa"/>
                    <w:left w:w="0" w:type="dxa"/>
                    <w:bottom w:w="0" w:type="dxa"/>
                    <w:right w:w="0" w:type="dxa"/>
                  </w:tcMar>
                  <w:vAlign w:val="center"/>
                </w:tcPr>
                <w:p w14:paraId="35160251">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0.0288</w:t>
                  </w:r>
                </w:p>
              </w:tc>
              <w:tc>
                <w:tcPr>
                  <w:tcW w:w="669" w:type="pct"/>
                  <w:vMerge w:val="continue"/>
                  <w:noWrap w:val="0"/>
                  <w:tcMar>
                    <w:top w:w="0" w:type="dxa"/>
                    <w:left w:w="0" w:type="dxa"/>
                    <w:bottom w:w="0" w:type="dxa"/>
                    <w:right w:w="0" w:type="dxa"/>
                  </w:tcMar>
                  <w:vAlign w:val="center"/>
                </w:tcPr>
                <w:p w14:paraId="7FB1289C">
                  <w:pPr>
                    <w:jc w:val="center"/>
                    <w:rPr>
                      <w:rFonts w:ascii="Times New Roman" w:hAnsi="Times New Roman" w:eastAsia="宋体" w:cs="Times New Roman"/>
                      <w:color w:val="auto"/>
                      <w:szCs w:val="21"/>
                    </w:rPr>
                  </w:pPr>
                </w:p>
              </w:tc>
              <w:tc>
                <w:tcPr>
                  <w:tcW w:w="554" w:type="pct"/>
                  <w:noWrap w:val="0"/>
                  <w:tcMar>
                    <w:top w:w="0" w:type="dxa"/>
                    <w:left w:w="0" w:type="dxa"/>
                    <w:bottom w:w="0" w:type="dxa"/>
                    <w:right w:w="0" w:type="dxa"/>
                  </w:tcMar>
                  <w:vAlign w:val="center"/>
                </w:tcPr>
                <w:p w14:paraId="79F3F490">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10</w:t>
                  </w:r>
                </w:p>
              </w:tc>
              <w:tc>
                <w:tcPr>
                  <w:tcW w:w="831" w:type="dxa"/>
                  <w:noWrap w:val="0"/>
                  <w:tcMar>
                    <w:top w:w="0" w:type="dxa"/>
                    <w:left w:w="0" w:type="dxa"/>
                    <w:bottom w:w="0" w:type="dxa"/>
                    <w:right w:w="0" w:type="dxa"/>
                  </w:tcMar>
                  <w:vAlign w:val="center"/>
                </w:tcPr>
                <w:p w14:paraId="5E61792B">
                  <w:pPr>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lang w:val="en-US" w:eastAsia="zh-CN"/>
                    </w:rPr>
                    <w:t>0.0014</w:t>
                  </w:r>
                </w:p>
              </w:tc>
            </w:tr>
            <w:tr w14:paraId="08C34D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3" w:type="pct"/>
                  <w:vMerge w:val="continue"/>
                  <w:noWrap w:val="0"/>
                  <w:tcMar>
                    <w:top w:w="0" w:type="dxa"/>
                    <w:left w:w="0" w:type="dxa"/>
                    <w:bottom w:w="0" w:type="dxa"/>
                    <w:right w:w="0" w:type="dxa"/>
                  </w:tcMar>
                  <w:vAlign w:val="center"/>
                </w:tcPr>
                <w:p w14:paraId="162FBD94">
                  <w:pPr>
                    <w:jc w:val="center"/>
                    <w:rPr>
                      <w:rFonts w:ascii="Times New Roman" w:hAnsi="Times New Roman" w:eastAsia="宋体" w:cs="Times New Roman"/>
                      <w:color w:val="auto"/>
                      <w:szCs w:val="21"/>
                    </w:rPr>
                  </w:pPr>
                </w:p>
              </w:tc>
              <w:tc>
                <w:tcPr>
                  <w:tcW w:w="282" w:type="pct"/>
                  <w:vMerge w:val="continue"/>
                  <w:noWrap w:val="0"/>
                  <w:tcMar>
                    <w:top w:w="0" w:type="dxa"/>
                    <w:left w:w="0" w:type="dxa"/>
                    <w:bottom w:w="0" w:type="dxa"/>
                    <w:right w:w="0" w:type="dxa"/>
                  </w:tcMar>
                  <w:vAlign w:val="center"/>
                </w:tcPr>
                <w:p w14:paraId="31F8C4DF">
                  <w:pPr>
                    <w:jc w:val="center"/>
                    <w:rPr>
                      <w:rFonts w:ascii="Times New Roman" w:hAnsi="Times New Roman" w:eastAsia="宋体" w:cs="Times New Roman"/>
                      <w:color w:val="auto"/>
                      <w:szCs w:val="21"/>
                    </w:rPr>
                  </w:pPr>
                </w:p>
              </w:tc>
              <w:tc>
                <w:tcPr>
                  <w:tcW w:w="192" w:type="pct"/>
                  <w:vMerge w:val="continue"/>
                  <w:noWrap w:val="0"/>
                  <w:tcMar>
                    <w:top w:w="0" w:type="dxa"/>
                    <w:left w:w="0" w:type="dxa"/>
                    <w:bottom w:w="0" w:type="dxa"/>
                    <w:right w:w="0" w:type="dxa"/>
                  </w:tcMar>
                  <w:vAlign w:val="center"/>
                </w:tcPr>
                <w:p w14:paraId="58E6D4C4">
                  <w:pPr>
                    <w:jc w:val="center"/>
                    <w:rPr>
                      <w:rFonts w:ascii="Times New Roman" w:hAnsi="Times New Roman" w:eastAsia="宋体" w:cs="Times New Roman"/>
                      <w:color w:val="auto"/>
                      <w:szCs w:val="21"/>
                    </w:rPr>
                  </w:pPr>
                </w:p>
              </w:tc>
              <w:tc>
                <w:tcPr>
                  <w:tcW w:w="393" w:type="pct"/>
                  <w:tcBorders>
                    <w:top w:val="single" w:color="000000" w:sz="4" w:space="0"/>
                    <w:bottom w:val="single" w:color="000000" w:sz="4" w:space="0"/>
                  </w:tcBorders>
                  <w:noWrap w:val="0"/>
                  <w:tcMar>
                    <w:top w:w="0" w:type="dxa"/>
                    <w:left w:w="0" w:type="dxa"/>
                    <w:bottom w:w="0" w:type="dxa"/>
                    <w:right w:w="0" w:type="dxa"/>
                  </w:tcMar>
                  <w:vAlign w:val="center"/>
                </w:tcPr>
                <w:p w14:paraId="21A9BC9D">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NH</w:t>
                  </w:r>
                  <w:r>
                    <w:rPr>
                      <w:rFonts w:ascii="Times New Roman" w:hAnsi="Times New Roman" w:eastAsia="宋体" w:cs="Times New Roman"/>
                      <w:color w:val="auto"/>
                      <w:szCs w:val="21"/>
                      <w:vertAlign w:val="subscript"/>
                    </w:rPr>
                    <w:t>3</w:t>
                  </w:r>
                  <w:r>
                    <w:rPr>
                      <w:rFonts w:ascii="Times New Roman" w:hAnsi="Times New Roman" w:eastAsia="宋体" w:cs="Times New Roman"/>
                      <w:color w:val="auto"/>
                      <w:szCs w:val="21"/>
                    </w:rPr>
                    <w:t>-N</w:t>
                  </w:r>
                </w:p>
              </w:tc>
              <w:tc>
                <w:tcPr>
                  <w:tcW w:w="460" w:type="pct"/>
                  <w:tcBorders>
                    <w:top w:val="single" w:color="000000" w:sz="4" w:space="0"/>
                    <w:bottom w:val="single" w:color="000000" w:sz="4" w:space="0"/>
                  </w:tcBorders>
                  <w:noWrap w:val="0"/>
                  <w:tcMar>
                    <w:top w:w="0" w:type="dxa"/>
                    <w:left w:w="0" w:type="dxa"/>
                    <w:bottom w:w="0" w:type="dxa"/>
                    <w:right w:w="0" w:type="dxa"/>
                  </w:tcMar>
                  <w:vAlign w:val="center"/>
                </w:tcPr>
                <w:p w14:paraId="0DABF271">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30</w:t>
                  </w:r>
                </w:p>
              </w:tc>
              <w:tc>
                <w:tcPr>
                  <w:tcW w:w="424" w:type="pct"/>
                  <w:noWrap w:val="0"/>
                  <w:tcMar>
                    <w:top w:w="0" w:type="dxa"/>
                    <w:left w:w="0" w:type="dxa"/>
                    <w:bottom w:w="0" w:type="dxa"/>
                    <w:right w:w="0" w:type="dxa"/>
                  </w:tcMar>
                  <w:vAlign w:val="center"/>
                </w:tcPr>
                <w:p w14:paraId="54F14B0E">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0.0043</w:t>
                  </w:r>
                </w:p>
              </w:tc>
              <w:tc>
                <w:tcPr>
                  <w:tcW w:w="350" w:type="pct"/>
                  <w:vMerge w:val="continue"/>
                  <w:noWrap w:val="0"/>
                  <w:tcMar>
                    <w:top w:w="0" w:type="dxa"/>
                    <w:left w:w="0" w:type="dxa"/>
                    <w:bottom w:w="0" w:type="dxa"/>
                    <w:right w:w="0" w:type="dxa"/>
                  </w:tcMar>
                  <w:vAlign w:val="center"/>
                </w:tcPr>
                <w:p w14:paraId="69B43822">
                  <w:pPr>
                    <w:jc w:val="center"/>
                    <w:rPr>
                      <w:rFonts w:ascii="Times New Roman" w:hAnsi="Times New Roman" w:eastAsia="宋体" w:cs="Times New Roman"/>
                      <w:color w:val="auto"/>
                      <w:szCs w:val="21"/>
                    </w:rPr>
                  </w:pPr>
                </w:p>
              </w:tc>
              <w:tc>
                <w:tcPr>
                  <w:tcW w:w="454" w:type="pct"/>
                  <w:tcBorders>
                    <w:top w:val="single" w:color="000000" w:sz="4" w:space="0"/>
                    <w:bottom w:val="single" w:color="000000" w:sz="4" w:space="0"/>
                  </w:tcBorders>
                  <w:noWrap w:val="0"/>
                  <w:tcMar>
                    <w:top w:w="0" w:type="dxa"/>
                    <w:left w:w="0" w:type="dxa"/>
                    <w:bottom w:w="0" w:type="dxa"/>
                    <w:right w:w="0" w:type="dxa"/>
                  </w:tcMar>
                  <w:vAlign w:val="center"/>
                </w:tcPr>
                <w:p w14:paraId="0DD1E37C">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30</w:t>
                  </w:r>
                </w:p>
              </w:tc>
              <w:tc>
                <w:tcPr>
                  <w:tcW w:w="766" w:type="dxa"/>
                  <w:noWrap w:val="0"/>
                  <w:tcMar>
                    <w:top w:w="0" w:type="dxa"/>
                    <w:left w:w="0" w:type="dxa"/>
                    <w:bottom w:w="0" w:type="dxa"/>
                    <w:right w:w="0" w:type="dxa"/>
                  </w:tcMar>
                  <w:vAlign w:val="center"/>
                </w:tcPr>
                <w:p w14:paraId="1D6BE0AB">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0.0043</w:t>
                  </w:r>
                </w:p>
              </w:tc>
              <w:tc>
                <w:tcPr>
                  <w:tcW w:w="669" w:type="pct"/>
                  <w:vMerge w:val="continue"/>
                  <w:noWrap w:val="0"/>
                  <w:tcMar>
                    <w:top w:w="0" w:type="dxa"/>
                    <w:left w:w="0" w:type="dxa"/>
                    <w:bottom w:w="0" w:type="dxa"/>
                    <w:right w:w="0" w:type="dxa"/>
                  </w:tcMar>
                  <w:vAlign w:val="center"/>
                </w:tcPr>
                <w:p w14:paraId="46D3103D">
                  <w:pPr>
                    <w:jc w:val="center"/>
                    <w:rPr>
                      <w:rFonts w:ascii="Times New Roman" w:hAnsi="Times New Roman" w:eastAsia="宋体" w:cs="Times New Roman"/>
                      <w:color w:val="auto"/>
                      <w:szCs w:val="21"/>
                    </w:rPr>
                  </w:pPr>
                </w:p>
              </w:tc>
              <w:tc>
                <w:tcPr>
                  <w:tcW w:w="554" w:type="pct"/>
                  <w:noWrap w:val="0"/>
                  <w:tcMar>
                    <w:top w:w="0" w:type="dxa"/>
                    <w:left w:w="0" w:type="dxa"/>
                    <w:bottom w:w="0" w:type="dxa"/>
                    <w:right w:w="0" w:type="dxa"/>
                  </w:tcMar>
                  <w:vAlign w:val="center"/>
                </w:tcPr>
                <w:p w14:paraId="3E2F0E06">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4</w:t>
                  </w:r>
                </w:p>
              </w:tc>
              <w:tc>
                <w:tcPr>
                  <w:tcW w:w="831" w:type="dxa"/>
                  <w:noWrap w:val="0"/>
                  <w:tcMar>
                    <w:top w:w="0" w:type="dxa"/>
                    <w:left w:w="0" w:type="dxa"/>
                    <w:bottom w:w="0" w:type="dxa"/>
                    <w:right w:w="0" w:type="dxa"/>
                  </w:tcMar>
                  <w:vAlign w:val="center"/>
                </w:tcPr>
                <w:p w14:paraId="469700EB">
                  <w:pPr>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lang w:val="en-US" w:eastAsia="zh-CN"/>
                    </w:rPr>
                    <w:t>0.0006</w:t>
                  </w:r>
                </w:p>
              </w:tc>
            </w:tr>
            <w:tr w14:paraId="4E9E1C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3" w:type="pct"/>
                  <w:vMerge w:val="continue"/>
                  <w:noWrap w:val="0"/>
                  <w:tcMar>
                    <w:top w:w="0" w:type="dxa"/>
                    <w:left w:w="0" w:type="dxa"/>
                    <w:bottom w:w="0" w:type="dxa"/>
                    <w:right w:w="0" w:type="dxa"/>
                  </w:tcMar>
                  <w:vAlign w:val="center"/>
                </w:tcPr>
                <w:p w14:paraId="4B74898D">
                  <w:pPr>
                    <w:jc w:val="center"/>
                    <w:rPr>
                      <w:rFonts w:ascii="Times New Roman" w:hAnsi="Times New Roman" w:eastAsia="宋体" w:cs="Times New Roman"/>
                      <w:color w:val="auto"/>
                      <w:szCs w:val="21"/>
                    </w:rPr>
                  </w:pPr>
                </w:p>
              </w:tc>
              <w:tc>
                <w:tcPr>
                  <w:tcW w:w="282" w:type="pct"/>
                  <w:vMerge w:val="continue"/>
                  <w:noWrap w:val="0"/>
                  <w:tcMar>
                    <w:top w:w="0" w:type="dxa"/>
                    <w:left w:w="0" w:type="dxa"/>
                    <w:bottom w:w="0" w:type="dxa"/>
                    <w:right w:w="0" w:type="dxa"/>
                  </w:tcMar>
                  <w:vAlign w:val="center"/>
                </w:tcPr>
                <w:p w14:paraId="4747ADBE">
                  <w:pPr>
                    <w:jc w:val="center"/>
                    <w:rPr>
                      <w:rFonts w:ascii="Times New Roman" w:hAnsi="Times New Roman" w:eastAsia="宋体" w:cs="Times New Roman"/>
                      <w:color w:val="auto"/>
                      <w:szCs w:val="21"/>
                    </w:rPr>
                  </w:pPr>
                </w:p>
              </w:tc>
              <w:tc>
                <w:tcPr>
                  <w:tcW w:w="192" w:type="pct"/>
                  <w:vMerge w:val="continue"/>
                  <w:noWrap w:val="0"/>
                  <w:tcMar>
                    <w:top w:w="0" w:type="dxa"/>
                    <w:left w:w="0" w:type="dxa"/>
                    <w:bottom w:w="0" w:type="dxa"/>
                    <w:right w:w="0" w:type="dxa"/>
                  </w:tcMar>
                  <w:vAlign w:val="center"/>
                </w:tcPr>
                <w:p w14:paraId="5636A112">
                  <w:pPr>
                    <w:jc w:val="center"/>
                    <w:rPr>
                      <w:rFonts w:ascii="Times New Roman" w:hAnsi="Times New Roman" w:eastAsia="宋体" w:cs="Times New Roman"/>
                      <w:color w:val="auto"/>
                      <w:szCs w:val="21"/>
                    </w:rPr>
                  </w:pPr>
                </w:p>
              </w:tc>
              <w:tc>
                <w:tcPr>
                  <w:tcW w:w="393" w:type="pct"/>
                  <w:tcBorders>
                    <w:top w:val="single" w:color="000000" w:sz="4" w:space="0"/>
                    <w:bottom w:val="single" w:color="000000" w:sz="4" w:space="0"/>
                  </w:tcBorders>
                  <w:noWrap w:val="0"/>
                  <w:tcMar>
                    <w:top w:w="0" w:type="dxa"/>
                    <w:left w:w="0" w:type="dxa"/>
                    <w:bottom w:w="0" w:type="dxa"/>
                    <w:right w:w="0" w:type="dxa"/>
                  </w:tcMar>
                  <w:vAlign w:val="center"/>
                </w:tcPr>
                <w:p w14:paraId="00D38859">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TN</w:t>
                  </w:r>
                </w:p>
              </w:tc>
              <w:tc>
                <w:tcPr>
                  <w:tcW w:w="460" w:type="pct"/>
                  <w:tcBorders>
                    <w:top w:val="single" w:color="000000" w:sz="4" w:space="0"/>
                    <w:bottom w:val="single" w:color="000000" w:sz="4" w:space="0"/>
                  </w:tcBorders>
                  <w:noWrap w:val="0"/>
                  <w:tcMar>
                    <w:top w:w="0" w:type="dxa"/>
                    <w:left w:w="0" w:type="dxa"/>
                    <w:bottom w:w="0" w:type="dxa"/>
                    <w:right w:w="0" w:type="dxa"/>
                  </w:tcMar>
                  <w:vAlign w:val="center"/>
                </w:tcPr>
                <w:p w14:paraId="248917AE">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40</w:t>
                  </w:r>
                </w:p>
              </w:tc>
              <w:tc>
                <w:tcPr>
                  <w:tcW w:w="424" w:type="pct"/>
                  <w:noWrap w:val="0"/>
                  <w:tcMar>
                    <w:top w:w="0" w:type="dxa"/>
                    <w:left w:w="0" w:type="dxa"/>
                    <w:bottom w:w="0" w:type="dxa"/>
                    <w:right w:w="0" w:type="dxa"/>
                  </w:tcMar>
                  <w:vAlign w:val="center"/>
                </w:tcPr>
                <w:p w14:paraId="507187E2">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0.0058</w:t>
                  </w:r>
                </w:p>
              </w:tc>
              <w:tc>
                <w:tcPr>
                  <w:tcW w:w="350" w:type="pct"/>
                  <w:vMerge w:val="continue"/>
                  <w:noWrap w:val="0"/>
                  <w:tcMar>
                    <w:top w:w="0" w:type="dxa"/>
                    <w:left w:w="0" w:type="dxa"/>
                    <w:bottom w:w="0" w:type="dxa"/>
                    <w:right w:w="0" w:type="dxa"/>
                  </w:tcMar>
                  <w:vAlign w:val="center"/>
                </w:tcPr>
                <w:p w14:paraId="29987F6D">
                  <w:pPr>
                    <w:jc w:val="center"/>
                    <w:rPr>
                      <w:rFonts w:ascii="Times New Roman" w:hAnsi="Times New Roman" w:eastAsia="宋体" w:cs="Times New Roman"/>
                      <w:color w:val="auto"/>
                      <w:szCs w:val="21"/>
                    </w:rPr>
                  </w:pPr>
                </w:p>
              </w:tc>
              <w:tc>
                <w:tcPr>
                  <w:tcW w:w="454" w:type="pct"/>
                  <w:tcBorders>
                    <w:top w:val="single" w:color="000000" w:sz="4" w:space="0"/>
                    <w:bottom w:val="single" w:color="000000" w:sz="4" w:space="0"/>
                  </w:tcBorders>
                  <w:noWrap w:val="0"/>
                  <w:tcMar>
                    <w:top w:w="0" w:type="dxa"/>
                    <w:left w:w="0" w:type="dxa"/>
                    <w:bottom w:w="0" w:type="dxa"/>
                    <w:right w:w="0" w:type="dxa"/>
                  </w:tcMar>
                  <w:vAlign w:val="center"/>
                </w:tcPr>
                <w:p w14:paraId="3F098225">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40</w:t>
                  </w:r>
                </w:p>
              </w:tc>
              <w:tc>
                <w:tcPr>
                  <w:tcW w:w="766" w:type="dxa"/>
                  <w:noWrap w:val="0"/>
                  <w:tcMar>
                    <w:top w:w="0" w:type="dxa"/>
                    <w:left w:w="0" w:type="dxa"/>
                    <w:bottom w:w="0" w:type="dxa"/>
                    <w:right w:w="0" w:type="dxa"/>
                  </w:tcMar>
                  <w:vAlign w:val="center"/>
                </w:tcPr>
                <w:p w14:paraId="6C3CCBF8">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0.0058</w:t>
                  </w:r>
                </w:p>
              </w:tc>
              <w:tc>
                <w:tcPr>
                  <w:tcW w:w="669" w:type="pct"/>
                  <w:vMerge w:val="continue"/>
                  <w:noWrap w:val="0"/>
                  <w:tcMar>
                    <w:top w:w="0" w:type="dxa"/>
                    <w:left w:w="0" w:type="dxa"/>
                    <w:bottom w:w="0" w:type="dxa"/>
                    <w:right w:w="0" w:type="dxa"/>
                  </w:tcMar>
                  <w:vAlign w:val="center"/>
                </w:tcPr>
                <w:p w14:paraId="119979C8">
                  <w:pPr>
                    <w:jc w:val="center"/>
                    <w:rPr>
                      <w:rFonts w:ascii="Times New Roman" w:hAnsi="Times New Roman" w:eastAsia="宋体" w:cs="Times New Roman"/>
                      <w:color w:val="auto"/>
                      <w:szCs w:val="21"/>
                    </w:rPr>
                  </w:pPr>
                </w:p>
              </w:tc>
              <w:tc>
                <w:tcPr>
                  <w:tcW w:w="554" w:type="pct"/>
                  <w:noWrap w:val="0"/>
                  <w:tcMar>
                    <w:top w:w="0" w:type="dxa"/>
                    <w:left w:w="0" w:type="dxa"/>
                    <w:bottom w:w="0" w:type="dxa"/>
                    <w:right w:w="0" w:type="dxa"/>
                  </w:tcMar>
                  <w:vAlign w:val="center"/>
                </w:tcPr>
                <w:p w14:paraId="269A12DD">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12</w:t>
                  </w:r>
                </w:p>
              </w:tc>
              <w:tc>
                <w:tcPr>
                  <w:tcW w:w="831" w:type="dxa"/>
                  <w:noWrap w:val="0"/>
                  <w:tcMar>
                    <w:top w:w="0" w:type="dxa"/>
                    <w:left w:w="0" w:type="dxa"/>
                    <w:bottom w:w="0" w:type="dxa"/>
                    <w:right w:w="0" w:type="dxa"/>
                  </w:tcMar>
                  <w:vAlign w:val="center"/>
                </w:tcPr>
                <w:p w14:paraId="5757915C">
                  <w:pPr>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lang w:val="en-US" w:eastAsia="zh-CN"/>
                    </w:rPr>
                    <w:t>0.0017</w:t>
                  </w:r>
                </w:p>
              </w:tc>
            </w:tr>
            <w:tr w14:paraId="115B63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3" w:type="pct"/>
                  <w:vMerge w:val="continue"/>
                  <w:noWrap w:val="0"/>
                  <w:tcMar>
                    <w:top w:w="0" w:type="dxa"/>
                    <w:left w:w="0" w:type="dxa"/>
                    <w:bottom w:w="0" w:type="dxa"/>
                    <w:right w:w="0" w:type="dxa"/>
                  </w:tcMar>
                  <w:vAlign w:val="center"/>
                </w:tcPr>
                <w:p w14:paraId="5271C9FC">
                  <w:pPr>
                    <w:jc w:val="center"/>
                    <w:rPr>
                      <w:rFonts w:ascii="Times New Roman" w:hAnsi="Times New Roman" w:eastAsia="宋体" w:cs="Times New Roman"/>
                      <w:color w:val="auto"/>
                      <w:szCs w:val="21"/>
                    </w:rPr>
                  </w:pPr>
                </w:p>
              </w:tc>
              <w:tc>
                <w:tcPr>
                  <w:tcW w:w="282" w:type="pct"/>
                  <w:vMerge w:val="continue"/>
                  <w:noWrap w:val="0"/>
                  <w:tcMar>
                    <w:top w:w="0" w:type="dxa"/>
                    <w:left w:w="0" w:type="dxa"/>
                    <w:bottom w:w="0" w:type="dxa"/>
                    <w:right w:w="0" w:type="dxa"/>
                  </w:tcMar>
                  <w:vAlign w:val="center"/>
                </w:tcPr>
                <w:p w14:paraId="63A7EFB1">
                  <w:pPr>
                    <w:jc w:val="center"/>
                    <w:rPr>
                      <w:rFonts w:ascii="Times New Roman" w:hAnsi="Times New Roman" w:eastAsia="宋体" w:cs="Times New Roman"/>
                      <w:color w:val="auto"/>
                      <w:szCs w:val="21"/>
                    </w:rPr>
                  </w:pPr>
                </w:p>
              </w:tc>
              <w:tc>
                <w:tcPr>
                  <w:tcW w:w="192" w:type="pct"/>
                  <w:vMerge w:val="continue"/>
                  <w:noWrap w:val="0"/>
                  <w:tcMar>
                    <w:top w:w="0" w:type="dxa"/>
                    <w:left w:w="0" w:type="dxa"/>
                    <w:bottom w:w="0" w:type="dxa"/>
                    <w:right w:w="0" w:type="dxa"/>
                  </w:tcMar>
                  <w:vAlign w:val="center"/>
                </w:tcPr>
                <w:p w14:paraId="01A14B19">
                  <w:pPr>
                    <w:jc w:val="center"/>
                    <w:rPr>
                      <w:rFonts w:ascii="Times New Roman" w:hAnsi="Times New Roman" w:eastAsia="宋体" w:cs="Times New Roman"/>
                      <w:color w:val="auto"/>
                      <w:szCs w:val="21"/>
                    </w:rPr>
                  </w:pPr>
                </w:p>
              </w:tc>
              <w:tc>
                <w:tcPr>
                  <w:tcW w:w="393" w:type="pct"/>
                  <w:tcBorders>
                    <w:top w:val="single" w:color="000000" w:sz="4" w:space="0"/>
                  </w:tcBorders>
                  <w:noWrap w:val="0"/>
                  <w:tcMar>
                    <w:top w:w="0" w:type="dxa"/>
                    <w:left w:w="0" w:type="dxa"/>
                    <w:bottom w:w="0" w:type="dxa"/>
                    <w:right w:w="0" w:type="dxa"/>
                  </w:tcMar>
                  <w:vAlign w:val="center"/>
                </w:tcPr>
                <w:p w14:paraId="5E5A742F">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TP</w:t>
                  </w:r>
                </w:p>
              </w:tc>
              <w:tc>
                <w:tcPr>
                  <w:tcW w:w="460" w:type="pct"/>
                  <w:tcBorders>
                    <w:top w:val="single" w:color="000000" w:sz="4" w:space="0"/>
                  </w:tcBorders>
                  <w:noWrap w:val="0"/>
                  <w:tcMar>
                    <w:top w:w="0" w:type="dxa"/>
                    <w:left w:w="0" w:type="dxa"/>
                    <w:bottom w:w="0" w:type="dxa"/>
                    <w:right w:w="0" w:type="dxa"/>
                  </w:tcMar>
                  <w:vAlign w:val="center"/>
                </w:tcPr>
                <w:p w14:paraId="1EC5B72B">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w:t>
                  </w:r>
                </w:p>
              </w:tc>
              <w:tc>
                <w:tcPr>
                  <w:tcW w:w="424" w:type="pct"/>
                  <w:noWrap w:val="0"/>
                  <w:tcMar>
                    <w:top w:w="0" w:type="dxa"/>
                    <w:left w:w="0" w:type="dxa"/>
                    <w:bottom w:w="0" w:type="dxa"/>
                    <w:right w:w="0" w:type="dxa"/>
                  </w:tcMar>
                  <w:vAlign w:val="center"/>
                </w:tcPr>
                <w:p w14:paraId="0EE8CC4F">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0.0004</w:t>
                  </w:r>
                </w:p>
              </w:tc>
              <w:tc>
                <w:tcPr>
                  <w:tcW w:w="350" w:type="pct"/>
                  <w:vMerge w:val="continue"/>
                  <w:noWrap w:val="0"/>
                  <w:tcMar>
                    <w:top w:w="0" w:type="dxa"/>
                    <w:left w:w="0" w:type="dxa"/>
                    <w:bottom w:w="0" w:type="dxa"/>
                    <w:right w:w="0" w:type="dxa"/>
                  </w:tcMar>
                  <w:vAlign w:val="center"/>
                </w:tcPr>
                <w:p w14:paraId="05D5453C">
                  <w:pPr>
                    <w:jc w:val="center"/>
                    <w:rPr>
                      <w:rFonts w:ascii="Times New Roman" w:hAnsi="Times New Roman" w:eastAsia="宋体" w:cs="Times New Roman"/>
                      <w:color w:val="auto"/>
                      <w:szCs w:val="21"/>
                    </w:rPr>
                  </w:pPr>
                </w:p>
              </w:tc>
              <w:tc>
                <w:tcPr>
                  <w:tcW w:w="454" w:type="pct"/>
                  <w:tcBorders>
                    <w:top w:val="single" w:color="000000" w:sz="4" w:space="0"/>
                  </w:tcBorders>
                  <w:noWrap w:val="0"/>
                  <w:tcMar>
                    <w:top w:w="0" w:type="dxa"/>
                    <w:left w:w="0" w:type="dxa"/>
                    <w:bottom w:w="0" w:type="dxa"/>
                    <w:right w:w="0" w:type="dxa"/>
                  </w:tcMar>
                  <w:vAlign w:val="center"/>
                </w:tcPr>
                <w:p w14:paraId="1CE274A6">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w:t>
                  </w:r>
                </w:p>
              </w:tc>
              <w:tc>
                <w:tcPr>
                  <w:tcW w:w="766" w:type="dxa"/>
                  <w:noWrap w:val="0"/>
                  <w:tcMar>
                    <w:top w:w="0" w:type="dxa"/>
                    <w:left w:w="0" w:type="dxa"/>
                    <w:bottom w:w="0" w:type="dxa"/>
                    <w:right w:w="0" w:type="dxa"/>
                  </w:tcMar>
                  <w:vAlign w:val="center"/>
                </w:tcPr>
                <w:p w14:paraId="1FDB3BE4">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0.0004</w:t>
                  </w:r>
                </w:p>
              </w:tc>
              <w:tc>
                <w:tcPr>
                  <w:tcW w:w="669" w:type="pct"/>
                  <w:vMerge w:val="continue"/>
                  <w:noWrap w:val="0"/>
                  <w:tcMar>
                    <w:top w:w="0" w:type="dxa"/>
                    <w:left w:w="0" w:type="dxa"/>
                    <w:bottom w:w="0" w:type="dxa"/>
                    <w:right w:w="0" w:type="dxa"/>
                  </w:tcMar>
                  <w:vAlign w:val="center"/>
                </w:tcPr>
                <w:p w14:paraId="52D6659A">
                  <w:pPr>
                    <w:jc w:val="center"/>
                    <w:rPr>
                      <w:rFonts w:ascii="Times New Roman" w:hAnsi="Times New Roman" w:eastAsia="宋体" w:cs="Times New Roman"/>
                      <w:color w:val="auto"/>
                      <w:szCs w:val="21"/>
                    </w:rPr>
                  </w:pPr>
                </w:p>
              </w:tc>
              <w:tc>
                <w:tcPr>
                  <w:tcW w:w="554" w:type="pct"/>
                  <w:noWrap w:val="0"/>
                  <w:tcMar>
                    <w:top w:w="0" w:type="dxa"/>
                    <w:left w:w="0" w:type="dxa"/>
                    <w:bottom w:w="0" w:type="dxa"/>
                    <w:right w:w="0" w:type="dxa"/>
                  </w:tcMar>
                  <w:vAlign w:val="center"/>
                </w:tcPr>
                <w:p w14:paraId="04224402">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0.5</w:t>
                  </w:r>
                </w:p>
              </w:tc>
              <w:tc>
                <w:tcPr>
                  <w:tcW w:w="831" w:type="dxa"/>
                  <w:noWrap w:val="0"/>
                  <w:tcMar>
                    <w:top w:w="0" w:type="dxa"/>
                    <w:left w:w="0" w:type="dxa"/>
                    <w:bottom w:w="0" w:type="dxa"/>
                    <w:right w:w="0" w:type="dxa"/>
                  </w:tcMar>
                  <w:vAlign w:val="center"/>
                </w:tcPr>
                <w:p w14:paraId="030B11DE">
                  <w:pPr>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lang w:val="en-US" w:eastAsia="zh-CN"/>
                    </w:rPr>
                    <w:t>0.0001</w:t>
                  </w:r>
                </w:p>
              </w:tc>
            </w:tr>
          </w:tbl>
          <w:p w14:paraId="79FF5F79">
            <w:pPr>
              <w:pStyle w:val="9"/>
              <w:spacing w:before="120" w:beforeLines="50" w:line="360" w:lineRule="auto"/>
              <w:ind w:firstLine="422" w:firstLineChars="200"/>
              <w:rPr>
                <w:b/>
                <w:bCs/>
                <w:color w:val="auto"/>
                <w:szCs w:val="21"/>
              </w:rPr>
            </w:pPr>
            <w:r>
              <w:rPr>
                <w:b/>
                <w:bCs/>
                <w:color w:val="auto"/>
                <w:szCs w:val="21"/>
              </w:rPr>
              <w:t>2、排放口基本情况</w:t>
            </w:r>
          </w:p>
          <w:p w14:paraId="0B19EFAC">
            <w:pPr>
              <w:keepNext w:val="0"/>
              <w:keepLines w:val="0"/>
              <w:pageBreakBefore w:val="0"/>
              <w:widowControl w:val="0"/>
              <w:kinsoku/>
              <w:wordWrap/>
              <w:overflowPunct/>
              <w:topLinePunct w:val="0"/>
              <w:autoSpaceDE/>
              <w:autoSpaceDN/>
              <w:bidi w:val="0"/>
              <w:adjustRightInd w:val="0"/>
              <w:snapToGrid w:val="0"/>
              <w:jc w:val="center"/>
              <w:textAlignment w:val="auto"/>
              <w:rPr>
                <w:b/>
                <w:bCs/>
                <w:color w:val="auto"/>
                <w:szCs w:val="21"/>
              </w:rPr>
            </w:pPr>
            <w:r>
              <w:rPr>
                <w:b/>
                <w:bCs/>
                <w:color w:val="auto"/>
                <w:szCs w:val="21"/>
              </w:rPr>
              <w:t>表4-</w:t>
            </w:r>
            <w:r>
              <w:rPr>
                <w:rFonts w:hint="eastAsia"/>
                <w:b/>
                <w:bCs/>
                <w:color w:val="auto"/>
                <w:szCs w:val="21"/>
                <w:lang w:val="en-US" w:eastAsia="zh-CN"/>
              </w:rPr>
              <w:t>18</w:t>
            </w:r>
            <w:r>
              <w:rPr>
                <w:b/>
                <w:bCs/>
                <w:color w:val="auto"/>
                <w:szCs w:val="21"/>
              </w:rPr>
              <w:t xml:space="preserve"> 废水类别、污染物及污染治理设施信息表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3"/>
              <w:gridCol w:w="547"/>
              <w:gridCol w:w="599"/>
              <w:gridCol w:w="517"/>
              <w:gridCol w:w="472"/>
              <w:gridCol w:w="817"/>
              <w:gridCol w:w="609"/>
              <w:gridCol w:w="737"/>
              <w:gridCol w:w="812"/>
              <w:gridCol w:w="896"/>
              <w:gridCol w:w="1438"/>
              <w:gridCol w:w="723"/>
            </w:tblGrid>
            <w:tr w14:paraId="1AE16B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 w:type="pct"/>
                  <w:tcBorders>
                    <w:tl2br w:val="nil"/>
                    <w:tr2bl w:val="nil"/>
                  </w:tcBorders>
                  <w:noWrap w:val="0"/>
                  <w:tcMar>
                    <w:top w:w="0" w:type="dxa"/>
                    <w:left w:w="0" w:type="dxa"/>
                    <w:bottom w:w="0" w:type="dxa"/>
                    <w:right w:w="0" w:type="dxa"/>
                  </w:tcMar>
                  <w:vAlign w:val="center"/>
                </w:tcPr>
                <w:p w14:paraId="2D0B8697">
                  <w:pPr>
                    <w:pStyle w:val="55"/>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序号</w:t>
                  </w:r>
                </w:p>
              </w:tc>
              <w:tc>
                <w:tcPr>
                  <w:tcW w:w="326" w:type="pct"/>
                  <w:tcBorders>
                    <w:tl2br w:val="nil"/>
                    <w:tr2bl w:val="nil"/>
                  </w:tcBorders>
                  <w:noWrap w:val="0"/>
                  <w:tcMar>
                    <w:top w:w="0" w:type="dxa"/>
                    <w:left w:w="0" w:type="dxa"/>
                    <w:bottom w:w="0" w:type="dxa"/>
                    <w:right w:w="0" w:type="dxa"/>
                  </w:tcMar>
                  <w:vAlign w:val="center"/>
                </w:tcPr>
                <w:p w14:paraId="54A7C0C3">
                  <w:pPr>
                    <w:pStyle w:val="55"/>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废水类别</w:t>
                  </w:r>
                </w:p>
              </w:tc>
              <w:tc>
                <w:tcPr>
                  <w:tcW w:w="357" w:type="pct"/>
                  <w:tcBorders>
                    <w:tl2br w:val="nil"/>
                    <w:tr2bl w:val="nil"/>
                  </w:tcBorders>
                  <w:noWrap w:val="0"/>
                  <w:tcMar>
                    <w:top w:w="0" w:type="dxa"/>
                    <w:left w:w="0" w:type="dxa"/>
                    <w:bottom w:w="0" w:type="dxa"/>
                    <w:right w:w="0" w:type="dxa"/>
                  </w:tcMar>
                  <w:vAlign w:val="center"/>
                </w:tcPr>
                <w:p w14:paraId="2816AF1A">
                  <w:pPr>
                    <w:pStyle w:val="55"/>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污染物种类</w:t>
                  </w:r>
                </w:p>
              </w:tc>
              <w:tc>
                <w:tcPr>
                  <w:tcW w:w="308" w:type="pct"/>
                  <w:tcBorders>
                    <w:tl2br w:val="nil"/>
                    <w:tr2bl w:val="nil"/>
                  </w:tcBorders>
                  <w:noWrap w:val="0"/>
                  <w:tcMar>
                    <w:top w:w="0" w:type="dxa"/>
                    <w:left w:w="0" w:type="dxa"/>
                    <w:bottom w:w="0" w:type="dxa"/>
                    <w:right w:w="0" w:type="dxa"/>
                  </w:tcMar>
                  <w:vAlign w:val="center"/>
                </w:tcPr>
                <w:p w14:paraId="0225E158">
                  <w:pPr>
                    <w:pStyle w:val="55"/>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排放浓度mg/L</w:t>
                  </w:r>
                </w:p>
              </w:tc>
              <w:tc>
                <w:tcPr>
                  <w:tcW w:w="281" w:type="pct"/>
                  <w:tcBorders>
                    <w:tl2br w:val="nil"/>
                    <w:tr2bl w:val="nil"/>
                  </w:tcBorders>
                  <w:noWrap w:val="0"/>
                  <w:tcMar>
                    <w:top w:w="0" w:type="dxa"/>
                    <w:left w:w="0" w:type="dxa"/>
                    <w:bottom w:w="0" w:type="dxa"/>
                    <w:right w:w="0" w:type="dxa"/>
                  </w:tcMar>
                  <w:vAlign w:val="center"/>
                </w:tcPr>
                <w:p w14:paraId="19E17589">
                  <w:pPr>
                    <w:pStyle w:val="55"/>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排放方式</w:t>
                  </w:r>
                </w:p>
              </w:tc>
              <w:tc>
                <w:tcPr>
                  <w:tcW w:w="487" w:type="pct"/>
                  <w:tcBorders>
                    <w:tl2br w:val="nil"/>
                    <w:tr2bl w:val="nil"/>
                  </w:tcBorders>
                  <w:noWrap w:val="0"/>
                  <w:tcMar>
                    <w:top w:w="0" w:type="dxa"/>
                    <w:left w:w="0" w:type="dxa"/>
                    <w:bottom w:w="0" w:type="dxa"/>
                    <w:right w:w="0" w:type="dxa"/>
                  </w:tcMar>
                  <w:vAlign w:val="center"/>
                </w:tcPr>
                <w:p w14:paraId="73258C81">
                  <w:pPr>
                    <w:pStyle w:val="55"/>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排放去向</w:t>
                  </w:r>
                </w:p>
              </w:tc>
              <w:tc>
                <w:tcPr>
                  <w:tcW w:w="363" w:type="pct"/>
                  <w:tcBorders>
                    <w:tl2br w:val="nil"/>
                    <w:tr2bl w:val="nil"/>
                  </w:tcBorders>
                  <w:noWrap w:val="0"/>
                  <w:tcMar>
                    <w:top w:w="0" w:type="dxa"/>
                    <w:left w:w="0" w:type="dxa"/>
                    <w:bottom w:w="0" w:type="dxa"/>
                    <w:right w:w="0" w:type="dxa"/>
                  </w:tcMar>
                  <w:vAlign w:val="center"/>
                </w:tcPr>
                <w:p w14:paraId="0A84C713">
                  <w:pPr>
                    <w:pStyle w:val="55"/>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排放规律</w:t>
                  </w:r>
                </w:p>
              </w:tc>
              <w:tc>
                <w:tcPr>
                  <w:tcW w:w="439" w:type="pct"/>
                  <w:tcBorders>
                    <w:tl2br w:val="nil"/>
                    <w:tr2bl w:val="nil"/>
                  </w:tcBorders>
                  <w:noWrap w:val="0"/>
                  <w:tcMar>
                    <w:top w:w="0" w:type="dxa"/>
                    <w:left w:w="0" w:type="dxa"/>
                    <w:bottom w:w="0" w:type="dxa"/>
                    <w:right w:w="0" w:type="dxa"/>
                  </w:tcMar>
                  <w:vAlign w:val="center"/>
                </w:tcPr>
                <w:p w14:paraId="774FBD88">
                  <w:pPr>
                    <w:pStyle w:val="55"/>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排放口编号</w:t>
                  </w:r>
                </w:p>
              </w:tc>
              <w:tc>
                <w:tcPr>
                  <w:tcW w:w="484" w:type="pct"/>
                  <w:tcBorders>
                    <w:tl2br w:val="nil"/>
                    <w:tr2bl w:val="nil"/>
                  </w:tcBorders>
                  <w:noWrap w:val="0"/>
                  <w:tcMar>
                    <w:top w:w="0" w:type="dxa"/>
                    <w:left w:w="0" w:type="dxa"/>
                    <w:bottom w:w="0" w:type="dxa"/>
                    <w:right w:w="0" w:type="dxa"/>
                  </w:tcMar>
                  <w:vAlign w:val="center"/>
                </w:tcPr>
                <w:p w14:paraId="090066D3">
                  <w:pPr>
                    <w:pStyle w:val="55"/>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排放口坐标</w:t>
                  </w:r>
                </w:p>
              </w:tc>
              <w:tc>
                <w:tcPr>
                  <w:tcW w:w="534" w:type="pct"/>
                  <w:tcBorders>
                    <w:tl2br w:val="nil"/>
                    <w:tr2bl w:val="nil"/>
                  </w:tcBorders>
                  <w:noWrap w:val="0"/>
                  <w:tcMar>
                    <w:top w:w="0" w:type="dxa"/>
                    <w:left w:w="0" w:type="dxa"/>
                    <w:bottom w:w="0" w:type="dxa"/>
                    <w:right w:w="0" w:type="dxa"/>
                  </w:tcMar>
                  <w:vAlign w:val="center"/>
                </w:tcPr>
                <w:p w14:paraId="74924166">
                  <w:pPr>
                    <w:pStyle w:val="55"/>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排放口设置是否符合要求</w:t>
                  </w:r>
                </w:p>
              </w:tc>
              <w:tc>
                <w:tcPr>
                  <w:tcW w:w="857" w:type="pct"/>
                  <w:tcBorders>
                    <w:tl2br w:val="nil"/>
                    <w:tr2bl w:val="nil"/>
                  </w:tcBorders>
                  <w:noWrap w:val="0"/>
                  <w:tcMar>
                    <w:top w:w="0" w:type="dxa"/>
                    <w:left w:w="0" w:type="dxa"/>
                    <w:bottom w:w="0" w:type="dxa"/>
                    <w:right w:w="0" w:type="dxa"/>
                  </w:tcMar>
                  <w:vAlign w:val="center"/>
                </w:tcPr>
                <w:p w14:paraId="6E197A62">
                  <w:pPr>
                    <w:pStyle w:val="55"/>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排放口类型</w:t>
                  </w:r>
                </w:p>
              </w:tc>
              <w:tc>
                <w:tcPr>
                  <w:tcW w:w="431" w:type="pct"/>
                  <w:tcBorders>
                    <w:tl2br w:val="nil"/>
                    <w:tr2bl w:val="nil"/>
                  </w:tcBorders>
                  <w:noWrap w:val="0"/>
                  <w:tcMar>
                    <w:top w:w="0" w:type="dxa"/>
                    <w:left w:w="0" w:type="dxa"/>
                    <w:bottom w:w="0" w:type="dxa"/>
                    <w:right w:w="0" w:type="dxa"/>
                  </w:tcMar>
                  <w:vAlign w:val="center"/>
                </w:tcPr>
                <w:p w14:paraId="14647AE7">
                  <w:pPr>
                    <w:pStyle w:val="55"/>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排放标准mg/L</w:t>
                  </w:r>
                </w:p>
              </w:tc>
            </w:tr>
            <w:tr w14:paraId="405610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 w:type="pct"/>
                  <w:vMerge w:val="restart"/>
                  <w:tcBorders>
                    <w:tl2br w:val="nil"/>
                    <w:tr2bl w:val="nil"/>
                  </w:tcBorders>
                  <w:noWrap w:val="0"/>
                  <w:tcMar>
                    <w:top w:w="0" w:type="dxa"/>
                    <w:left w:w="0" w:type="dxa"/>
                    <w:bottom w:w="0" w:type="dxa"/>
                    <w:right w:w="0" w:type="dxa"/>
                  </w:tcMar>
                  <w:vAlign w:val="center"/>
                </w:tcPr>
                <w:p w14:paraId="4C8B76ED">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326" w:type="pct"/>
                  <w:vMerge w:val="restart"/>
                  <w:tcBorders>
                    <w:tl2br w:val="nil"/>
                    <w:tr2bl w:val="nil"/>
                  </w:tcBorders>
                  <w:noWrap w:val="0"/>
                  <w:tcMar>
                    <w:top w:w="0" w:type="dxa"/>
                    <w:left w:w="0" w:type="dxa"/>
                    <w:bottom w:w="0" w:type="dxa"/>
                    <w:right w:w="0" w:type="dxa"/>
                  </w:tcMar>
                  <w:vAlign w:val="center"/>
                </w:tcPr>
                <w:p w14:paraId="11D61DFD">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生活废水</w:t>
                  </w:r>
                </w:p>
              </w:tc>
              <w:tc>
                <w:tcPr>
                  <w:tcW w:w="357" w:type="pct"/>
                  <w:tcBorders>
                    <w:tl2br w:val="nil"/>
                    <w:tr2bl w:val="nil"/>
                  </w:tcBorders>
                  <w:noWrap w:val="0"/>
                  <w:tcMar>
                    <w:top w:w="0" w:type="dxa"/>
                    <w:left w:w="0" w:type="dxa"/>
                    <w:bottom w:w="0" w:type="dxa"/>
                    <w:right w:w="0" w:type="dxa"/>
                  </w:tcMar>
                  <w:vAlign w:val="center"/>
                </w:tcPr>
                <w:p w14:paraId="5BD3F74F">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COD</w:t>
                  </w:r>
                </w:p>
              </w:tc>
              <w:tc>
                <w:tcPr>
                  <w:tcW w:w="308" w:type="pct"/>
                  <w:tcBorders>
                    <w:tl2br w:val="nil"/>
                    <w:tr2bl w:val="nil"/>
                  </w:tcBorders>
                  <w:noWrap w:val="0"/>
                  <w:tcMar>
                    <w:top w:w="0" w:type="dxa"/>
                    <w:left w:w="0" w:type="dxa"/>
                    <w:bottom w:w="0" w:type="dxa"/>
                    <w:right w:w="0" w:type="dxa"/>
                  </w:tcMar>
                  <w:vAlign w:val="center"/>
                </w:tcPr>
                <w:p w14:paraId="39609745">
                  <w:pPr>
                    <w:spacing w:before="48" w:beforeLines="20" w:after="48" w:afterLines="2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400</w:t>
                  </w:r>
                </w:p>
              </w:tc>
              <w:tc>
                <w:tcPr>
                  <w:tcW w:w="281" w:type="pct"/>
                  <w:vMerge w:val="restart"/>
                  <w:tcBorders>
                    <w:tl2br w:val="nil"/>
                    <w:tr2bl w:val="nil"/>
                  </w:tcBorders>
                  <w:noWrap w:val="0"/>
                  <w:tcMar>
                    <w:top w:w="0" w:type="dxa"/>
                    <w:left w:w="0" w:type="dxa"/>
                    <w:bottom w:w="0" w:type="dxa"/>
                    <w:right w:w="0" w:type="dxa"/>
                  </w:tcMar>
                  <w:vAlign w:val="center"/>
                </w:tcPr>
                <w:p w14:paraId="3D1643C0">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间接排放</w:t>
                  </w:r>
                </w:p>
              </w:tc>
              <w:tc>
                <w:tcPr>
                  <w:tcW w:w="487" w:type="pct"/>
                  <w:vMerge w:val="restart"/>
                  <w:tcBorders>
                    <w:tl2br w:val="nil"/>
                    <w:tr2bl w:val="nil"/>
                  </w:tcBorders>
                  <w:noWrap w:val="0"/>
                  <w:tcMar>
                    <w:top w:w="0" w:type="dxa"/>
                    <w:left w:w="0" w:type="dxa"/>
                    <w:bottom w:w="0" w:type="dxa"/>
                    <w:right w:w="0" w:type="dxa"/>
                  </w:tcMar>
                  <w:vAlign w:val="center"/>
                </w:tcPr>
                <w:p w14:paraId="4C4F8976">
                  <w:pPr>
                    <w:pStyle w:val="59"/>
                    <w:spacing w:line="240" w:lineRule="auto"/>
                    <w:ind w:firstLine="0" w:firstLineChars="0"/>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排放至</w:t>
                  </w:r>
                  <w:r>
                    <w:rPr>
                      <w:rFonts w:hint="eastAsia" w:cs="Times New Roman"/>
                      <w:color w:val="auto"/>
                      <w:sz w:val="21"/>
                      <w:szCs w:val="21"/>
                      <w:lang w:eastAsia="zh-CN"/>
                    </w:rPr>
                    <w:t>常州金坛区第二污水处理有限公司</w:t>
                  </w:r>
                </w:p>
              </w:tc>
              <w:tc>
                <w:tcPr>
                  <w:tcW w:w="363" w:type="pct"/>
                  <w:vMerge w:val="restart"/>
                  <w:tcBorders>
                    <w:tl2br w:val="nil"/>
                    <w:tr2bl w:val="nil"/>
                  </w:tcBorders>
                  <w:noWrap w:val="0"/>
                  <w:tcMar>
                    <w:top w:w="0" w:type="dxa"/>
                    <w:left w:w="0" w:type="dxa"/>
                    <w:bottom w:w="0" w:type="dxa"/>
                    <w:right w:w="0" w:type="dxa"/>
                  </w:tcMar>
                  <w:vAlign w:val="center"/>
                </w:tcPr>
                <w:p w14:paraId="1E8FD03D">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连续排放，流量不稳定</w:t>
                  </w:r>
                </w:p>
              </w:tc>
              <w:tc>
                <w:tcPr>
                  <w:tcW w:w="439" w:type="pct"/>
                  <w:vMerge w:val="restart"/>
                  <w:tcBorders>
                    <w:tl2br w:val="nil"/>
                    <w:tr2bl w:val="nil"/>
                  </w:tcBorders>
                  <w:noWrap w:val="0"/>
                  <w:tcMar>
                    <w:top w:w="0" w:type="dxa"/>
                    <w:left w:w="0" w:type="dxa"/>
                    <w:bottom w:w="0" w:type="dxa"/>
                    <w:right w:w="0" w:type="dxa"/>
                  </w:tcMar>
                  <w:vAlign w:val="center"/>
                </w:tcPr>
                <w:p w14:paraId="585E8E46">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DW001</w:t>
                  </w:r>
                </w:p>
              </w:tc>
              <w:tc>
                <w:tcPr>
                  <w:tcW w:w="484" w:type="pct"/>
                  <w:vMerge w:val="restart"/>
                  <w:tcBorders>
                    <w:tl2br w:val="nil"/>
                    <w:tr2bl w:val="nil"/>
                  </w:tcBorders>
                  <w:noWrap w:val="0"/>
                  <w:tcMar>
                    <w:top w:w="0" w:type="dxa"/>
                    <w:left w:w="0" w:type="dxa"/>
                    <w:bottom w:w="0" w:type="dxa"/>
                    <w:right w:w="0" w:type="dxa"/>
                  </w:tcMar>
                  <w:vAlign w:val="center"/>
                </w:tcPr>
                <w:p w14:paraId="0FF1DC55">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119.610202</w:t>
                  </w:r>
                  <w:r>
                    <w:rPr>
                      <w:rFonts w:hint="eastAsia" w:cs="Times New Roman"/>
                      <w:color w:val="auto"/>
                      <w:sz w:val="21"/>
                      <w:szCs w:val="21"/>
                      <w:lang w:val="en-US" w:eastAsia="zh-CN"/>
                    </w:rPr>
                    <w:t>,</w:t>
                  </w:r>
                  <w:r>
                    <w:rPr>
                      <w:rFonts w:hint="default" w:ascii="Times New Roman" w:hAnsi="Times New Roman" w:eastAsia="宋体" w:cs="Times New Roman"/>
                      <w:color w:val="auto"/>
                      <w:sz w:val="21"/>
                      <w:szCs w:val="21"/>
                    </w:rPr>
                    <w:t>31.758058</w:t>
                  </w:r>
                </w:p>
              </w:tc>
              <w:tc>
                <w:tcPr>
                  <w:tcW w:w="534" w:type="pct"/>
                  <w:vMerge w:val="restart"/>
                  <w:tcBorders>
                    <w:tl2br w:val="nil"/>
                    <w:tr2bl w:val="nil"/>
                  </w:tcBorders>
                  <w:noWrap w:val="0"/>
                  <w:tcMar>
                    <w:top w:w="0" w:type="dxa"/>
                    <w:left w:w="0" w:type="dxa"/>
                    <w:bottom w:w="0" w:type="dxa"/>
                    <w:right w:w="0" w:type="dxa"/>
                  </w:tcMar>
                  <w:vAlign w:val="center"/>
                </w:tcPr>
                <w:p w14:paraId="0699CDD4">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w:t>
                  </w:r>
                </w:p>
                <w:p w14:paraId="7B51D36C">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否□</w:t>
                  </w:r>
                </w:p>
              </w:tc>
              <w:tc>
                <w:tcPr>
                  <w:tcW w:w="857" w:type="pct"/>
                  <w:vMerge w:val="restart"/>
                  <w:tcBorders>
                    <w:tl2br w:val="nil"/>
                    <w:tr2bl w:val="nil"/>
                  </w:tcBorders>
                  <w:noWrap w:val="0"/>
                  <w:tcMar>
                    <w:top w:w="0" w:type="dxa"/>
                    <w:left w:w="0" w:type="dxa"/>
                    <w:bottom w:w="0" w:type="dxa"/>
                    <w:right w:w="0" w:type="dxa"/>
                  </w:tcMar>
                  <w:vAlign w:val="center"/>
                </w:tcPr>
                <w:p w14:paraId="1AC8EC4D">
                  <w:pPr>
                    <w:pStyle w:val="59"/>
                    <w:spacing w:line="240" w:lineRule="auto"/>
                    <w:ind w:firstLine="0" w:firstLineChars="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√企业总排</w:t>
                  </w:r>
                </w:p>
                <w:p w14:paraId="4E6FDCA9">
                  <w:pPr>
                    <w:pStyle w:val="59"/>
                    <w:spacing w:line="240" w:lineRule="auto"/>
                    <w:ind w:firstLine="0" w:firstLineChars="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□雨水排放</w:t>
                  </w:r>
                </w:p>
                <w:p w14:paraId="669A22AD">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□清净下水排放</w:t>
                  </w:r>
                </w:p>
                <w:p w14:paraId="37607A09">
                  <w:pPr>
                    <w:pStyle w:val="59"/>
                    <w:spacing w:line="240" w:lineRule="auto"/>
                    <w:ind w:firstLine="0" w:firstLineChars="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□温排水排放</w:t>
                  </w:r>
                </w:p>
                <w:p w14:paraId="3A844815">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□车间或车间处理系统排放口</w:t>
                  </w:r>
                </w:p>
              </w:tc>
              <w:tc>
                <w:tcPr>
                  <w:tcW w:w="431" w:type="pct"/>
                  <w:tcBorders>
                    <w:tl2br w:val="nil"/>
                    <w:tr2bl w:val="nil"/>
                  </w:tcBorders>
                  <w:noWrap w:val="0"/>
                  <w:tcMar>
                    <w:top w:w="0" w:type="dxa"/>
                    <w:left w:w="0" w:type="dxa"/>
                    <w:bottom w:w="0" w:type="dxa"/>
                    <w:right w:w="0" w:type="dxa"/>
                  </w:tcMar>
                  <w:vAlign w:val="center"/>
                </w:tcPr>
                <w:p w14:paraId="0AE37A8F">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300</w:t>
                  </w:r>
                </w:p>
              </w:tc>
            </w:tr>
            <w:tr w14:paraId="181E49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 w:type="pct"/>
                  <w:vMerge w:val="continue"/>
                  <w:tcBorders>
                    <w:tl2br w:val="nil"/>
                    <w:tr2bl w:val="nil"/>
                  </w:tcBorders>
                  <w:noWrap w:val="0"/>
                  <w:tcMar>
                    <w:top w:w="0" w:type="dxa"/>
                    <w:left w:w="0" w:type="dxa"/>
                    <w:bottom w:w="0" w:type="dxa"/>
                    <w:right w:w="0" w:type="dxa"/>
                  </w:tcMar>
                  <w:vAlign w:val="center"/>
                </w:tcPr>
                <w:p w14:paraId="066B5176">
                  <w:pPr>
                    <w:widowControl/>
                    <w:jc w:val="left"/>
                    <w:rPr>
                      <w:rFonts w:hint="default" w:ascii="Times New Roman" w:hAnsi="Times New Roman" w:eastAsia="宋体" w:cs="Times New Roman"/>
                      <w:color w:val="auto"/>
                      <w:kern w:val="0"/>
                      <w:sz w:val="21"/>
                      <w:szCs w:val="21"/>
                    </w:rPr>
                  </w:pPr>
                </w:p>
              </w:tc>
              <w:tc>
                <w:tcPr>
                  <w:tcW w:w="326" w:type="pct"/>
                  <w:vMerge w:val="continue"/>
                  <w:tcBorders>
                    <w:tl2br w:val="nil"/>
                    <w:tr2bl w:val="nil"/>
                  </w:tcBorders>
                  <w:noWrap w:val="0"/>
                  <w:tcMar>
                    <w:top w:w="0" w:type="dxa"/>
                    <w:left w:w="0" w:type="dxa"/>
                    <w:bottom w:w="0" w:type="dxa"/>
                    <w:right w:w="0" w:type="dxa"/>
                  </w:tcMar>
                  <w:vAlign w:val="center"/>
                </w:tcPr>
                <w:p w14:paraId="1651FFF5">
                  <w:pPr>
                    <w:widowControl/>
                    <w:jc w:val="left"/>
                    <w:rPr>
                      <w:rFonts w:hint="default" w:ascii="Times New Roman" w:hAnsi="Times New Roman" w:eastAsia="宋体" w:cs="Times New Roman"/>
                      <w:color w:val="auto"/>
                      <w:kern w:val="0"/>
                      <w:sz w:val="21"/>
                      <w:szCs w:val="21"/>
                    </w:rPr>
                  </w:pPr>
                </w:p>
              </w:tc>
              <w:tc>
                <w:tcPr>
                  <w:tcW w:w="357" w:type="pct"/>
                  <w:tcBorders>
                    <w:tl2br w:val="nil"/>
                    <w:tr2bl w:val="nil"/>
                  </w:tcBorders>
                  <w:noWrap w:val="0"/>
                  <w:tcMar>
                    <w:top w:w="0" w:type="dxa"/>
                    <w:left w:w="0" w:type="dxa"/>
                    <w:bottom w:w="0" w:type="dxa"/>
                    <w:right w:w="0" w:type="dxa"/>
                  </w:tcMar>
                  <w:vAlign w:val="center"/>
                </w:tcPr>
                <w:p w14:paraId="35EB33B7">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SS</w:t>
                  </w:r>
                </w:p>
              </w:tc>
              <w:tc>
                <w:tcPr>
                  <w:tcW w:w="308" w:type="pct"/>
                  <w:tcBorders>
                    <w:tl2br w:val="nil"/>
                    <w:tr2bl w:val="nil"/>
                  </w:tcBorders>
                  <w:noWrap w:val="0"/>
                  <w:tcMar>
                    <w:top w:w="0" w:type="dxa"/>
                    <w:left w:w="0" w:type="dxa"/>
                    <w:bottom w:w="0" w:type="dxa"/>
                    <w:right w:w="0" w:type="dxa"/>
                  </w:tcMar>
                  <w:vAlign w:val="center"/>
                </w:tcPr>
                <w:p w14:paraId="3525AD91">
                  <w:pPr>
                    <w:spacing w:before="48" w:beforeLines="20" w:after="48" w:afterLines="2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200</w:t>
                  </w:r>
                </w:p>
              </w:tc>
              <w:tc>
                <w:tcPr>
                  <w:tcW w:w="281" w:type="pct"/>
                  <w:vMerge w:val="continue"/>
                  <w:tcBorders>
                    <w:tl2br w:val="nil"/>
                    <w:tr2bl w:val="nil"/>
                  </w:tcBorders>
                  <w:noWrap w:val="0"/>
                  <w:tcMar>
                    <w:top w:w="0" w:type="dxa"/>
                    <w:left w:w="0" w:type="dxa"/>
                    <w:bottom w:w="0" w:type="dxa"/>
                    <w:right w:w="0" w:type="dxa"/>
                  </w:tcMar>
                  <w:vAlign w:val="center"/>
                </w:tcPr>
                <w:p w14:paraId="3642B821">
                  <w:pPr>
                    <w:widowControl/>
                    <w:jc w:val="left"/>
                    <w:rPr>
                      <w:rFonts w:hint="default" w:ascii="Times New Roman" w:hAnsi="Times New Roman" w:eastAsia="宋体" w:cs="Times New Roman"/>
                      <w:color w:val="auto"/>
                      <w:kern w:val="0"/>
                      <w:sz w:val="21"/>
                      <w:szCs w:val="21"/>
                    </w:rPr>
                  </w:pPr>
                </w:p>
              </w:tc>
              <w:tc>
                <w:tcPr>
                  <w:tcW w:w="487" w:type="pct"/>
                  <w:vMerge w:val="continue"/>
                  <w:tcBorders>
                    <w:tl2br w:val="nil"/>
                    <w:tr2bl w:val="nil"/>
                  </w:tcBorders>
                  <w:noWrap w:val="0"/>
                  <w:tcMar>
                    <w:top w:w="0" w:type="dxa"/>
                    <w:left w:w="0" w:type="dxa"/>
                    <w:bottom w:w="0" w:type="dxa"/>
                    <w:right w:w="0" w:type="dxa"/>
                  </w:tcMar>
                  <w:vAlign w:val="center"/>
                </w:tcPr>
                <w:p w14:paraId="657F14E2">
                  <w:pPr>
                    <w:widowControl/>
                    <w:jc w:val="left"/>
                    <w:rPr>
                      <w:rFonts w:hint="default" w:ascii="Times New Roman" w:hAnsi="Times New Roman" w:eastAsia="宋体" w:cs="Times New Roman"/>
                      <w:color w:val="auto"/>
                      <w:kern w:val="0"/>
                      <w:sz w:val="21"/>
                      <w:szCs w:val="21"/>
                    </w:rPr>
                  </w:pPr>
                </w:p>
              </w:tc>
              <w:tc>
                <w:tcPr>
                  <w:tcW w:w="363" w:type="pct"/>
                  <w:vMerge w:val="continue"/>
                  <w:tcBorders>
                    <w:tl2br w:val="nil"/>
                    <w:tr2bl w:val="nil"/>
                  </w:tcBorders>
                  <w:noWrap w:val="0"/>
                  <w:tcMar>
                    <w:top w:w="0" w:type="dxa"/>
                    <w:left w:w="0" w:type="dxa"/>
                    <w:bottom w:w="0" w:type="dxa"/>
                    <w:right w:w="0" w:type="dxa"/>
                  </w:tcMar>
                  <w:vAlign w:val="center"/>
                </w:tcPr>
                <w:p w14:paraId="0870A669">
                  <w:pPr>
                    <w:widowControl/>
                    <w:jc w:val="left"/>
                    <w:rPr>
                      <w:rFonts w:hint="default" w:ascii="Times New Roman" w:hAnsi="Times New Roman" w:eastAsia="宋体" w:cs="Times New Roman"/>
                      <w:color w:val="auto"/>
                      <w:kern w:val="0"/>
                      <w:sz w:val="21"/>
                      <w:szCs w:val="21"/>
                    </w:rPr>
                  </w:pPr>
                </w:p>
              </w:tc>
              <w:tc>
                <w:tcPr>
                  <w:tcW w:w="439" w:type="pct"/>
                  <w:vMerge w:val="continue"/>
                  <w:tcBorders>
                    <w:tl2br w:val="nil"/>
                    <w:tr2bl w:val="nil"/>
                  </w:tcBorders>
                  <w:noWrap w:val="0"/>
                  <w:tcMar>
                    <w:top w:w="0" w:type="dxa"/>
                    <w:left w:w="0" w:type="dxa"/>
                    <w:bottom w:w="0" w:type="dxa"/>
                    <w:right w:w="0" w:type="dxa"/>
                  </w:tcMar>
                  <w:vAlign w:val="center"/>
                </w:tcPr>
                <w:p w14:paraId="466F4F1B">
                  <w:pPr>
                    <w:widowControl/>
                    <w:jc w:val="left"/>
                    <w:rPr>
                      <w:rFonts w:hint="default" w:ascii="Times New Roman" w:hAnsi="Times New Roman" w:eastAsia="宋体" w:cs="Times New Roman"/>
                      <w:color w:val="auto"/>
                      <w:kern w:val="0"/>
                      <w:sz w:val="21"/>
                      <w:szCs w:val="21"/>
                    </w:rPr>
                  </w:pPr>
                </w:p>
              </w:tc>
              <w:tc>
                <w:tcPr>
                  <w:tcW w:w="484" w:type="pct"/>
                  <w:vMerge w:val="continue"/>
                  <w:tcBorders>
                    <w:tl2br w:val="nil"/>
                    <w:tr2bl w:val="nil"/>
                  </w:tcBorders>
                  <w:noWrap w:val="0"/>
                  <w:tcMar>
                    <w:top w:w="0" w:type="dxa"/>
                    <w:left w:w="0" w:type="dxa"/>
                    <w:bottom w:w="0" w:type="dxa"/>
                    <w:right w:w="0" w:type="dxa"/>
                  </w:tcMar>
                  <w:vAlign w:val="center"/>
                </w:tcPr>
                <w:p w14:paraId="0EACD004">
                  <w:pPr>
                    <w:widowControl/>
                    <w:jc w:val="left"/>
                    <w:rPr>
                      <w:rFonts w:hint="default" w:ascii="Times New Roman" w:hAnsi="Times New Roman" w:eastAsia="宋体" w:cs="Times New Roman"/>
                      <w:color w:val="auto"/>
                      <w:kern w:val="0"/>
                      <w:sz w:val="21"/>
                      <w:szCs w:val="21"/>
                    </w:rPr>
                  </w:pPr>
                </w:p>
              </w:tc>
              <w:tc>
                <w:tcPr>
                  <w:tcW w:w="534" w:type="pct"/>
                  <w:vMerge w:val="continue"/>
                  <w:tcBorders>
                    <w:tl2br w:val="nil"/>
                    <w:tr2bl w:val="nil"/>
                  </w:tcBorders>
                  <w:noWrap w:val="0"/>
                  <w:tcMar>
                    <w:top w:w="0" w:type="dxa"/>
                    <w:left w:w="0" w:type="dxa"/>
                    <w:bottom w:w="0" w:type="dxa"/>
                    <w:right w:w="0" w:type="dxa"/>
                  </w:tcMar>
                  <w:vAlign w:val="center"/>
                </w:tcPr>
                <w:p w14:paraId="3499C37B">
                  <w:pPr>
                    <w:widowControl/>
                    <w:jc w:val="left"/>
                    <w:rPr>
                      <w:rFonts w:hint="default" w:ascii="Times New Roman" w:hAnsi="Times New Roman" w:eastAsia="宋体" w:cs="Times New Roman"/>
                      <w:color w:val="auto"/>
                      <w:kern w:val="0"/>
                      <w:sz w:val="21"/>
                      <w:szCs w:val="21"/>
                    </w:rPr>
                  </w:pPr>
                </w:p>
              </w:tc>
              <w:tc>
                <w:tcPr>
                  <w:tcW w:w="857" w:type="pct"/>
                  <w:vMerge w:val="continue"/>
                  <w:tcBorders>
                    <w:tl2br w:val="nil"/>
                    <w:tr2bl w:val="nil"/>
                  </w:tcBorders>
                  <w:noWrap w:val="0"/>
                  <w:tcMar>
                    <w:top w:w="0" w:type="dxa"/>
                    <w:left w:w="0" w:type="dxa"/>
                    <w:bottom w:w="0" w:type="dxa"/>
                    <w:right w:w="0" w:type="dxa"/>
                  </w:tcMar>
                  <w:vAlign w:val="center"/>
                </w:tcPr>
                <w:p w14:paraId="45D27407">
                  <w:pPr>
                    <w:widowControl/>
                    <w:jc w:val="left"/>
                    <w:rPr>
                      <w:rFonts w:hint="default" w:ascii="Times New Roman" w:hAnsi="Times New Roman" w:eastAsia="宋体" w:cs="Times New Roman"/>
                      <w:color w:val="auto"/>
                      <w:kern w:val="0"/>
                      <w:sz w:val="21"/>
                      <w:szCs w:val="21"/>
                    </w:rPr>
                  </w:pPr>
                </w:p>
              </w:tc>
              <w:tc>
                <w:tcPr>
                  <w:tcW w:w="431" w:type="pct"/>
                  <w:tcBorders>
                    <w:tl2br w:val="nil"/>
                    <w:tr2bl w:val="nil"/>
                  </w:tcBorders>
                  <w:noWrap w:val="0"/>
                  <w:tcMar>
                    <w:top w:w="0" w:type="dxa"/>
                    <w:left w:w="0" w:type="dxa"/>
                    <w:bottom w:w="0" w:type="dxa"/>
                    <w:right w:w="0" w:type="dxa"/>
                  </w:tcMar>
                  <w:vAlign w:val="center"/>
                </w:tcPr>
                <w:p w14:paraId="74031C18">
                  <w:pPr>
                    <w:adjustRightInd w:val="0"/>
                    <w:snapToGrid w:val="0"/>
                    <w:jc w:val="center"/>
                    <w:rPr>
                      <w:rFonts w:hint="default"/>
                      <w:color w:val="auto"/>
                      <w:kern w:val="2"/>
                      <w:sz w:val="21"/>
                      <w:szCs w:val="21"/>
                      <w:lang w:val="en-US" w:eastAsia="zh-CN" w:bidi="ar-SA"/>
                    </w:rPr>
                  </w:pPr>
                  <w:r>
                    <w:rPr>
                      <w:color w:val="auto"/>
                      <w:szCs w:val="21"/>
                    </w:rPr>
                    <w:t>250</w:t>
                  </w:r>
                </w:p>
              </w:tc>
            </w:tr>
            <w:tr w14:paraId="16173C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 w:type="pct"/>
                  <w:vMerge w:val="continue"/>
                  <w:tcBorders>
                    <w:tl2br w:val="nil"/>
                    <w:tr2bl w:val="nil"/>
                  </w:tcBorders>
                  <w:noWrap w:val="0"/>
                  <w:tcMar>
                    <w:top w:w="0" w:type="dxa"/>
                    <w:left w:w="0" w:type="dxa"/>
                    <w:bottom w:w="0" w:type="dxa"/>
                    <w:right w:w="0" w:type="dxa"/>
                  </w:tcMar>
                  <w:vAlign w:val="center"/>
                </w:tcPr>
                <w:p w14:paraId="65A4033E">
                  <w:pPr>
                    <w:widowControl/>
                    <w:jc w:val="left"/>
                    <w:rPr>
                      <w:rFonts w:hint="default" w:ascii="Times New Roman" w:hAnsi="Times New Roman" w:eastAsia="宋体" w:cs="Times New Roman"/>
                      <w:color w:val="auto"/>
                      <w:kern w:val="0"/>
                      <w:sz w:val="21"/>
                      <w:szCs w:val="21"/>
                    </w:rPr>
                  </w:pPr>
                </w:p>
              </w:tc>
              <w:tc>
                <w:tcPr>
                  <w:tcW w:w="326" w:type="pct"/>
                  <w:vMerge w:val="continue"/>
                  <w:tcBorders>
                    <w:tl2br w:val="nil"/>
                    <w:tr2bl w:val="nil"/>
                  </w:tcBorders>
                  <w:noWrap w:val="0"/>
                  <w:tcMar>
                    <w:top w:w="0" w:type="dxa"/>
                    <w:left w:w="0" w:type="dxa"/>
                    <w:bottom w:w="0" w:type="dxa"/>
                    <w:right w:w="0" w:type="dxa"/>
                  </w:tcMar>
                  <w:vAlign w:val="center"/>
                </w:tcPr>
                <w:p w14:paraId="5963A893">
                  <w:pPr>
                    <w:widowControl/>
                    <w:jc w:val="left"/>
                    <w:rPr>
                      <w:rFonts w:hint="default" w:ascii="Times New Roman" w:hAnsi="Times New Roman" w:eastAsia="宋体" w:cs="Times New Roman"/>
                      <w:color w:val="auto"/>
                      <w:kern w:val="0"/>
                      <w:sz w:val="21"/>
                      <w:szCs w:val="21"/>
                    </w:rPr>
                  </w:pPr>
                </w:p>
              </w:tc>
              <w:tc>
                <w:tcPr>
                  <w:tcW w:w="357" w:type="pct"/>
                  <w:tcBorders>
                    <w:tl2br w:val="nil"/>
                    <w:tr2bl w:val="nil"/>
                  </w:tcBorders>
                  <w:noWrap w:val="0"/>
                  <w:tcMar>
                    <w:top w:w="0" w:type="dxa"/>
                    <w:left w:w="0" w:type="dxa"/>
                    <w:bottom w:w="0" w:type="dxa"/>
                    <w:right w:w="0" w:type="dxa"/>
                  </w:tcMar>
                  <w:vAlign w:val="center"/>
                </w:tcPr>
                <w:p w14:paraId="013B65EB">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氨氮</w:t>
                  </w:r>
                </w:p>
              </w:tc>
              <w:tc>
                <w:tcPr>
                  <w:tcW w:w="308" w:type="pct"/>
                  <w:tcBorders>
                    <w:tl2br w:val="nil"/>
                    <w:tr2bl w:val="nil"/>
                  </w:tcBorders>
                  <w:noWrap w:val="0"/>
                  <w:tcMar>
                    <w:top w:w="0" w:type="dxa"/>
                    <w:left w:w="0" w:type="dxa"/>
                    <w:bottom w:w="0" w:type="dxa"/>
                    <w:right w:w="0" w:type="dxa"/>
                  </w:tcMar>
                  <w:vAlign w:val="center"/>
                </w:tcPr>
                <w:p w14:paraId="5C34DC64">
                  <w:pPr>
                    <w:spacing w:before="48" w:beforeLines="20" w:after="48" w:afterLines="2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30</w:t>
                  </w:r>
                </w:p>
              </w:tc>
              <w:tc>
                <w:tcPr>
                  <w:tcW w:w="281" w:type="pct"/>
                  <w:vMerge w:val="continue"/>
                  <w:tcBorders>
                    <w:tl2br w:val="nil"/>
                    <w:tr2bl w:val="nil"/>
                  </w:tcBorders>
                  <w:noWrap w:val="0"/>
                  <w:tcMar>
                    <w:top w:w="0" w:type="dxa"/>
                    <w:left w:w="0" w:type="dxa"/>
                    <w:bottom w:w="0" w:type="dxa"/>
                    <w:right w:w="0" w:type="dxa"/>
                  </w:tcMar>
                  <w:vAlign w:val="center"/>
                </w:tcPr>
                <w:p w14:paraId="622F7DBE">
                  <w:pPr>
                    <w:widowControl/>
                    <w:jc w:val="left"/>
                    <w:rPr>
                      <w:rFonts w:hint="default" w:ascii="Times New Roman" w:hAnsi="Times New Roman" w:eastAsia="宋体" w:cs="Times New Roman"/>
                      <w:color w:val="auto"/>
                      <w:kern w:val="0"/>
                      <w:sz w:val="21"/>
                      <w:szCs w:val="21"/>
                    </w:rPr>
                  </w:pPr>
                </w:p>
              </w:tc>
              <w:tc>
                <w:tcPr>
                  <w:tcW w:w="487" w:type="pct"/>
                  <w:vMerge w:val="continue"/>
                  <w:tcBorders>
                    <w:tl2br w:val="nil"/>
                    <w:tr2bl w:val="nil"/>
                  </w:tcBorders>
                  <w:noWrap w:val="0"/>
                  <w:tcMar>
                    <w:top w:w="0" w:type="dxa"/>
                    <w:left w:w="0" w:type="dxa"/>
                    <w:bottom w:w="0" w:type="dxa"/>
                    <w:right w:w="0" w:type="dxa"/>
                  </w:tcMar>
                  <w:vAlign w:val="center"/>
                </w:tcPr>
                <w:p w14:paraId="5AAC8535">
                  <w:pPr>
                    <w:widowControl/>
                    <w:jc w:val="left"/>
                    <w:rPr>
                      <w:rFonts w:hint="default" w:ascii="Times New Roman" w:hAnsi="Times New Roman" w:eastAsia="宋体" w:cs="Times New Roman"/>
                      <w:color w:val="auto"/>
                      <w:kern w:val="0"/>
                      <w:sz w:val="21"/>
                      <w:szCs w:val="21"/>
                    </w:rPr>
                  </w:pPr>
                </w:p>
              </w:tc>
              <w:tc>
                <w:tcPr>
                  <w:tcW w:w="363" w:type="pct"/>
                  <w:vMerge w:val="continue"/>
                  <w:tcBorders>
                    <w:tl2br w:val="nil"/>
                    <w:tr2bl w:val="nil"/>
                  </w:tcBorders>
                  <w:noWrap w:val="0"/>
                  <w:tcMar>
                    <w:top w:w="0" w:type="dxa"/>
                    <w:left w:w="0" w:type="dxa"/>
                    <w:bottom w:w="0" w:type="dxa"/>
                    <w:right w:w="0" w:type="dxa"/>
                  </w:tcMar>
                  <w:vAlign w:val="center"/>
                </w:tcPr>
                <w:p w14:paraId="0C7DB708">
                  <w:pPr>
                    <w:widowControl/>
                    <w:jc w:val="left"/>
                    <w:rPr>
                      <w:rFonts w:hint="default" w:ascii="Times New Roman" w:hAnsi="Times New Roman" w:eastAsia="宋体" w:cs="Times New Roman"/>
                      <w:color w:val="auto"/>
                      <w:kern w:val="0"/>
                      <w:sz w:val="21"/>
                      <w:szCs w:val="21"/>
                    </w:rPr>
                  </w:pPr>
                </w:p>
              </w:tc>
              <w:tc>
                <w:tcPr>
                  <w:tcW w:w="439" w:type="pct"/>
                  <w:vMerge w:val="continue"/>
                  <w:tcBorders>
                    <w:tl2br w:val="nil"/>
                    <w:tr2bl w:val="nil"/>
                  </w:tcBorders>
                  <w:noWrap w:val="0"/>
                  <w:tcMar>
                    <w:top w:w="0" w:type="dxa"/>
                    <w:left w:w="0" w:type="dxa"/>
                    <w:bottom w:w="0" w:type="dxa"/>
                    <w:right w:w="0" w:type="dxa"/>
                  </w:tcMar>
                  <w:vAlign w:val="center"/>
                </w:tcPr>
                <w:p w14:paraId="209D3CF0">
                  <w:pPr>
                    <w:widowControl/>
                    <w:jc w:val="left"/>
                    <w:rPr>
                      <w:rFonts w:hint="default" w:ascii="Times New Roman" w:hAnsi="Times New Roman" w:eastAsia="宋体" w:cs="Times New Roman"/>
                      <w:color w:val="auto"/>
                      <w:kern w:val="0"/>
                      <w:sz w:val="21"/>
                      <w:szCs w:val="21"/>
                    </w:rPr>
                  </w:pPr>
                </w:p>
              </w:tc>
              <w:tc>
                <w:tcPr>
                  <w:tcW w:w="484" w:type="pct"/>
                  <w:vMerge w:val="continue"/>
                  <w:tcBorders>
                    <w:tl2br w:val="nil"/>
                    <w:tr2bl w:val="nil"/>
                  </w:tcBorders>
                  <w:noWrap w:val="0"/>
                  <w:tcMar>
                    <w:top w:w="0" w:type="dxa"/>
                    <w:left w:w="0" w:type="dxa"/>
                    <w:bottom w:w="0" w:type="dxa"/>
                    <w:right w:w="0" w:type="dxa"/>
                  </w:tcMar>
                  <w:vAlign w:val="center"/>
                </w:tcPr>
                <w:p w14:paraId="6DCC5E40">
                  <w:pPr>
                    <w:widowControl/>
                    <w:jc w:val="left"/>
                    <w:rPr>
                      <w:rFonts w:hint="default" w:ascii="Times New Roman" w:hAnsi="Times New Roman" w:eastAsia="宋体" w:cs="Times New Roman"/>
                      <w:color w:val="auto"/>
                      <w:kern w:val="0"/>
                      <w:sz w:val="21"/>
                      <w:szCs w:val="21"/>
                    </w:rPr>
                  </w:pPr>
                </w:p>
              </w:tc>
              <w:tc>
                <w:tcPr>
                  <w:tcW w:w="534" w:type="pct"/>
                  <w:vMerge w:val="continue"/>
                  <w:tcBorders>
                    <w:tl2br w:val="nil"/>
                    <w:tr2bl w:val="nil"/>
                  </w:tcBorders>
                  <w:noWrap w:val="0"/>
                  <w:tcMar>
                    <w:top w:w="0" w:type="dxa"/>
                    <w:left w:w="0" w:type="dxa"/>
                    <w:bottom w:w="0" w:type="dxa"/>
                    <w:right w:w="0" w:type="dxa"/>
                  </w:tcMar>
                  <w:vAlign w:val="center"/>
                </w:tcPr>
                <w:p w14:paraId="364F5C12">
                  <w:pPr>
                    <w:widowControl/>
                    <w:jc w:val="left"/>
                    <w:rPr>
                      <w:rFonts w:hint="default" w:ascii="Times New Roman" w:hAnsi="Times New Roman" w:eastAsia="宋体" w:cs="Times New Roman"/>
                      <w:color w:val="auto"/>
                      <w:kern w:val="0"/>
                      <w:sz w:val="21"/>
                      <w:szCs w:val="21"/>
                    </w:rPr>
                  </w:pPr>
                </w:p>
              </w:tc>
              <w:tc>
                <w:tcPr>
                  <w:tcW w:w="857" w:type="pct"/>
                  <w:vMerge w:val="continue"/>
                  <w:tcBorders>
                    <w:tl2br w:val="nil"/>
                    <w:tr2bl w:val="nil"/>
                  </w:tcBorders>
                  <w:noWrap w:val="0"/>
                  <w:tcMar>
                    <w:top w:w="0" w:type="dxa"/>
                    <w:left w:w="0" w:type="dxa"/>
                    <w:bottom w:w="0" w:type="dxa"/>
                    <w:right w:w="0" w:type="dxa"/>
                  </w:tcMar>
                  <w:vAlign w:val="center"/>
                </w:tcPr>
                <w:p w14:paraId="7C2FD05E">
                  <w:pPr>
                    <w:widowControl/>
                    <w:jc w:val="left"/>
                    <w:rPr>
                      <w:rFonts w:hint="default" w:ascii="Times New Roman" w:hAnsi="Times New Roman" w:eastAsia="宋体" w:cs="Times New Roman"/>
                      <w:color w:val="auto"/>
                      <w:kern w:val="0"/>
                      <w:sz w:val="21"/>
                      <w:szCs w:val="21"/>
                    </w:rPr>
                  </w:pPr>
                </w:p>
              </w:tc>
              <w:tc>
                <w:tcPr>
                  <w:tcW w:w="431" w:type="pct"/>
                  <w:tcBorders>
                    <w:tl2br w:val="nil"/>
                    <w:tr2bl w:val="nil"/>
                  </w:tcBorders>
                  <w:noWrap w:val="0"/>
                  <w:tcMar>
                    <w:top w:w="0" w:type="dxa"/>
                    <w:left w:w="0" w:type="dxa"/>
                    <w:bottom w:w="0" w:type="dxa"/>
                    <w:right w:w="0" w:type="dxa"/>
                  </w:tcMar>
                  <w:vAlign w:val="center"/>
                </w:tcPr>
                <w:p w14:paraId="297810C3">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20</w:t>
                  </w:r>
                </w:p>
              </w:tc>
            </w:tr>
            <w:tr w14:paraId="44CAB5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 w:type="pct"/>
                  <w:vMerge w:val="continue"/>
                  <w:tcBorders>
                    <w:tl2br w:val="nil"/>
                    <w:tr2bl w:val="nil"/>
                  </w:tcBorders>
                  <w:noWrap w:val="0"/>
                  <w:tcMar>
                    <w:top w:w="0" w:type="dxa"/>
                    <w:left w:w="0" w:type="dxa"/>
                    <w:bottom w:w="0" w:type="dxa"/>
                    <w:right w:w="0" w:type="dxa"/>
                  </w:tcMar>
                  <w:vAlign w:val="center"/>
                </w:tcPr>
                <w:p w14:paraId="77B394A8">
                  <w:pPr>
                    <w:widowControl/>
                    <w:jc w:val="left"/>
                    <w:rPr>
                      <w:rFonts w:hint="default" w:ascii="Times New Roman" w:hAnsi="Times New Roman" w:eastAsia="宋体" w:cs="Times New Roman"/>
                      <w:color w:val="auto"/>
                      <w:kern w:val="0"/>
                      <w:sz w:val="21"/>
                      <w:szCs w:val="21"/>
                    </w:rPr>
                  </w:pPr>
                </w:p>
              </w:tc>
              <w:tc>
                <w:tcPr>
                  <w:tcW w:w="326" w:type="pct"/>
                  <w:vMerge w:val="continue"/>
                  <w:tcBorders>
                    <w:tl2br w:val="nil"/>
                    <w:tr2bl w:val="nil"/>
                  </w:tcBorders>
                  <w:noWrap w:val="0"/>
                  <w:tcMar>
                    <w:top w:w="0" w:type="dxa"/>
                    <w:left w:w="0" w:type="dxa"/>
                    <w:bottom w:w="0" w:type="dxa"/>
                    <w:right w:w="0" w:type="dxa"/>
                  </w:tcMar>
                  <w:vAlign w:val="center"/>
                </w:tcPr>
                <w:p w14:paraId="05C8E080">
                  <w:pPr>
                    <w:widowControl/>
                    <w:jc w:val="left"/>
                    <w:rPr>
                      <w:rFonts w:hint="default" w:ascii="Times New Roman" w:hAnsi="Times New Roman" w:eastAsia="宋体" w:cs="Times New Roman"/>
                      <w:color w:val="auto"/>
                      <w:kern w:val="0"/>
                      <w:sz w:val="21"/>
                      <w:szCs w:val="21"/>
                    </w:rPr>
                  </w:pPr>
                </w:p>
              </w:tc>
              <w:tc>
                <w:tcPr>
                  <w:tcW w:w="357" w:type="pct"/>
                  <w:tcBorders>
                    <w:tl2br w:val="nil"/>
                    <w:tr2bl w:val="nil"/>
                  </w:tcBorders>
                  <w:noWrap w:val="0"/>
                  <w:tcMar>
                    <w:top w:w="0" w:type="dxa"/>
                    <w:left w:w="0" w:type="dxa"/>
                    <w:bottom w:w="0" w:type="dxa"/>
                    <w:right w:w="0" w:type="dxa"/>
                  </w:tcMar>
                  <w:vAlign w:val="center"/>
                </w:tcPr>
                <w:p w14:paraId="07FC5669">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TN</w:t>
                  </w:r>
                </w:p>
              </w:tc>
              <w:tc>
                <w:tcPr>
                  <w:tcW w:w="308" w:type="pct"/>
                  <w:tcBorders>
                    <w:tl2br w:val="nil"/>
                    <w:tr2bl w:val="nil"/>
                  </w:tcBorders>
                  <w:noWrap w:val="0"/>
                  <w:tcMar>
                    <w:top w:w="0" w:type="dxa"/>
                    <w:left w:w="0" w:type="dxa"/>
                    <w:bottom w:w="0" w:type="dxa"/>
                    <w:right w:w="0" w:type="dxa"/>
                  </w:tcMar>
                  <w:vAlign w:val="center"/>
                </w:tcPr>
                <w:p w14:paraId="06B66A09">
                  <w:pPr>
                    <w:spacing w:before="48" w:beforeLines="20" w:after="48" w:afterLines="2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40</w:t>
                  </w:r>
                </w:p>
              </w:tc>
              <w:tc>
                <w:tcPr>
                  <w:tcW w:w="281" w:type="pct"/>
                  <w:vMerge w:val="continue"/>
                  <w:tcBorders>
                    <w:tl2br w:val="nil"/>
                    <w:tr2bl w:val="nil"/>
                  </w:tcBorders>
                  <w:noWrap w:val="0"/>
                  <w:tcMar>
                    <w:top w:w="0" w:type="dxa"/>
                    <w:left w:w="0" w:type="dxa"/>
                    <w:bottom w:w="0" w:type="dxa"/>
                    <w:right w:w="0" w:type="dxa"/>
                  </w:tcMar>
                  <w:vAlign w:val="center"/>
                </w:tcPr>
                <w:p w14:paraId="3D064E42">
                  <w:pPr>
                    <w:widowControl/>
                    <w:jc w:val="left"/>
                    <w:rPr>
                      <w:rFonts w:hint="default" w:ascii="Times New Roman" w:hAnsi="Times New Roman" w:eastAsia="宋体" w:cs="Times New Roman"/>
                      <w:color w:val="auto"/>
                      <w:kern w:val="0"/>
                      <w:sz w:val="21"/>
                      <w:szCs w:val="21"/>
                    </w:rPr>
                  </w:pPr>
                </w:p>
              </w:tc>
              <w:tc>
                <w:tcPr>
                  <w:tcW w:w="487" w:type="pct"/>
                  <w:vMerge w:val="continue"/>
                  <w:tcBorders>
                    <w:tl2br w:val="nil"/>
                    <w:tr2bl w:val="nil"/>
                  </w:tcBorders>
                  <w:noWrap w:val="0"/>
                  <w:tcMar>
                    <w:top w:w="0" w:type="dxa"/>
                    <w:left w:w="0" w:type="dxa"/>
                    <w:bottom w:w="0" w:type="dxa"/>
                    <w:right w:w="0" w:type="dxa"/>
                  </w:tcMar>
                  <w:vAlign w:val="center"/>
                </w:tcPr>
                <w:p w14:paraId="7B5FCCDC">
                  <w:pPr>
                    <w:widowControl/>
                    <w:jc w:val="left"/>
                    <w:rPr>
                      <w:rFonts w:hint="default" w:ascii="Times New Roman" w:hAnsi="Times New Roman" w:eastAsia="宋体" w:cs="Times New Roman"/>
                      <w:color w:val="auto"/>
                      <w:kern w:val="0"/>
                      <w:sz w:val="21"/>
                      <w:szCs w:val="21"/>
                    </w:rPr>
                  </w:pPr>
                </w:p>
              </w:tc>
              <w:tc>
                <w:tcPr>
                  <w:tcW w:w="363" w:type="pct"/>
                  <w:vMerge w:val="continue"/>
                  <w:tcBorders>
                    <w:tl2br w:val="nil"/>
                    <w:tr2bl w:val="nil"/>
                  </w:tcBorders>
                  <w:noWrap w:val="0"/>
                  <w:tcMar>
                    <w:top w:w="0" w:type="dxa"/>
                    <w:left w:w="0" w:type="dxa"/>
                    <w:bottom w:w="0" w:type="dxa"/>
                    <w:right w:w="0" w:type="dxa"/>
                  </w:tcMar>
                  <w:vAlign w:val="center"/>
                </w:tcPr>
                <w:p w14:paraId="5FD33134">
                  <w:pPr>
                    <w:widowControl/>
                    <w:jc w:val="left"/>
                    <w:rPr>
                      <w:rFonts w:hint="default" w:ascii="Times New Roman" w:hAnsi="Times New Roman" w:eastAsia="宋体" w:cs="Times New Roman"/>
                      <w:color w:val="auto"/>
                      <w:kern w:val="0"/>
                      <w:sz w:val="21"/>
                      <w:szCs w:val="21"/>
                    </w:rPr>
                  </w:pPr>
                </w:p>
              </w:tc>
              <w:tc>
                <w:tcPr>
                  <w:tcW w:w="439" w:type="pct"/>
                  <w:vMerge w:val="continue"/>
                  <w:tcBorders>
                    <w:tl2br w:val="nil"/>
                    <w:tr2bl w:val="nil"/>
                  </w:tcBorders>
                  <w:noWrap w:val="0"/>
                  <w:tcMar>
                    <w:top w:w="0" w:type="dxa"/>
                    <w:left w:w="0" w:type="dxa"/>
                    <w:bottom w:w="0" w:type="dxa"/>
                    <w:right w:w="0" w:type="dxa"/>
                  </w:tcMar>
                  <w:vAlign w:val="center"/>
                </w:tcPr>
                <w:p w14:paraId="045F103F">
                  <w:pPr>
                    <w:widowControl/>
                    <w:jc w:val="left"/>
                    <w:rPr>
                      <w:rFonts w:hint="default" w:ascii="Times New Roman" w:hAnsi="Times New Roman" w:eastAsia="宋体" w:cs="Times New Roman"/>
                      <w:color w:val="auto"/>
                      <w:kern w:val="0"/>
                      <w:sz w:val="21"/>
                      <w:szCs w:val="21"/>
                    </w:rPr>
                  </w:pPr>
                </w:p>
              </w:tc>
              <w:tc>
                <w:tcPr>
                  <w:tcW w:w="484" w:type="pct"/>
                  <w:vMerge w:val="continue"/>
                  <w:tcBorders>
                    <w:tl2br w:val="nil"/>
                    <w:tr2bl w:val="nil"/>
                  </w:tcBorders>
                  <w:noWrap w:val="0"/>
                  <w:tcMar>
                    <w:top w:w="0" w:type="dxa"/>
                    <w:left w:w="0" w:type="dxa"/>
                    <w:bottom w:w="0" w:type="dxa"/>
                    <w:right w:w="0" w:type="dxa"/>
                  </w:tcMar>
                  <w:vAlign w:val="center"/>
                </w:tcPr>
                <w:p w14:paraId="4C622B19">
                  <w:pPr>
                    <w:widowControl/>
                    <w:jc w:val="left"/>
                    <w:rPr>
                      <w:rFonts w:hint="default" w:ascii="Times New Roman" w:hAnsi="Times New Roman" w:eastAsia="宋体" w:cs="Times New Roman"/>
                      <w:color w:val="auto"/>
                      <w:kern w:val="0"/>
                      <w:sz w:val="21"/>
                      <w:szCs w:val="21"/>
                    </w:rPr>
                  </w:pPr>
                </w:p>
              </w:tc>
              <w:tc>
                <w:tcPr>
                  <w:tcW w:w="534" w:type="pct"/>
                  <w:vMerge w:val="continue"/>
                  <w:tcBorders>
                    <w:tl2br w:val="nil"/>
                    <w:tr2bl w:val="nil"/>
                  </w:tcBorders>
                  <w:noWrap w:val="0"/>
                  <w:tcMar>
                    <w:top w:w="0" w:type="dxa"/>
                    <w:left w:w="0" w:type="dxa"/>
                    <w:bottom w:w="0" w:type="dxa"/>
                    <w:right w:w="0" w:type="dxa"/>
                  </w:tcMar>
                  <w:vAlign w:val="center"/>
                </w:tcPr>
                <w:p w14:paraId="1E8DFDF3">
                  <w:pPr>
                    <w:widowControl/>
                    <w:jc w:val="left"/>
                    <w:rPr>
                      <w:rFonts w:hint="default" w:ascii="Times New Roman" w:hAnsi="Times New Roman" w:eastAsia="宋体" w:cs="Times New Roman"/>
                      <w:color w:val="auto"/>
                      <w:kern w:val="0"/>
                      <w:sz w:val="21"/>
                      <w:szCs w:val="21"/>
                    </w:rPr>
                  </w:pPr>
                </w:p>
              </w:tc>
              <w:tc>
                <w:tcPr>
                  <w:tcW w:w="857" w:type="pct"/>
                  <w:vMerge w:val="continue"/>
                  <w:tcBorders>
                    <w:tl2br w:val="nil"/>
                    <w:tr2bl w:val="nil"/>
                  </w:tcBorders>
                  <w:noWrap w:val="0"/>
                  <w:tcMar>
                    <w:top w:w="0" w:type="dxa"/>
                    <w:left w:w="0" w:type="dxa"/>
                    <w:bottom w:w="0" w:type="dxa"/>
                    <w:right w:w="0" w:type="dxa"/>
                  </w:tcMar>
                  <w:vAlign w:val="center"/>
                </w:tcPr>
                <w:p w14:paraId="39AC23A1">
                  <w:pPr>
                    <w:widowControl/>
                    <w:jc w:val="left"/>
                    <w:rPr>
                      <w:rFonts w:hint="default" w:ascii="Times New Roman" w:hAnsi="Times New Roman" w:eastAsia="宋体" w:cs="Times New Roman"/>
                      <w:color w:val="auto"/>
                      <w:kern w:val="0"/>
                      <w:sz w:val="21"/>
                      <w:szCs w:val="21"/>
                    </w:rPr>
                  </w:pPr>
                </w:p>
              </w:tc>
              <w:tc>
                <w:tcPr>
                  <w:tcW w:w="431" w:type="pct"/>
                  <w:tcBorders>
                    <w:tl2br w:val="nil"/>
                    <w:tr2bl w:val="nil"/>
                  </w:tcBorders>
                  <w:noWrap w:val="0"/>
                  <w:tcMar>
                    <w:top w:w="0" w:type="dxa"/>
                    <w:left w:w="0" w:type="dxa"/>
                    <w:bottom w:w="0" w:type="dxa"/>
                    <w:right w:w="0" w:type="dxa"/>
                  </w:tcMar>
                  <w:vAlign w:val="center"/>
                </w:tcPr>
                <w:p w14:paraId="6DFCDB32">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35</w:t>
                  </w:r>
                </w:p>
              </w:tc>
            </w:tr>
            <w:tr w14:paraId="6F8CFC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27" w:type="pct"/>
                  <w:vMerge w:val="continue"/>
                  <w:tcBorders>
                    <w:tl2br w:val="nil"/>
                    <w:tr2bl w:val="nil"/>
                  </w:tcBorders>
                  <w:noWrap w:val="0"/>
                  <w:tcMar>
                    <w:top w:w="0" w:type="dxa"/>
                    <w:left w:w="0" w:type="dxa"/>
                    <w:bottom w:w="0" w:type="dxa"/>
                    <w:right w:w="0" w:type="dxa"/>
                  </w:tcMar>
                  <w:vAlign w:val="center"/>
                </w:tcPr>
                <w:p w14:paraId="474A4886">
                  <w:pPr>
                    <w:widowControl/>
                    <w:jc w:val="left"/>
                    <w:rPr>
                      <w:rFonts w:hint="default" w:ascii="Times New Roman" w:hAnsi="Times New Roman" w:eastAsia="宋体" w:cs="Times New Roman"/>
                      <w:color w:val="auto"/>
                      <w:kern w:val="0"/>
                      <w:sz w:val="21"/>
                      <w:szCs w:val="21"/>
                    </w:rPr>
                  </w:pPr>
                </w:p>
              </w:tc>
              <w:tc>
                <w:tcPr>
                  <w:tcW w:w="326" w:type="pct"/>
                  <w:vMerge w:val="continue"/>
                  <w:tcBorders>
                    <w:tl2br w:val="nil"/>
                    <w:tr2bl w:val="nil"/>
                  </w:tcBorders>
                  <w:noWrap w:val="0"/>
                  <w:tcMar>
                    <w:top w:w="0" w:type="dxa"/>
                    <w:left w:w="0" w:type="dxa"/>
                    <w:bottom w:w="0" w:type="dxa"/>
                    <w:right w:w="0" w:type="dxa"/>
                  </w:tcMar>
                  <w:vAlign w:val="center"/>
                </w:tcPr>
                <w:p w14:paraId="561932FD">
                  <w:pPr>
                    <w:widowControl/>
                    <w:jc w:val="left"/>
                    <w:rPr>
                      <w:rFonts w:hint="default" w:ascii="Times New Roman" w:hAnsi="Times New Roman" w:eastAsia="宋体" w:cs="Times New Roman"/>
                      <w:color w:val="auto"/>
                      <w:kern w:val="0"/>
                      <w:sz w:val="21"/>
                      <w:szCs w:val="21"/>
                    </w:rPr>
                  </w:pPr>
                </w:p>
              </w:tc>
              <w:tc>
                <w:tcPr>
                  <w:tcW w:w="357" w:type="pct"/>
                  <w:tcBorders>
                    <w:tl2br w:val="nil"/>
                    <w:tr2bl w:val="nil"/>
                  </w:tcBorders>
                  <w:noWrap w:val="0"/>
                  <w:tcMar>
                    <w:top w:w="0" w:type="dxa"/>
                    <w:left w:w="0" w:type="dxa"/>
                    <w:bottom w:w="0" w:type="dxa"/>
                    <w:right w:w="0" w:type="dxa"/>
                  </w:tcMar>
                  <w:vAlign w:val="center"/>
                </w:tcPr>
                <w:p w14:paraId="4A5ED5B5">
                  <w:pPr>
                    <w:pStyle w:val="59"/>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TP</w:t>
                  </w:r>
                </w:p>
              </w:tc>
              <w:tc>
                <w:tcPr>
                  <w:tcW w:w="308" w:type="pct"/>
                  <w:tcBorders>
                    <w:tl2br w:val="nil"/>
                    <w:tr2bl w:val="nil"/>
                  </w:tcBorders>
                  <w:noWrap w:val="0"/>
                  <w:tcMar>
                    <w:top w:w="0" w:type="dxa"/>
                    <w:left w:w="0" w:type="dxa"/>
                    <w:bottom w:w="0" w:type="dxa"/>
                    <w:right w:w="0" w:type="dxa"/>
                  </w:tcMar>
                  <w:vAlign w:val="center"/>
                </w:tcPr>
                <w:p w14:paraId="50D7A16F">
                  <w:pPr>
                    <w:spacing w:before="48" w:beforeLines="20" w:after="48" w:afterLines="2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w:t>
                  </w:r>
                </w:p>
              </w:tc>
              <w:tc>
                <w:tcPr>
                  <w:tcW w:w="281" w:type="pct"/>
                  <w:vMerge w:val="continue"/>
                  <w:tcBorders>
                    <w:tl2br w:val="nil"/>
                    <w:tr2bl w:val="nil"/>
                  </w:tcBorders>
                  <w:noWrap w:val="0"/>
                  <w:tcMar>
                    <w:top w:w="0" w:type="dxa"/>
                    <w:left w:w="0" w:type="dxa"/>
                    <w:bottom w:w="0" w:type="dxa"/>
                    <w:right w:w="0" w:type="dxa"/>
                  </w:tcMar>
                  <w:vAlign w:val="center"/>
                </w:tcPr>
                <w:p w14:paraId="0CFAF929">
                  <w:pPr>
                    <w:widowControl/>
                    <w:jc w:val="left"/>
                    <w:rPr>
                      <w:rFonts w:hint="default" w:ascii="Times New Roman" w:hAnsi="Times New Roman" w:eastAsia="宋体" w:cs="Times New Roman"/>
                      <w:color w:val="auto"/>
                      <w:kern w:val="0"/>
                      <w:sz w:val="21"/>
                      <w:szCs w:val="21"/>
                    </w:rPr>
                  </w:pPr>
                </w:p>
              </w:tc>
              <w:tc>
                <w:tcPr>
                  <w:tcW w:w="487" w:type="pct"/>
                  <w:vMerge w:val="continue"/>
                  <w:tcBorders>
                    <w:tl2br w:val="nil"/>
                    <w:tr2bl w:val="nil"/>
                  </w:tcBorders>
                  <w:noWrap w:val="0"/>
                  <w:tcMar>
                    <w:top w:w="0" w:type="dxa"/>
                    <w:left w:w="0" w:type="dxa"/>
                    <w:bottom w:w="0" w:type="dxa"/>
                    <w:right w:w="0" w:type="dxa"/>
                  </w:tcMar>
                  <w:vAlign w:val="center"/>
                </w:tcPr>
                <w:p w14:paraId="30A8B124">
                  <w:pPr>
                    <w:widowControl/>
                    <w:jc w:val="left"/>
                    <w:rPr>
                      <w:rFonts w:hint="default" w:ascii="Times New Roman" w:hAnsi="Times New Roman" w:eastAsia="宋体" w:cs="Times New Roman"/>
                      <w:color w:val="auto"/>
                      <w:kern w:val="0"/>
                      <w:sz w:val="21"/>
                      <w:szCs w:val="21"/>
                    </w:rPr>
                  </w:pPr>
                </w:p>
              </w:tc>
              <w:tc>
                <w:tcPr>
                  <w:tcW w:w="363" w:type="pct"/>
                  <w:vMerge w:val="continue"/>
                  <w:tcBorders>
                    <w:tl2br w:val="nil"/>
                    <w:tr2bl w:val="nil"/>
                  </w:tcBorders>
                  <w:noWrap w:val="0"/>
                  <w:tcMar>
                    <w:top w:w="0" w:type="dxa"/>
                    <w:left w:w="0" w:type="dxa"/>
                    <w:bottom w:w="0" w:type="dxa"/>
                    <w:right w:w="0" w:type="dxa"/>
                  </w:tcMar>
                  <w:vAlign w:val="center"/>
                </w:tcPr>
                <w:p w14:paraId="5E0B1991">
                  <w:pPr>
                    <w:widowControl/>
                    <w:jc w:val="left"/>
                    <w:rPr>
                      <w:rFonts w:hint="default" w:ascii="Times New Roman" w:hAnsi="Times New Roman" w:eastAsia="宋体" w:cs="Times New Roman"/>
                      <w:color w:val="auto"/>
                      <w:kern w:val="0"/>
                      <w:sz w:val="21"/>
                      <w:szCs w:val="21"/>
                    </w:rPr>
                  </w:pPr>
                </w:p>
              </w:tc>
              <w:tc>
                <w:tcPr>
                  <w:tcW w:w="439" w:type="pct"/>
                  <w:vMerge w:val="continue"/>
                  <w:tcBorders>
                    <w:tl2br w:val="nil"/>
                    <w:tr2bl w:val="nil"/>
                  </w:tcBorders>
                  <w:noWrap w:val="0"/>
                  <w:tcMar>
                    <w:top w:w="0" w:type="dxa"/>
                    <w:left w:w="0" w:type="dxa"/>
                    <w:bottom w:w="0" w:type="dxa"/>
                    <w:right w:w="0" w:type="dxa"/>
                  </w:tcMar>
                  <w:vAlign w:val="center"/>
                </w:tcPr>
                <w:p w14:paraId="566CFAF8">
                  <w:pPr>
                    <w:widowControl/>
                    <w:jc w:val="left"/>
                    <w:rPr>
                      <w:rFonts w:hint="default" w:ascii="Times New Roman" w:hAnsi="Times New Roman" w:eastAsia="宋体" w:cs="Times New Roman"/>
                      <w:color w:val="auto"/>
                      <w:kern w:val="0"/>
                      <w:sz w:val="21"/>
                      <w:szCs w:val="21"/>
                    </w:rPr>
                  </w:pPr>
                </w:p>
              </w:tc>
              <w:tc>
                <w:tcPr>
                  <w:tcW w:w="484" w:type="pct"/>
                  <w:vMerge w:val="continue"/>
                  <w:tcBorders>
                    <w:tl2br w:val="nil"/>
                    <w:tr2bl w:val="nil"/>
                  </w:tcBorders>
                  <w:noWrap w:val="0"/>
                  <w:tcMar>
                    <w:top w:w="0" w:type="dxa"/>
                    <w:left w:w="0" w:type="dxa"/>
                    <w:bottom w:w="0" w:type="dxa"/>
                    <w:right w:w="0" w:type="dxa"/>
                  </w:tcMar>
                  <w:vAlign w:val="center"/>
                </w:tcPr>
                <w:p w14:paraId="59244940">
                  <w:pPr>
                    <w:widowControl/>
                    <w:jc w:val="left"/>
                    <w:rPr>
                      <w:rFonts w:hint="default" w:ascii="Times New Roman" w:hAnsi="Times New Roman" w:eastAsia="宋体" w:cs="Times New Roman"/>
                      <w:color w:val="auto"/>
                      <w:kern w:val="0"/>
                      <w:sz w:val="21"/>
                      <w:szCs w:val="21"/>
                    </w:rPr>
                  </w:pPr>
                </w:p>
              </w:tc>
              <w:tc>
                <w:tcPr>
                  <w:tcW w:w="534" w:type="pct"/>
                  <w:vMerge w:val="continue"/>
                  <w:tcBorders>
                    <w:tl2br w:val="nil"/>
                    <w:tr2bl w:val="nil"/>
                  </w:tcBorders>
                  <w:noWrap w:val="0"/>
                  <w:tcMar>
                    <w:top w:w="0" w:type="dxa"/>
                    <w:left w:w="0" w:type="dxa"/>
                    <w:bottom w:w="0" w:type="dxa"/>
                    <w:right w:w="0" w:type="dxa"/>
                  </w:tcMar>
                  <w:vAlign w:val="center"/>
                </w:tcPr>
                <w:p w14:paraId="004FAE91">
                  <w:pPr>
                    <w:widowControl/>
                    <w:jc w:val="left"/>
                    <w:rPr>
                      <w:rFonts w:hint="default" w:ascii="Times New Roman" w:hAnsi="Times New Roman" w:eastAsia="宋体" w:cs="Times New Roman"/>
                      <w:color w:val="auto"/>
                      <w:kern w:val="0"/>
                      <w:sz w:val="21"/>
                      <w:szCs w:val="21"/>
                    </w:rPr>
                  </w:pPr>
                </w:p>
              </w:tc>
              <w:tc>
                <w:tcPr>
                  <w:tcW w:w="857" w:type="pct"/>
                  <w:vMerge w:val="continue"/>
                  <w:tcBorders>
                    <w:tl2br w:val="nil"/>
                    <w:tr2bl w:val="nil"/>
                  </w:tcBorders>
                  <w:noWrap w:val="0"/>
                  <w:tcMar>
                    <w:top w:w="0" w:type="dxa"/>
                    <w:left w:w="0" w:type="dxa"/>
                    <w:bottom w:w="0" w:type="dxa"/>
                    <w:right w:w="0" w:type="dxa"/>
                  </w:tcMar>
                  <w:vAlign w:val="center"/>
                </w:tcPr>
                <w:p w14:paraId="1FC64C39">
                  <w:pPr>
                    <w:widowControl/>
                    <w:jc w:val="left"/>
                    <w:rPr>
                      <w:rFonts w:hint="default" w:ascii="Times New Roman" w:hAnsi="Times New Roman" w:eastAsia="宋体" w:cs="Times New Roman"/>
                      <w:color w:val="auto"/>
                      <w:kern w:val="0"/>
                      <w:sz w:val="21"/>
                      <w:szCs w:val="21"/>
                    </w:rPr>
                  </w:pPr>
                </w:p>
              </w:tc>
              <w:tc>
                <w:tcPr>
                  <w:tcW w:w="431" w:type="pct"/>
                  <w:tcBorders>
                    <w:tl2br w:val="nil"/>
                    <w:tr2bl w:val="nil"/>
                  </w:tcBorders>
                  <w:noWrap w:val="0"/>
                  <w:tcMar>
                    <w:top w:w="0" w:type="dxa"/>
                    <w:left w:w="0" w:type="dxa"/>
                    <w:bottom w:w="0" w:type="dxa"/>
                    <w:right w:w="0" w:type="dxa"/>
                  </w:tcMar>
                  <w:vAlign w:val="center"/>
                </w:tcPr>
                <w:p w14:paraId="6C68309F">
                  <w:pPr>
                    <w:adjustRightInd w:val="0"/>
                    <w:snapToGrid w:val="0"/>
                    <w:jc w:val="center"/>
                    <w:rPr>
                      <w:rFonts w:hint="default"/>
                      <w:color w:val="auto"/>
                      <w:kern w:val="2"/>
                      <w:sz w:val="21"/>
                      <w:szCs w:val="21"/>
                      <w:lang w:val="en-US" w:eastAsia="zh-CN" w:bidi="ar-SA"/>
                    </w:rPr>
                  </w:pPr>
                  <w:r>
                    <w:rPr>
                      <w:color w:val="auto"/>
                      <w:szCs w:val="21"/>
                    </w:rPr>
                    <w:t>3</w:t>
                  </w:r>
                </w:p>
              </w:tc>
            </w:tr>
          </w:tbl>
          <w:p w14:paraId="1DA7E7DE">
            <w:pPr>
              <w:pStyle w:val="9"/>
              <w:spacing w:before="120" w:beforeLines="50" w:line="360" w:lineRule="auto"/>
              <w:ind w:firstLine="422" w:firstLineChars="200"/>
              <w:rPr>
                <w:b/>
                <w:bCs/>
                <w:color w:val="auto"/>
                <w:szCs w:val="21"/>
              </w:rPr>
            </w:pPr>
            <w:r>
              <w:rPr>
                <w:rFonts w:hint="eastAsia"/>
                <w:b/>
                <w:bCs/>
                <w:color w:val="auto"/>
                <w:szCs w:val="21"/>
              </w:rPr>
              <w:t>3</w:t>
            </w:r>
            <w:r>
              <w:rPr>
                <w:b/>
                <w:bCs/>
                <w:color w:val="auto"/>
                <w:szCs w:val="21"/>
              </w:rPr>
              <w:t>、接管可行性分析</w:t>
            </w:r>
          </w:p>
          <w:p w14:paraId="26A4A04E">
            <w:pPr>
              <w:autoSpaceDE w:val="0"/>
              <w:autoSpaceDN w:val="0"/>
              <w:adjustRightInd w:val="0"/>
              <w:spacing w:line="360" w:lineRule="auto"/>
              <w:ind w:firstLine="422" w:firstLineChars="200"/>
              <w:jc w:val="left"/>
              <w:rPr>
                <w:b/>
                <w:color w:val="auto"/>
                <w:szCs w:val="21"/>
              </w:rPr>
            </w:pPr>
            <w:r>
              <w:rPr>
                <w:b/>
                <w:color w:val="auto"/>
                <w:szCs w:val="21"/>
              </w:rPr>
              <w:t>厂内污水接管可行性分析</w:t>
            </w:r>
          </w:p>
          <w:p w14:paraId="42ACF05C">
            <w:pPr>
              <w:autoSpaceDE w:val="0"/>
              <w:autoSpaceDN w:val="0"/>
              <w:adjustRightInd w:val="0"/>
              <w:spacing w:line="360" w:lineRule="auto"/>
              <w:ind w:firstLine="420" w:firstLineChars="200"/>
              <w:rPr>
                <w:color w:val="auto"/>
                <w:spacing w:val="15"/>
                <w:szCs w:val="21"/>
              </w:rPr>
            </w:pPr>
            <w:r>
              <w:rPr>
                <w:color w:val="auto"/>
                <w:szCs w:val="21"/>
              </w:rPr>
              <w:t>本项目生活污水排入</w:t>
            </w:r>
            <w:r>
              <w:rPr>
                <w:rFonts w:hint="eastAsia"/>
                <w:color w:val="auto"/>
                <w:szCs w:val="21"/>
              </w:rPr>
              <w:t>常州金坛区第二污水处理有限公司</w:t>
            </w:r>
            <w:r>
              <w:rPr>
                <w:color w:val="auto"/>
                <w:szCs w:val="21"/>
              </w:rPr>
              <w:t>处理；本项目接管排放的污水量共计</w:t>
            </w:r>
            <w:r>
              <w:rPr>
                <w:rFonts w:hint="eastAsia"/>
                <w:color w:val="auto"/>
                <w:szCs w:val="21"/>
                <w:lang w:val="en-US" w:eastAsia="zh-CN"/>
              </w:rPr>
              <w:t>144</w:t>
            </w:r>
            <w:r>
              <w:rPr>
                <w:color w:val="auto"/>
                <w:szCs w:val="21"/>
              </w:rPr>
              <w:t>t/a，接管水质为</w:t>
            </w:r>
            <w:r>
              <w:rPr>
                <w:rFonts w:hint="default" w:ascii="Times New Roman" w:hAnsi="Times New Roman" w:eastAsia="宋体" w:cs="Times New Roman"/>
                <w:color w:val="auto"/>
                <w:sz w:val="21"/>
                <w:szCs w:val="21"/>
              </w:rPr>
              <w:t>COD</w:t>
            </w:r>
            <w:r>
              <w:rPr>
                <w:rFonts w:hint="eastAsia" w:cs="Times New Roman"/>
                <w:color w:val="auto"/>
                <w:sz w:val="21"/>
                <w:szCs w:val="21"/>
                <w:lang w:val="en-US" w:eastAsia="zh-CN"/>
              </w:rPr>
              <w:t xml:space="preserve"> </w:t>
            </w:r>
            <w:r>
              <w:rPr>
                <w:rFonts w:hint="default" w:ascii="Times New Roman" w:hAnsi="Times New Roman" w:eastAsia="宋体" w:cs="Times New Roman"/>
                <w:color w:val="auto"/>
                <w:sz w:val="21"/>
                <w:szCs w:val="21"/>
              </w:rPr>
              <w:t>400mg/L、SS</w:t>
            </w:r>
            <w:r>
              <w:rPr>
                <w:rFonts w:hint="eastAsia" w:cs="Times New Roman"/>
                <w:color w:val="auto"/>
                <w:sz w:val="21"/>
                <w:szCs w:val="21"/>
                <w:lang w:val="en-US" w:eastAsia="zh-CN"/>
              </w:rPr>
              <w:t xml:space="preserve"> </w:t>
            </w:r>
            <w:r>
              <w:rPr>
                <w:rFonts w:hint="default" w:ascii="Times New Roman" w:hAnsi="Times New Roman" w:eastAsia="宋体" w:cs="Times New Roman"/>
                <w:color w:val="auto"/>
                <w:sz w:val="21"/>
                <w:szCs w:val="21"/>
              </w:rPr>
              <w:t>200mg/L、NH</w:t>
            </w:r>
            <w:r>
              <w:rPr>
                <w:rFonts w:hint="default" w:ascii="Times New Roman" w:hAnsi="Times New Roman" w:eastAsia="宋体" w:cs="Times New Roman"/>
                <w:color w:val="auto"/>
                <w:sz w:val="21"/>
                <w:szCs w:val="21"/>
                <w:vertAlign w:val="subscript"/>
              </w:rPr>
              <w:t>3</w:t>
            </w:r>
            <w:r>
              <w:rPr>
                <w:rFonts w:hint="default" w:ascii="Times New Roman" w:hAnsi="Times New Roman" w:eastAsia="宋体" w:cs="Times New Roman"/>
                <w:color w:val="auto"/>
                <w:sz w:val="21"/>
                <w:szCs w:val="21"/>
              </w:rPr>
              <w:t>-N</w:t>
            </w:r>
            <w:r>
              <w:rPr>
                <w:rFonts w:hint="eastAsia" w:cs="Times New Roman"/>
                <w:color w:val="auto"/>
                <w:sz w:val="21"/>
                <w:szCs w:val="21"/>
                <w:lang w:val="en-US" w:eastAsia="zh-CN"/>
              </w:rPr>
              <w:t xml:space="preserve"> 30</w:t>
            </w:r>
            <w:r>
              <w:rPr>
                <w:rFonts w:hint="default" w:ascii="Times New Roman" w:hAnsi="Times New Roman" w:eastAsia="宋体" w:cs="Times New Roman"/>
                <w:color w:val="auto"/>
                <w:sz w:val="21"/>
                <w:szCs w:val="21"/>
              </w:rPr>
              <w:t xml:space="preserve">mg/L、TN </w:t>
            </w:r>
            <w:r>
              <w:rPr>
                <w:rFonts w:hint="eastAsia" w:cs="Times New Roman"/>
                <w:color w:val="auto"/>
                <w:sz w:val="21"/>
                <w:szCs w:val="21"/>
                <w:lang w:val="en-US" w:eastAsia="zh-CN"/>
              </w:rPr>
              <w:t>40</w:t>
            </w:r>
            <w:r>
              <w:rPr>
                <w:rFonts w:hint="default" w:ascii="Times New Roman" w:hAnsi="Times New Roman" w:eastAsia="宋体" w:cs="Times New Roman"/>
                <w:color w:val="auto"/>
                <w:sz w:val="21"/>
                <w:szCs w:val="21"/>
              </w:rPr>
              <w:t>mg/L、TP 3mg/L</w:t>
            </w:r>
            <w:r>
              <w:rPr>
                <w:color w:val="auto"/>
                <w:szCs w:val="21"/>
              </w:rPr>
              <w:t>，</w:t>
            </w:r>
            <w:r>
              <w:rPr>
                <w:rFonts w:hint="default" w:ascii="Times New Roman" w:hAnsi="Times New Roman" w:eastAsia="宋体" w:cs="Times New Roman"/>
                <w:color w:val="auto"/>
                <w:sz w:val="21"/>
                <w:szCs w:val="21"/>
              </w:rPr>
              <w:t>可达到金坛区污水处理厂接管要求。即：COD≤500mg/L、SS≤250mg/L、氨氮≤35mg/L、TP≤3mg/L、TN≤50mg/L</w:t>
            </w:r>
            <w:r>
              <w:rPr>
                <w:color w:val="auto"/>
                <w:szCs w:val="21"/>
              </w:rPr>
              <w:t>。</w:t>
            </w:r>
          </w:p>
          <w:p w14:paraId="151F9124">
            <w:pPr>
              <w:spacing w:line="360" w:lineRule="auto"/>
              <w:ind w:firstLine="422" w:firstLineChars="200"/>
              <w:jc w:val="left"/>
              <w:rPr>
                <w:b/>
                <w:bCs/>
                <w:color w:val="auto"/>
                <w:szCs w:val="21"/>
              </w:rPr>
            </w:pPr>
            <w:r>
              <w:rPr>
                <w:b/>
                <w:bCs/>
                <w:color w:val="auto"/>
                <w:szCs w:val="21"/>
              </w:rPr>
              <w:t>污水处理厂处理负荷可行性分析：</w:t>
            </w:r>
          </w:p>
          <w:p w14:paraId="3C72FD61">
            <w:pPr>
              <w:spacing w:line="360" w:lineRule="auto"/>
              <w:ind w:firstLine="420" w:firstLineChars="200"/>
              <w:rPr>
                <w:color w:val="auto"/>
                <w:szCs w:val="21"/>
              </w:rPr>
            </w:pPr>
            <w:r>
              <w:rPr>
                <w:rFonts w:hint="eastAsia"/>
                <w:color w:val="auto"/>
                <w:szCs w:val="21"/>
              </w:rPr>
              <w:t>常州金坛区第二污水处理有限公司</w:t>
            </w:r>
            <w:r>
              <w:rPr>
                <w:color w:val="auto"/>
                <w:szCs w:val="21"/>
              </w:rPr>
              <w:t>一期建设规模2万m</w:t>
            </w:r>
            <w:r>
              <w:rPr>
                <w:color w:val="auto"/>
                <w:szCs w:val="21"/>
                <w:vertAlign w:val="superscript"/>
              </w:rPr>
              <w:t>3</w:t>
            </w:r>
            <w:r>
              <w:rPr>
                <w:color w:val="auto"/>
                <w:szCs w:val="21"/>
              </w:rPr>
              <w:t>/d，于2005年底建成运营；二期2万m</w:t>
            </w:r>
            <w:r>
              <w:rPr>
                <w:color w:val="auto"/>
                <w:szCs w:val="21"/>
                <w:vertAlign w:val="superscript"/>
              </w:rPr>
              <w:t>3</w:t>
            </w:r>
            <w:r>
              <w:rPr>
                <w:color w:val="auto"/>
                <w:szCs w:val="21"/>
              </w:rPr>
              <w:t>/d，已于2009年底正式投入运营；三期2万m</w:t>
            </w:r>
            <w:r>
              <w:rPr>
                <w:color w:val="auto"/>
                <w:szCs w:val="21"/>
                <w:vertAlign w:val="superscript"/>
              </w:rPr>
              <w:t>3</w:t>
            </w:r>
            <w:r>
              <w:rPr>
                <w:color w:val="auto"/>
                <w:szCs w:val="21"/>
              </w:rPr>
              <w:t>/d，已于2014年4月8日取得原金坛市环保局的环评批复。目前</w:t>
            </w:r>
            <w:r>
              <w:rPr>
                <w:rFonts w:hint="eastAsia"/>
                <w:color w:val="auto"/>
                <w:szCs w:val="21"/>
              </w:rPr>
              <w:t>常州金坛区第二污水处理有限公司</w:t>
            </w:r>
            <w:r>
              <w:rPr>
                <w:color w:val="auto"/>
                <w:szCs w:val="21"/>
              </w:rPr>
              <w:t>处理能力已达6万m</w:t>
            </w:r>
            <w:r>
              <w:rPr>
                <w:color w:val="auto"/>
                <w:szCs w:val="21"/>
                <w:vertAlign w:val="superscript"/>
              </w:rPr>
              <w:t>3</w:t>
            </w:r>
            <w:r>
              <w:rPr>
                <w:color w:val="auto"/>
                <w:szCs w:val="21"/>
              </w:rPr>
              <w:t>/d，实际污水处理量为5.5万m</w:t>
            </w:r>
            <w:r>
              <w:rPr>
                <w:color w:val="auto"/>
                <w:szCs w:val="21"/>
                <w:vertAlign w:val="superscript"/>
              </w:rPr>
              <w:t>3</w:t>
            </w:r>
            <w:r>
              <w:rPr>
                <w:color w:val="auto"/>
                <w:szCs w:val="21"/>
              </w:rPr>
              <w:t>/d，尚有0.5万m</w:t>
            </w:r>
            <w:r>
              <w:rPr>
                <w:color w:val="auto"/>
                <w:szCs w:val="21"/>
                <w:vertAlign w:val="superscript"/>
              </w:rPr>
              <w:t>3</w:t>
            </w:r>
            <w:r>
              <w:rPr>
                <w:color w:val="auto"/>
                <w:szCs w:val="21"/>
              </w:rPr>
              <w:t>/d的余量，且规划建设规模为16万m</w:t>
            </w:r>
            <w:r>
              <w:rPr>
                <w:color w:val="auto"/>
                <w:szCs w:val="21"/>
                <w:vertAlign w:val="superscript"/>
              </w:rPr>
              <w:t>3</w:t>
            </w:r>
            <w:r>
              <w:rPr>
                <w:color w:val="auto"/>
                <w:szCs w:val="21"/>
              </w:rPr>
              <w:t>/d。</w:t>
            </w:r>
          </w:p>
          <w:p w14:paraId="35F7DF55">
            <w:pPr>
              <w:spacing w:line="360" w:lineRule="auto"/>
              <w:ind w:firstLine="420" w:firstLineChars="200"/>
              <w:rPr>
                <w:color w:val="auto"/>
                <w:szCs w:val="21"/>
              </w:rPr>
            </w:pPr>
            <w:r>
              <w:rPr>
                <w:color w:val="auto"/>
                <w:szCs w:val="21"/>
              </w:rPr>
              <w:t>本项目建成后污水排放量为</w:t>
            </w:r>
            <w:r>
              <w:rPr>
                <w:rFonts w:hint="eastAsia"/>
                <w:color w:val="auto"/>
                <w:szCs w:val="21"/>
                <w:lang w:val="en-US" w:eastAsia="zh-CN"/>
              </w:rPr>
              <w:t>0.48</w:t>
            </w:r>
            <w:r>
              <w:rPr>
                <w:color w:val="auto"/>
                <w:szCs w:val="21"/>
              </w:rPr>
              <w:t>m</w:t>
            </w:r>
            <w:r>
              <w:rPr>
                <w:color w:val="auto"/>
                <w:szCs w:val="21"/>
                <w:vertAlign w:val="superscript"/>
              </w:rPr>
              <w:t>3</w:t>
            </w:r>
            <w:r>
              <w:rPr>
                <w:color w:val="auto"/>
                <w:szCs w:val="21"/>
              </w:rPr>
              <w:t>/d，占</w:t>
            </w:r>
            <w:r>
              <w:rPr>
                <w:rFonts w:hint="eastAsia"/>
                <w:color w:val="auto"/>
                <w:szCs w:val="21"/>
              </w:rPr>
              <w:t>常州金坛区第二污水处理有限公司</w:t>
            </w:r>
            <w:r>
              <w:rPr>
                <w:color w:val="auto"/>
                <w:szCs w:val="21"/>
              </w:rPr>
              <w:t>处理余量的比例较小，仅0</w:t>
            </w:r>
            <w:r>
              <w:rPr>
                <w:rFonts w:hint="eastAsia"/>
                <w:color w:val="auto"/>
                <w:szCs w:val="21"/>
                <w:lang w:val="en-US" w:eastAsia="zh-CN"/>
              </w:rPr>
              <w:t>.0096</w:t>
            </w:r>
            <w:r>
              <w:rPr>
                <w:color w:val="auto"/>
                <w:szCs w:val="21"/>
              </w:rPr>
              <w:t>%。因此，从水量分析，</w:t>
            </w:r>
            <w:r>
              <w:rPr>
                <w:rFonts w:hint="eastAsia"/>
                <w:color w:val="auto"/>
                <w:szCs w:val="21"/>
              </w:rPr>
              <w:t>常州金坛区第二污水处理有限公司</w:t>
            </w:r>
            <w:r>
              <w:rPr>
                <w:color w:val="auto"/>
                <w:szCs w:val="21"/>
              </w:rPr>
              <w:t>接纳本项目废水是可行的。</w:t>
            </w:r>
          </w:p>
          <w:p w14:paraId="7E4388B0">
            <w:pPr>
              <w:adjustRightInd w:val="0"/>
              <w:snapToGrid w:val="0"/>
              <w:spacing w:line="360" w:lineRule="auto"/>
              <w:ind w:firstLine="422" w:firstLineChars="200"/>
              <w:jc w:val="left"/>
              <w:rPr>
                <w:b/>
                <w:bCs/>
                <w:color w:val="auto"/>
                <w:szCs w:val="21"/>
              </w:rPr>
            </w:pPr>
            <w:r>
              <w:rPr>
                <w:b/>
                <w:bCs/>
                <w:color w:val="auto"/>
                <w:szCs w:val="21"/>
              </w:rPr>
              <w:t>污水处理厂处理工艺可行性分析：</w:t>
            </w:r>
          </w:p>
          <w:p w14:paraId="614E4534">
            <w:pPr>
              <w:adjustRightInd w:val="0"/>
              <w:snapToGrid w:val="0"/>
              <w:spacing w:line="360" w:lineRule="auto"/>
              <w:ind w:firstLine="420" w:firstLineChars="200"/>
              <w:rPr>
                <w:rFonts w:hint="eastAsia"/>
                <w:color w:val="auto"/>
                <w:szCs w:val="21"/>
              </w:rPr>
            </w:pPr>
            <w:r>
              <w:rPr>
                <w:rFonts w:hint="eastAsia"/>
                <w:color w:val="auto"/>
                <w:szCs w:val="21"/>
              </w:rPr>
              <w:t>常州金坛区第二污水处理有限公司</w:t>
            </w:r>
            <w:r>
              <w:rPr>
                <w:color w:val="auto"/>
                <w:szCs w:val="21"/>
              </w:rPr>
              <w:t>采用A</w:t>
            </w:r>
            <w:r>
              <w:rPr>
                <w:color w:val="auto"/>
                <w:szCs w:val="21"/>
                <w:vertAlign w:val="superscript"/>
              </w:rPr>
              <w:t>2</w:t>
            </w:r>
            <w:r>
              <w:rPr>
                <w:color w:val="auto"/>
                <w:szCs w:val="21"/>
              </w:rPr>
              <w:t>/O工艺，把除磷、脱氮和降解有机物三个生化过程结合起来，在厌氧段和缺氧段为除磷和脱氮提供各自不同的反应条件。污水处理厂尾水执行《城镇污水处理厂污染物排放标准》（GB18918-2002）一级A标准及《太湖地区城镇污水处理厂及重点工业行业重要水污染物排放限值》（DB32/1072-2018）标准，排入尧塘河。具体工艺流程见下图。</w:t>
            </w:r>
          </w:p>
          <w:p w14:paraId="679D02C1">
            <w:pPr>
              <w:spacing w:line="360" w:lineRule="auto"/>
              <w:jc w:val="center"/>
              <w:rPr>
                <w:b/>
                <w:color w:val="auto"/>
                <w:szCs w:val="21"/>
              </w:rPr>
            </w:pPr>
            <w:r>
              <w:rPr>
                <w:color w:val="auto"/>
                <w:szCs w:val="21"/>
              </w:rPr>
              <w:object>
                <v:shape id="_x0000_i1030" o:spt="75" type="#_x0000_t75" style="height:136.5pt;width:419.3pt;" o:ole="t" filled="f" o:preferrelative="t" stroked="f" coordsize="21600,21600">
                  <v:path/>
                  <v:fill on="f" focussize="0,0"/>
                  <v:stroke on="f"/>
                  <v:imagedata r:id="rId23" o:title=""/>
                  <o:lock v:ext="edit" aspectratio="t"/>
                  <w10:wrap type="none"/>
                  <w10:anchorlock/>
                </v:shape>
                <o:OLEObject Type="Embed" ProgID="Visio.Drawing.11" ShapeID="_x0000_i1030" DrawAspect="Content" ObjectID="_1468075730" r:id="rId22">
                  <o:LockedField>false</o:LockedField>
                </o:OLEObject>
              </w:object>
            </w:r>
            <w:r>
              <w:rPr>
                <w:b/>
                <w:color w:val="auto"/>
                <w:szCs w:val="21"/>
              </w:rPr>
              <w:t>图4-</w:t>
            </w:r>
            <w:r>
              <w:rPr>
                <w:rFonts w:hint="eastAsia"/>
                <w:b/>
                <w:color w:val="auto"/>
                <w:szCs w:val="21"/>
              </w:rPr>
              <w:t>2</w:t>
            </w:r>
            <w:r>
              <w:rPr>
                <w:b/>
                <w:color w:val="auto"/>
                <w:szCs w:val="21"/>
              </w:rPr>
              <w:t xml:space="preserve"> </w:t>
            </w:r>
            <w:r>
              <w:rPr>
                <w:rFonts w:hint="eastAsia"/>
                <w:b/>
                <w:color w:val="auto"/>
                <w:szCs w:val="21"/>
              </w:rPr>
              <w:t>常州金坛区第二污水处理有限公司</w:t>
            </w:r>
            <w:r>
              <w:rPr>
                <w:b/>
                <w:color w:val="auto"/>
                <w:szCs w:val="21"/>
              </w:rPr>
              <w:t>处理工艺流程图</w:t>
            </w:r>
          </w:p>
          <w:p w14:paraId="2BA82361">
            <w:pPr>
              <w:adjustRightInd w:val="0"/>
              <w:snapToGrid w:val="0"/>
              <w:spacing w:line="360" w:lineRule="auto"/>
              <w:ind w:firstLine="420" w:firstLineChars="200"/>
              <w:rPr>
                <w:color w:val="auto"/>
                <w:szCs w:val="21"/>
              </w:rPr>
            </w:pPr>
            <w:r>
              <w:rPr>
                <w:color w:val="auto"/>
                <w:szCs w:val="21"/>
              </w:rPr>
              <w:t>污水处理工艺简述：废水经过粗格栅隔去除尺寸较大的杂质由进水泵房的污水泵将污水经细格栅打入旋流沉砂池。污水经过沉砂后进入A</w:t>
            </w:r>
            <w:r>
              <w:rPr>
                <w:color w:val="auto"/>
                <w:szCs w:val="21"/>
                <w:vertAlign w:val="superscript"/>
              </w:rPr>
              <w:t>2</w:t>
            </w:r>
            <w:r>
              <w:rPr>
                <w:color w:val="auto"/>
                <w:szCs w:val="21"/>
              </w:rPr>
              <w:t>/O反应池进行生化处理，通过厌氧、缺氧和好氧交替变化的环境完成除磷脱氮，处理后废水经加氯接触消毒后排放。A</w:t>
            </w:r>
            <w:r>
              <w:rPr>
                <w:color w:val="auto"/>
                <w:szCs w:val="21"/>
                <w:vertAlign w:val="superscript"/>
              </w:rPr>
              <w:t>2</w:t>
            </w:r>
            <w:r>
              <w:rPr>
                <w:color w:val="auto"/>
                <w:szCs w:val="21"/>
              </w:rPr>
              <w:t>/O反应池剩余污泥从沉淀区排出，进入污泥均质池（回流污泥泵房），然后进入污泥浓缩脱水车间采用板框压滤机压成泥饼外运。污泥处理产生的废水返回到废水处理工艺流程，尾水处理达标后排入尧塘河。</w:t>
            </w:r>
          </w:p>
          <w:p w14:paraId="480D1C96">
            <w:pPr>
              <w:adjustRightInd w:val="0"/>
              <w:snapToGrid w:val="0"/>
              <w:spacing w:line="360" w:lineRule="auto"/>
              <w:ind w:firstLine="420" w:firstLineChars="200"/>
              <w:rPr>
                <w:color w:val="auto"/>
                <w:szCs w:val="21"/>
              </w:rPr>
            </w:pPr>
            <w:r>
              <w:rPr>
                <w:color w:val="auto"/>
                <w:szCs w:val="21"/>
              </w:rPr>
              <w:t>本项目废水主要污染物为COD、SS、NH</w:t>
            </w:r>
            <w:r>
              <w:rPr>
                <w:color w:val="auto"/>
                <w:szCs w:val="21"/>
                <w:vertAlign w:val="subscript"/>
              </w:rPr>
              <w:t>3</w:t>
            </w:r>
            <w:r>
              <w:rPr>
                <w:color w:val="auto"/>
                <w:szCs w:val="21"/>
              </w:rPr>
              <w:t>-N、TP、TN，水质简单，可生化性好，从废水排放达标分析结果可知，废水水质满足</w:t>
            </w:r>
            <w:r>
              <w:rPr>
                <w:rFonts w:hint="eastAsia"/>
                <w:color w:val="auto"/>
                <w:szCs w:val="21"/>
              </w:rPr>
              <w:t>常州金坛区第二污水处理有限公司</w:t>
            </w:r>
            <w:r>
              <w:rPr>
                <w:color w:val="auto"/>
                <w:szCs w:val="21"/>
              </w:rPr>
              <w:t>接管水质要求。即从处理工艺上接管可行。</w:t>
            </w:r>
          </w:p>
          <w:p w14:paraId="0C41B959">
            <w:pPr>
              <w:adjustRightInd w:val="0"/>
              <w:snapToGrid w:val="0"/>
              <w:spacing w:line="360" w:lineRule="auto"/>
              <w:ind w:firstLine="480" w:firstLineChars="200"/>
              <w:rPr>
                <w:color w:val="auto"/>
                <w:spacing w:val="15"/>
                <w:szCs w:val="21"/>
              </w:rPr>
            </w:pPr>
            <w:r>
              <w:rPr>
                <w:color w:val="auto"/>
                <w:spacing w:val="15"/>
                <w:szCs w:val="21"/>
              </w:rPr>
              <w:t>本项目污水经第二污水处理厂处理后排放至尧塘河。引用</w:t>
            </w:r>
            <w:r>
              <w:rPr>
                <w:rFonts w:hint="eastAsia"/>
                <w:color w:val="auto"/>
                <w:spacing w:val="15"/>
                <w:szCs w:val="21"/>
              </w:rPr>
              <w:t>常州金坛区第二污水处理有限公司</w:t>
            </w:r>
            <w:r>
              <w:rPr>
                <w:color w:val="auto"/>
                <w:spacing w:val="15"/>
                <w:szCs w:val="21"/>
              </w:rPr>
              <w:t>的环评结论，废水经</w:t>
            </w:r>
            <w:r>
              <w:rPr>
                <w:rFonts w:hint="eastAsia"/>
                <w:color w:val="auto"/>
                <w:spacing w:val="15"/>
                <w:szCs w:val="21"/>
              </w:rPr>
              <w:t>常州金坛区第二污水处理有限公司</w:t>
            </w:r>
            <w:r>
              <w:rPr>
                <w:color w:val="auto"/>
                <w:spacing w:val="15"/>
                <w:szCs w:val="21"/>
              </w:rPr>
              <w:t>处理后对尧塘河的影响较小。</w:t>
            </w:r>
          </w:p>
          <w:p w14:paraId="6C202947">
            <w:pPr>
              <w:pStyle w:val="9"/>
              <w:spacing w:line="360" w:lineRule="auto"/>
              <w:ind w:firstLine="422" w:firstLineChars="200"/>
              <w:rPr>
                <w:b/>
                <w:bCs/>
                <w:color w:val="auto"/>
                <w:szCs w:val="21"/>
              </w:rPr>
            </w:pPr>
            <w:r>
              <w:rPr>
                <w:rFonts w:hint="eastAsia"/>
                <w:b/>
                <w:bCs/>
                <w:color w:val="auto"/>
                <w:szCs w:val="21"/>
              </w:rPr>
              <w:t>4</w:t>
            </w:r>
            <w:r>
              <w:rPr>
                <w:b/>
                <w:bCs/>
                <w:color w:val="auto"/>
                <w:szCs w:val="21"/>
              </w:rPr>
              <w:t>、环境监测</w:t>
            </w:r>
          </w:p>
          <w:p w14:paraId="56E4B4E9">
            <w:pPr>
              <w:spacing w:line="360" w:lineRule="auto"/>
              <w:ind w:firstLine="420" w:firstLineChars="200"/>
              <w:jc w:val="left"/>
              <w:rPr>
                <w:rFonts w:hint="eastAsia"/>
                <w:b/>
                <w:color w:val="auto"/>
                <w:szCs w:val="21"/>
              </w:rPr>
            </w:pPr>
            <w:r>
              <w:rPr>
                <w:color w:val="auto"/>
                <w:szCs w:val="21"/>
              </w:rPr>
              <w:t>根据《排污单位自行监测技术指南 总则》（HJ819-2017），本项目营运期废水监测计划见下表</w:t>
            </w:r>
            <w:r>
              <w:rPr>
                <w:rFonts w:hint="eastAsia"/>
                <w:color w:val="auto"/>
                <w:szCs w:val="21"/>
              </w:rPr>
              <w:t>。</w:t>
            </w:r>
          </w:p>
          <w:p w14:paraId="7992F145">
            <w:pPr>
              <w:keepNext w:val="0"/>
              <w:keepLines w:val="0"/>
              <w:pageBreakBefore w:val="0"/>
              <w:widowControl w:val="0"/>
              <w:kinsoku/>
              <w:wordWrap/>
              <w:overflowPunct/>
              <w:topLinePunct w:val="0"/>
              <w:autoSpaceDE/>
              <w:autoSpaceDN/>
              <w:bidi w:val="0"/>
              <w:adjustRightInd/>
              <w:snapToGrid/>
              <w:jc w:val="center"/>
              <w:textAlignment w:val="auto"/>
              <w:rPr>
                <w:b/>
                <w:color w:val="auto"/>
                <w:szCs w:val="21"/>
              </w:rPr>
            </w:pPr>
            <w:r>
              <w:rPr>
                <w:b/>
                <w:color w:val="auto"/>
                <w:szCs w:val="21"/>
              </w:rPr>
              <w:t>表4-</w:t>
            </w:r>
            <w:r>
              <w:rPr>
                <w:rFonts w:hint="eastAsia"/>
                <w:b/>
                <w:color w:val="auto"/>
                <w:szCs w:val="21"/>
              </w:rPr>
              <w:t>1</w:t>
            </w:r>
            <w:r>
              <w:rPr>
                <w:rFonts w:hint="eastAsia"/>
                <w:b/>
                <w:color w:val="auto"/>
                <w:szCs w:val="21"/>
                <w:lang w:val="en-US" w:eastAsia="zh-CN"/>
              </w:rPr>
              <w:t>9</w:t>
            </w:r>
            <w:r>
              <w:rPr>
                <w:b/>
                <w:color w:val="auto"/>
                <w:szCs w:val="21"/>
              </w:rPr>
              <w:t xml:space="preserve"> 本项目废水监测计划表</w:t>
            </w:r>
          </w:p>
          <w:tbl>
            <w:tblPr>
              <w:tblStyle w:val="2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1"/>
              <w:gridCol w:w="544"/>
              <w:gridCol w:w="939"/>
              <w:gridCol w:w="1486"/>
              <w:gridCol w:w="1312"/>
              <w:gridCol w:w="2003"/>
              <w:gridCol w:w="1245"/>
            </w:tblGrid>
            <w:tr w14:paraId="4C215F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7" w:type="pct"/>
                  <w:noWrap w:val="0"/>
                  <w:tcMar>
                    <w:top w:w="0" w:type="dxa"/>
                    <w:left w:w="0" w:type="dxa"/>
                    <w:bottom w:w="0" w:type="dxa"/>
                    <w:right w:w="0" w:type="dxa"/>
                  </w:tcMar>
                  <w:vAlign w:val="center"/>
                </w:tcPr>
                <w:p w14:paraId="540AD50D">
                  <w:pPr>
                    <w:adjustRightInd w:val="0"/>
                    <w:snapToGrid w:val="0"/>
                    <w:jc w:val="center"/>
                    <w:rPr>
                      <w:b/>
                      <w:color w:val="auto"/>
                      <w:szCs w:val="21"/>
                    </w:rPr>
                  </w:pPr>
                  <w:r>
                    <w:rPr>
                      <w:b/>
                      <w:color w:val="auto"/>
                      <w:szCs w:val="21"/>
                    </w:rPr>
                    <w:t>时段</w:t>
                  </w:r>
                </w:p>
              </w:tc>
              <w:tc>
                <w:tcPr>
                  <w:tcW w:w="324" w:type="pct"/>
                  <w:noWrap w:val="0"/>
                  <w:tcMar>
                    <w:top w:w="0" w:type="dxa"/>
                    <w:left w:w="0" w:type="dxa"/>
                    <w:bottom w:w="0" w:type="dxa"/>
                    <w:right w:w="0" w:type="dxa"/>
                  </w:tcMar>
                  <w:vAlign w:val="center"/>
                </w:tcPr>
                <w:p w14:paraId="18ACE9E3">
                  <w:pPr>
                    <w:adjustRightInd w:val="0"/>
                    <w:snapToGrid w:val="0"/>
                    <w:jc w:val="center"/>
                    <w:rPr>
                      <w:b/>
                      <w:color w:val="auto"/>
                      <w:szCs w:val="21"/>
                    </w:rPr>
                  </w:pPr>
                  <w:r>
                    <w:rPr>
                      <w:b/>
                      <w:color w:val="auto"/>
                      <w:szCs w:val="21"/>
                    </w:rPr>
                    <w:t>类别</w:t>
                  </w:r>
                </w:p>
              </w:tc>
              <w:tc>
                <w:tcPr>
                  <w:tcW w:w="560" w:type="pct"/>
                  <w:noWrap w:val="0"/>
                  <w:tcMar>
                    <w:top w:w="0" w:type="dxa"/>
                    <w:left w:w="0" w:type="dxa"/>
                    <w:bottom w:w="0" w:type="dxa"/>
                    <w:right w:w="0" w:type="dxa"/>
                  </w:tcMar>
                  <w:vAlign w:val="center"/>
                </w:tcPr>
                <w:p w14:paraId="3DE74F2E">
                  <w:pPr>
                    <w:jc w:val="center"/>
                    <w:rPr>
                      <w:b/>
                      <w:color w:val="auto"/>
                      <w:szCs w:val="21"/>
                    </w:rPr>
                  </w:pPr>
                  <w:r>
                    <w:rPr>
                      <w:b/>
                      <w:color w:val="auto"/>
                      <w:szCs w:val="21"/>
                    </w:rPr>
                    <w:t>监测位置</w:t>
                  </w:r>
                </w:p>
              </w:tc>
              <w:tc>
                <w:tcPr>
                  <w:tcW w:w="886" w:type="pct"/>
                  <w:noWrap w:val="0"/>
                  <w:tcMar>
                    <w:top w:w="0" w:type="dxa"/>
                    <w:left w:w="0" w:type="dxa"/>
                    <w:bottom w:w="0" w:type="dxa"/>
                    <w:right w:w="0" w:type="dxa"/>
                  </w:tcMar>
                  <w:vAlign w:val="center"/>
                </w:tcPr>
                <w:p w14:paraId="11B9BA6A">
                  <w:pPr>
                    <w:jc w:val="center"/>
                    <w:rPr>
                      <w:b/>
                      <w:color w:val="auto"/>
                      <w:szCs w:val="21"/>
                    </w:rPr>
                  </w:pPr>
                  <w:r>
                    <w:rPr>
                      <w:b/>
                      <w:color w:val="auto"/>
                      <w:szCs w:val="21"/>
                    </w:rPr>
                    <w:t>监测因子</w:t>
                  </w:r>
                </w:p>
              </w:tc>
              <w:tc>
                <w:tcPr>
                  <w:tcW w:w="782" w:type="pct"/>
                  <w:noWrap w:val="0"/>
                  <w:tcMar>
                    <w:top w:w="0" w:type="dxa"/>
                    <w:left w:w="0" w:type="dxa"/>
                    <w:bottom w:w="0" w:type="dxa"/>
                    <w:right w:w="0" w:type="dxa"/>
                  </w:tcMar>
                  <w:vAlign w:val="center"/>
                </w:tcPr>
                <w:p w14:paraId="0DE3D3CC">
                  <w:pPr>
                    <w:jc w:val="center"/>
                    <w:rPr>
                      <w:b/>
                      <w:color w:val="auto"/>
                      <w:szCs w:val="21"/>
                    </w:rPr>
                  </w:pPr>
                  <w:r>
                    <w:rPr>
                      <w:b/>
                      <w:color w:val="auto"/>
                      <w:szCs w:val="21"/>
                    </w:rPr>
                    <w:t>监测频次</w:t>
                  </w:r>
                </w:p>
              </w:tc>
              <w:tc>
                <w:tcPr>
                  <w:tcW w:w="1195" w:type="pct"/>
                  <w:noWrap w:val="0"/>
                  <w:tcMar>
                    <w:top w:w="0" w:type="dxa"/>
                    <w:left w:w="0" w:type="dxa"/>
                    <w:bottom w:w="0" w:type="dxa"/>
                    <w:right w:w="0" w:type="dxa"/>
                  </w:tcMar>
                  <w:vAlign w:val="center"/>
                </w:tcPr>
                <w:p w14:paraId="490941EF">
                  <w:pPr>
                    <w:adjustRightInd w:val="0"/>
                    <w:snapToGrid w:val="0"/>
                    <w:jc w:val="center"/>
                    <w:rPr>
                      <w:b/>
                      <w:color w:val="auto"/>
                      <w:szCs w:val="21"/>
                    </w:rPr>
                  </w:pPr>
                  <w:r>
                    <w:rPr>
                      <w:b/>
                      <w:color w:val="auto"/>
                      <w:szCs w:val="21"/>
                    </w:rPr>
                    <w:t>执行标准</w:t>
                  </w:r>
                </w:p>
              </w:tc>
              <w:tc>
                <w:tcPr>
                  <w:tcW w:w="742" w:type="pct"/>
                  <w:noWrap w:val="0"/>
                  <w:tcMar>
                    <w:top w:w="0" w:type="dxa"/>
                    <w:left w:w="0" w:type="dxa"/>
                    <w:bottom w:w="0" w:type="dxa"/>
                    <w:right w:w="0" w:type="dxa"/>
                  </w:tcMar>
                  <w:vAlign w:val="center"/>
                </w:tcPr>
                <w:p w14:paraId="0DF2C82E">
                  <w:pPr>
                    <w:adjustRightInd w:val="0"/>
                    <w:snapToGrid w:val="0"/>
                    <w:jc w:val="center"/>
                    <w:rPr>
                      <w:b/>
                      <w:color w:val="auto"/>
                      <w:szCs w:val="21"/>
                    </w:rPr>
                  </w:pPr>
                  <w:r>
                    <w:rPr>
                      <w:b/>
                      <w:color w:val="auto"/>
                      <w:szCs w:val="21"/>
                    </w:rPr>
                    <w:t>监测单位</w:t>
                  </w:r>
                </w:p>
              </w:tc>
            </w:tr>
            <w:tr w14:paraId="6E581D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7" w:type="pct"/>
                  <w:noWrap w:val="0"/>
                  <w:tcMar>
                    <w:top w:w="0" w:type="dxa"/>
                    <w:left w:w="0" w:type="dxa"/>
                    <w:bottom w:w="0" w:type="dxa"/>
                    <w:right w:w="0" w:type="dxa"/>
                  </w:tcMar>
                  <w:vAlign w:val="center"/>
                </w:tcPr>
                <w:p w14:paraId="6552374F">
                  <w:pPr>
                    <w:widowControl/>
                    <w:jc w:val="center"/>
                    <w:rPr>
                      <w:color w:val="auto"/>
                      <w:szCs w:val="21"/>
                    </w:rPr>
                  </w:pPr>
                  <w:r>
                    <w:rPr>
                      <w:color w:val="auto"/>
                      <w:szCs w:val="21"/>
                    </w:rPr>
                    <w:t>日常监测</w:t>
                  </w:r>
                </w:p>
              </w:tc>
              <w:tc>
                <w:tcPr>
                  <w:tcW w:w="324" w:type="pct"/>
                  <w:noWrap w:val="0"/>
                  <w:tcMar>
                    <w:top w:w="0" w:type="dxa"/>
                    <w:left w:w="0" w:type="dxa"/>
                    <w:bottom w:w="0" w:type="dxa"/>
                    <w:right w:w="0" w:type="dxa"/>
                  </w:tcMar>
                  <w:vAlign w:val="center"/>
                </w:tcPr>
                <w:p w14:paraId="45C995ED">
                  <w:pPr>
                    <w:adjustRightInd w:val="0"/>
                    <w:snapToGrid w:val="0"/>
                    <w:jc w:val="center"/>
                    <w:rPr>
                      <w:color w:val="auto"/>
                      <w:szCs w:val="21"/>
                    </w:rPr>
                  </w:pPr>
                  <w:r>
                    <w:rPr>
                      <w:color w:val="auto"/>
                      <w:szCs w:val="21"/>
                    </w:rPr>
                    <w:t>生活污水</w:t>
                  </w:r>
                </w:p>
              </w:tc>
              <w:tc>
                <w:tcPr>
                  <w:tcW w:w="560" w:type="pct"/>
                  <w:noWrap w:val="0"/>
                  <w:tcMar>
                    <w:top w:w="0" w:type="dxa"/>
                    <w:left w:w="0" w:type="dxa"/>
                    <w:bottom w:w="0" w:type="dxa"/>
                    <w:right w:w="0" w:type="dxa"/>
                  </w:tcMar>
                  <w:vAlign w:val="center"/>
                </w:tcPr>
                <w:p w14:paraId="526B3710">
                  <w:pPr>
                    <w:jc w:val="center"/>
                    <w:rPr>
                      <w:color w:val="auto"/>
                      <w:szCs w:val="21"/>
                    </w:rPr>
                  </w:pPr>
                  <w:r>
                    <w:rPr>
                      <w:color w:val="auto"/>
                      <w:szCs w:val="21"/>
                    </w:rPr>
                    <w:t>污水排口DW001</w:t>
                  </w:r>
                </w:p>
              </w:tc>
              <w:tc>
                <w:tcPr>
                  <w:tcW w:w="886" w:type="pct"/>
                  <w:noWrap w:val="0"/>
                  <w:tcMar>
                    <w:top w:w="0" w:type="dxa"/>
                    <w:left w:w="0" w:type="dxa"/>
                    <w:bottom w:w="0" w:type="dxa"/>
                    <w:right w:w="0" w:type="dxa"/>
                  </w:tcMar>
                  <w:vAlign w:val="center"/>
                </w:tcPr>
                <w:p w14:paraId="680A44D6">
                  <w:pPr>
                    <w:jc w:val="center"/>
                    <w:rPr>
                      <w:color w:val="auto"/>
                      <w:szCs w:val="21"/>
                    </w:rPr>
                  </w:pPr>
                  <w:r>
                    <w:rPr>
                      <w:color w:val="auto"/>
                      <w:szCs w:val="21"/>
                    </w:rPr>
                    <w:t>pH、COD、SS、NH</w:t>
                  </w:r>
                  <w:r>
                    <w:rPr>
                      <w:color w:val="auto"/>
                      <w:szCs w:val="21"/>
                      <w:vertAlign w:val="subscript"/>
                    </w:rPr>
                    <w:t>3</w:t>
                  </w:r>
                  <w:r>
                    <w:rPr>
                      <w:color w:val="auto"/>
                      <w:szCs w:val="21"/>
                    </w:rPr>
                    <w:t>-N、TP、TN</w:t>
                  </w:r>
                </w:p>
              </w:tc>
              <w:tc>
                <w:tcPr>
                  <w:tcW w:w="782" w:type="pct"/>
                  <w:noWrap w:val="0"/>
                  <w:tcMar>
                    <w:top w:w="0" w:type="dxa"/>
                    <w:left w:w="0" w:type="dxa"/>
                    <w:bottom w:w="0" w:type="dxa"/>
                    <w:right w:w="0" w:type="dxa"/>
                  </w:tcMar>
                  <w:vAlign w:val="center"/>
                </w:tcPr>
                <w:p w14:paraId="754FF604">
                  <w:pPr>
                    <w:jc w:val="center"/>
                    <w:rPr>
                      <w:color w:val="auto"/>
                      <w:szCs w:val="21"/>
                    </w:rPr>
                  </w:pPr>
                  <w:r>
                    <w:rPr>
                      <w:color w:val="auto"/>
                      <w:szCs w:val="21"/>
                    </w:rPr>
                    <w:t>1次/年</w:t>
                  </w:r>
                </w:p>
              </w:tc>
              <w:tc>
                <w:tcPr>
                  <w:tcW w:w="1195" w:type="pct"/>
                  <w:noWrap w:val="0"/>
                  <w:tcMar>
                    <w:top w:w="0" w:type="dxa"/>
                    <w:left w:w="0" w:type="dxa"/>
                    <w:bottom w:w="0" w:type="dxa"/>
                    <w:right w:w="0" w:type="dxa"/>
                  </w:tcMar>
                  <w:vAlign w:val="center"/>
                </w:tcPr>
                <w:p w14:paraId="77A08778">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pacing w:val="15"/>
                      <w:sz w:val="21"/>
                      <w:szCs w:val="21"/>
                      <w:lang w:eastAsia="zh-CN"/>
                    </w:rPr>
                    <w:t>常州金坛区第二污水处理有限公司</w:t>
                  </w:r>
                  <w:r>
                    <w:rPr>
                      <w:rFonts w:hint="default" w:ascii="Times New Roman" w:hAnsi="Times New Roman" w:eastAsia="宋体" w:cs="Times New Roman"/>
                      <w:color w:val="auto"/>
                      <w:sz w:val="21"/>
                      <w:szCs w:val="21"/>
                    </w:rPr>
                    <w:t>接管</w:t>
                  </w:r>
                  <w:r>
                    <w:rPr>
                      <w:rFonts w:hint="eastAsia" w:cs="Times New Roman"/>
                      <w:color w:val="auto"/>
                      <w:sz w:val="21"/>
                      <w:szCs w:val="21"/>
                      <w:lang w:val="en-US" w:eastAsia="zh-CN"/>
                    </w:rPr>
                    <w:t>限值</w:t>
                  </w:r>
                </w:p>
              </w:tc>
              <w:tc>
                <w:tcPr>
                  <w:tcW w:w="742" w:type="pct"/>
                  <w:noWrap w:val="0"/>
                  <w:tcMar>
                    <w:top w:w="0" w:type="dxa"/>
                    <w:left w:w="0" w:type="dxa"/>
                    <w:bottom w:w="0" w:type="dxa"/>
                    <w:right w:w="0" w:type="dxa"/>
                  </w:tcMar>
                  <w:vAlign w:val="center"/>
                </w:tcPr>
                <w:p w14:paraId="387BDCAD">
                  <w:pPr>
                    <w:adjustRightInd w:val="0"/>
                    <w:snapToGrid w:val="0"/>
                    <w:jc w:val="center"/>
                    <w:rPr>
                      <w:color w:val="auto"/>
                      <w:szCs w:val="21"/>
                    </w:rPr>
                  </w:pPr>
                  <w:r>
                    <w:rPr>
                      <w:color w:val="auto"/>
                      <w:szCs w:val="21"/>
                    </w:rPr>
                    <w:t>有资质的环境监测机构</w:t>
                  </w:r>
                </w:p>
              </w:tc>
            </w:tr>
          </w:tbl>
          <w:p w14:paraId="184882FA">
            <w:pPr>
              <w:pStyle w:val="9"/>
              <w:spacing w:before="120" w:beforeLines="50" w:line="360" w:lineRule="auto"/>
              <w:ind w:firstLine="422" w:firstLineChars="200"/>
              <w:rPr>
                <w:b/>
                <w:bCs/>
                <w:color w:val="auto"/>
                <w:szCs w:val="21"/>
              </w:rPr>
            </w:pPr>
            <w:r>
              <w:rPr>
                <w:rFonts w:hint="eastAsia"/>
                <w:b/>
                <w:bCs/>
                <w:color w:val="auto"/>
                <w:szCs w:val="21"/>
              </w:rPr>
              <w:t>5</w:t>
            </w:r>
            <w:r>
              <w:rPr>
                <w:b/>
                <w:bCs/>
                <w:color w:val="auto"/>
                <w:szCs w:val="21"/>
              </w:rPr>
              <w:t>、地表水环境影响分析结论</w:t>
            </w:r>
          </w:p>
          <w:p w14:paraId="754179C8">
            <w:pPr>
              <w:pStyle w:val="59"/>
              <w:spacing w:line="360" w:lineRule="auto"/>
              <w:ind w:firstLine="420"/>
              <w:jc w:val="both"/>
              <w:rPr>
                <w:color w:val="auto"/>
                <w:sz w:val="21"/>
                <w:szCs w:val="21"/>
              </w:rPr>
            </w:pPr>
            <w:r>
              <w:rPr>
                <w:rFonts w:hint="default" w:ascii="Times New Roman" w:hAnsi="Times New Roman" w:eastAsia="宋体" w:cs="Times New Roman"/>
                <w:color w:val="auto"/>
                <w:sz w:val="21"/>
                <w:szCs w:val="21"/>
              </w:rPr>
              <w:t>综上，项目纳污河流满足</w:t>
            </w:r>
            <w:r>
              <w:rPr>
                <w:rFonts w:hint="default" w:ascii="Times New Roman" w:hAnsi="Times New Roman" w:eastAsia="宋体" w:cs="Times New Roman"/>
                <w:bCs/>
                <w:color w:val="auto"/>
                <w:sz w:val="21"/>
                <w:szCs w:val="21"/>
              </w:rPr>
              <w:t>《地表水环境质量标准》（GB3838-2002）中Ⅲ类标准。项目所在地已满足接管城市污水处理厂条件，且厂内污水</w:t>
            </w:r>
            <w:r>
              <w:rPr>
                <w:rFonts w:hint="eastAsia" w:ascii="Times New Roman" w:hAnsi="Times New Roman" w:eastAsia="宋体" w:cs="Times New Roman"/>
                <w:bCs/>
                <w:color w:val="auto"/>
                <w:sz w:val="21"/>
                <w:szCs w:val="21"/>
                <w:lang w:val="en-US" w:eastAsia="zh-CN"/>
              </w:rPr>
              <w:t>排放口</w:t>
            </w:r>
            <w:r>
              <w:rPr>
                <w:rFonts w:hint="default" w:ascii="Times New Roman" w:hAnsi="Times New Roman" w:eastAsia="宋体" w:cs="Times New Roman"/>
                <w:bCs/>
                <w:color w:val="auto"/>
                <w:sz w:val="21"/>
                <w:szCs w:val="21"/>
              </w:rPr>
              <w:t>水质满足污水处理厂接管限值。</w:t>
            </w:r>
            <w:r>
              <w:rPr>
                <w:rFonts w:hint="default" w:ascii="Times New Roman" w:hAnsi="Times New Roman" w:eastAsia="宋体" w:cs="Times New Roman"/>
                <w:color w:val="auto"/>
                <w:sz w:val="21"/>
                <w:szCs w:val="21"/>
              </w:rPr>
              <w:t>引用</w:t>
            </w:r>
            <w:r>
              <w:rPr>
                <w:rFonts w:hint="eastAsia" w:cs="Times New Roman"/>
                <w:color w:val="auto"/>
                <w:sz w:val="21"/>
                <w:szCs w:val="21"/>
                <w:lang w:eastAsia="zh-CN"/>
              </w:rPr>
              <w:t>常州金坛区第二污水处理有限公司</w:t>
            </w:r>
            <w:r>
              <w:rPr>
                <w:rFonts w:hint="default" w:ascii="Times New Roman" w:hAnsi="Times New Roman" w:eastAsia="宋体" w:cs="Times New Roman"/>
                <w:color w:val="auto"/>
                <w:sz w:val="21"/>
                <w:szCs w:val="21"/>
              </w:rPr>
              <w:t>环评结论可知，废水经污水处理厂处理达标排放后对地表水环境影响较小。因此本次评价认为本项目对地表水环境影响是可以接受的</w:t>
            </w:r>
            <w:r>
              <w:rPr>
                <w:color w:val="auto"/>
                <w:sz w:val="21"/>
                <w:szCs w:val="21"/>
              </w:rPr>
              <w:t>。</w:t>
            </w:r>
          </w:p>
          <w:p w14:paraId="5D0DCEB7">
            <w:pPr>
              <w:spacing w:line="360" w:lineRule="auto"/>
              <w:ind w:firstLine="422" w:firstLineChars="200"/>
              <w:rPr>
                <w:b/>
                <w:color w:val="auto"/>
                <w:szCs w:val="21"/>
              </w:rPr>
            </w:pPr>
            <w:r>
              <w:rPr>
                <w:b/>
                <w:color w:val="auto"/>
                <w:szCs w:val="21"/>
              </w:rPr>
              <w:t>三、声环境影响分析</w:t>
            </w:r>
          </w:p>
          <w:p w14:paraId="44CE9CC6">
            <w:pPr>
              <w:adjustRightInd w:val="0"/>
              <w:snapToGrid w:val="0"/>
              <w:spacing w:line="360" w:lineRule="auto"/>
              <w:ind w:firstLine="422" w:firstLineChars="200"/>
              <w:jc w:val="left"/>
              <w:rPr>
                <w:bCs/>
                <w:color w:val="auto"/>
                <w:szCs w:val="21"/>
              </w:rPr>
            </w:pPr>
            <w:r>
              <w:rPr>
                <w:b/>
                <w:color w:val="auto"/>
                <w:szCs w:val="21"/>
              </w:rPr>
              <w:t>1、噪声源</w:t>
            </w:r>
          </w:p>
          <w:p w14:paraId="47A2E2C7">
            <w:pPr>
              <w:pStyle w:val="10"/>
              <w:adjustRightInd w:val="0"/>
              <w:spacing w:before="0" w:line="360" w:lineRule="auto"/>
              <w:ind w:firstLine="412" w:firstLineChars="200"/>
              <w:rPr>
                <w:color w:val="auto"/>
                <w:sz w:val="21"/>
                <w:szCs w:val="21"/>
              </w:rPr>
            </w:pPr>
            <w:r>
              <w:rPr>
                <w:color w:val="auto"/>
                <w:spacing w:val="-2"/>
                <w:sz w:val="21"/>
                <w:szCs w:val="21"/>
              </w:rPr>
              <w:t>本项目新增高噪声设备主要为生产、辅助设备，</w:t>
            </w:r>
            <w:r>
              <w:rPr>
                <w:color w:val="auto"/>
                <w:sz w:val="21"/>
                <w:szCs w:val="21"/>
              </w:rPr>
              <w:t>主要高噪声设备见下表。</w:t>
            </w:r>
          </w:p>
          <w:p w14:paraId="47AA8672">
            <w:pPr>
              <w:adjustRightInd w:val="0"/>
              <w:snapToGrid w:val="0"/>
              <w:jc w:val="center"/>
              <w:rPr>
                <w:rFonts w:hint="eastAsia"/>
                <w:b/>
                <w:color w:val="auto"/>
                <w:szCs w:val="21"/>
              </w:rPr>
            </w:pPr>
            <w:r>
              <w:rPr>
                <w:rFonts w:hint="eastAsia"/>
                <w:b/>
                <w:color w:val="auto"/>
                <w:szCs w:val="21"/>
              </w:rPr>
              <w:t>表4-</w:t>
            </w:r>
            <w:r>
              <w:rPr>
                <w:rFonts w:hint="eastAsia"/>
                <w:b/>
                <w:color w:val="auto"/>
                <w:szCs w:val="21"/>
                <w:lang w:val="en-US" w:eastAsia="zh-CN"/>
              </w:rPr>
              <w:t>20</w:t>
            </w:r>
            <w:r>
              <w:rPr>
                <w:rFonts w:hint="eastAsia"/>
                <w:b/>
                <w:color w:val="auto"/>
                <w:szCs w:val="21"/>
              </w:rPr>
              <w:t xml:space="preserve"> 工业企业噪声源强调查清单（室内声源）</w:t>
            </w:r>
          </w:p>
          <w:tbl>
            <w:tblPr>
              <w:tblStyle w:val="28"/>
              <w:tblW w:w="4986" w:type="pct"/>
              <w:tblInd w:w="-1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236"/>
              <w:gridCol w:w="419"/>
              <w:gridCol w:w="699"/>
              <w:gridCol w:w="353"/>
              <w:gridCol w:w="501"/>
              <w:gridCol w:w="455"/>
              <w:gridCol w:w="410"/>
              <w:gridCol w:w="370"/>
              <w:gridCol w:w="250"/>
              <w:gridCol w:w="405"/>
              <w:gridCol w:w="262"/>
              <w:gridCol w:w="237"/>
              <w:gridCol w:w="318"/>
              <w:gridCol w:w="580"/>
              <w:gridCol w:w="321"/>
              <w:gridCol w:w="580"/>
              <w:gridCol w:w="580"/>
              <w:gridCol w:w="321"/>
              <w:gridCol w:w="321"/>
              <w:gridCol w:w="321"/>
              <w:gridCol w:w="418"/>
            </w:tblGrid>
            <w:tr w14:paraId="20F731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41" w:type="pct"/>
                  <w:vMerge w:val="restart"/>
                  <w:noWrap w:val="0"/>
                  <w:tcMar>
                    <w:top w:w="0" w:type="dxa"/>
                    <w:left w:w="0" w:type="dxa"/>
                    <w:bottom w:w="0" w:type="dxa"/>
                    <w:right w:w="0" w:type="dxa"/>
                  </w:tcMar>
                  <w:vAlign w:val="center"/>
                </w:tcPr>
                <w:p w14:paraId="2104C5D4">
                  <w:pPr>
                    <w:adjustRightInd w:val="0"/>
                    <w:snapToGrid w:val="0"/>
                    <w:jc w:val="center"/>
                    <w:rPr>
                      <w:b/>
                      <w:bCs/>
                      <w:color w:val="auto"/>
                      <w:szCs w:val="21"/>
                    </w:rPr>
                  </w:pPr>
                  <w:r>
                    <w:rPr>
                      <w:b/>
                      <w:bCs/>
                      <w:color w:val="auto"/>
                      <w:szCs w:val="21"/>
                    </w:rPr>
                    <w:t>序号</w:t>
                  </w:r>
                </w:p>
              </w:tc>
              <w:tc>
                <w:tcPr>
                  <w:tcW w:w="250" w:type="pct"/>
                  <w:vMerge w:val="restart"/>
                  <w:noWrap w:val="0"/>
                  <w:tcMar>
                    <w:top w:w="0" w:type="dxa"/>
                    <w:left w:w="0" w:type="dxa"/>
                    <w:bottom w:w="0" w:type="dxa"/>
                    <w:right w:w="0" w:type="dxa"/>
                  </w:tcMar>
                  <w:vAlign w:val="center"/>
                </w:tcPr>
                <w:p w14:paraId="365E7025">
                  <w:pPr>
                    <w:adjustRightInd w:val="0"/>
                    <w:snapToGrid w:val="0"/>
                    <w:jc w:val="center"/>
                    <w:rPr>
                      <w:b/>
                      <w:bCs/>
                      <w:color w:val="auto"/>
                      <w:szCs w:val="21"/>
                    </w:rPr>
                  </w:pPr>
                  <w:r>
                    <w:rPr>
                      <w:rFonts w:hint="eastAsia"/>
                      <w:b/>
                      <w:bCs/>
                      <w:color w:val="auto"/>
                      <w:szCs w:val="21"/>
                    </w:rPr>
                    <w:t>建筑物名称</w:t>
                  </w:r>
                </w:p>
              </w:tc>
              <w:tc>
                <w:tcPr>
                  <w:tcW w:w="418" w:type="pct"/>
                  <w:vMerge w:val="restart"/>
                  <w:noWrap w:val="0"/>
                  <w:tcMar>
                    <w:top w:w="0" w:type="dxa"/>
                    <w:left w:w="0" w:type="dxa"/>
                    <w:bottom w:w="0" w:type="dxa"/>
                    <w:right w:w="0" w:type="dxa"/>
                  </w:tcMar>
                  <w:vAlign w:val="center"/>
                </w:tcPr>
                <w:p w14:paraId="3E086982">
                  <w:pPr>
                    <w:adjustRightInd w:val="0"/>
                    <w:snapToGrid w:val="0"/>
                    <w:jc w:val="center"/>
                    <w:rPr>
                      <w:b/>
                      <w:bCs/>
                      <w:color w:val="auto"/>
                      <w:szCs w:val="21"/>
                    </w:rPr>
                  </w:pPr>
                  <w:r>
                    <w:rPr>
                      <w:rFonts w:hint="eastAsia"/>
                      <w:b/>
                      <w:bCs/>
                      <w:color w:val="auto"/>
                      <w:szCs w:val="21"/>
                    </w:rPr>
                    <w:t>声源名称</w:t>
                  </w:r>
                </w:p>
              </w:tc>
              <w:tc>
                <w:tcPr>
                  <w:tcW w:w="211" w:type="pct"/>
                  <w:vMerge w:val="restart"/>
                  <w:noWrap w:val="0"/>
                  <w:tcMar>
                    <w:top w:w="0" w:type="dxa"/>
                    <w:left w:w="0" w:type="dxa"/>
                    <w:bottom w:w="0" w:type="dxa"/>
                    <w:right w:w="0" w:type="dxa"/>
                  </w:tcMar>
                  <w:vAlign w:val="center"/>
                </w:tcPr>
                <w:p w14:paraId="0E2D2312">
                  <w:pPr>
                    <w:adjustRightInd w:val="0"/>
                    <w:snapToGrid w:val="0"/>
                    <w:jc w:val="center"/>
                    <w:rPr>
                      <w:b/>
                      <w:bCs/>
                      <w:color w:val="auto"/>
                      <w:szCs w:val="21"/>
                    </w:rPr>
                  </w:pPr>
                  <w:r>
                    <w:rPr>
                      <w:rFonts w:hint="eastAsia"/>
                      <w:b/>
                      <w:bCs/>
                      <w:color w:val="auto"/>
                      <w:szCs w:val="21"/>
                    </w:rPr>
                    <w:t>数量</w:t>
                  </w:r>
                </w:p>
              </w:tc>
              <w:tc>
                <w:tcPr>
                  <w:tcW w:w="299" w:type="pct"/>
                  <w:vMerge w:val="restart"/>
                  <w:noWrap w:val="0"/>
                  <w:tcMar>
                    <w:top w:w="0" w:type="dxa"/>
                    <w:left w:w="0" w:type="dxa"/>
                    <w:bottom w:w="0" w:type="dxa"/>
                    <w:right w:w="0" w:type="dxa"/>
                  </w:tcMar>
                  <w:vAlign w:val="center"/>
                </w:tcPr>
                <w:p w14:paraId="29645307">
                  <w:pPr>
                    <w:adjustRightInd w:val="0"/>
                    <w:snapToGrid w:val="0"/>
                    <w:jc w:val="center"/>
                    <w:rPr>
                      <w:b/>
                      <w:bCs/>
                      <w:color w:val="auto"/>
                      <w:szCs w:val="21"/>
                    </w:rPr>
                  </w:pPr>
                  <w:r>
                    <w:rPr>
                      <w:rFonts w:hint="eastAsia"/>
                      <w:b/>
                      <w:bCs/>
                      <w:color w:val="auto"/>
                      <w:szCs w:val="21"/>
                    </w:rPr>
                    <w:t>声功率级/dB（A）</w:t>
                  </w:r>
                </w:p>
              </w:tc>
              <w:tc>
                <w:tcPr>
                  <w:tcW w:w="272" w:type="pct"/>
                  <w:vMerge w:val="restart"/>
                  <w:noWrap w:val="0"/>
                  <w:tcMar>
                    <w:top w:w="0" w:type="dxa"/>
                    <w:left w:w="0" w:type="dxa"/>
                    <w:bottom w:w="0" w:type="dxa"/>
                    <w:right w:w="0" w:type="dxa"/>
                  </w:tcMar>
                  <w:vAlign w:val="center"/>
                </w:tcPr>
                <w:p w14:paraId="596E845A">
                  <w:pPr>
                    <w:adjustRightInd w:val="0"/>
                    <w:snapToGrid w:val="0"/>
                    <w:jc w:val="center"/>
                    <w:rPr>
                      <w:b/>
                      <w:bCs/>
                      <w:color w:val="auto"/>
                      <w:szCs w:val="21"/>
                    </w:rPr>
                  </w:pPr>
                  <w:r>
                    <w:rPr>
                      <w:rFonts w:hint="eastAsia"/>
                      <w:b/>
                      <w:bCs/>
                      <w:color w:val="auto"/>
                      <w:szCs w:val="21"/>
                    </w:rPr>
                    <w:t>声源控制措施</w:t>
                  </w:r>
                </w:p>
              </w:tc>
              <w:tc>
                <w:tcPr>
                  <w:tcW w:w="616" w:type="pct"/>
                  <w:gridSpan w:val="3"/>
                  <w:noWrap w:val="0"/>
                  <w:tcMar>
                    <w:top w:w="0" w:type="dxa"/>
                    <w:left w:w="0" w:type="dxa"/>
                    <w:bottom w:w="0" w:type="dxa"/>
                    <w:right w:w="0" w:type="dxa"/>
                  </w:tcMar>
                  <w:vAlign w:val="center"/>
                </w:tcPr>
                <w:p w14:paraId="6A59A0D3">
                  <w:pPr>
                    <w:adjustRightInd w:val="0"/>
                    <w:snapToGrid w:val="0"/>
                    <w:jc w:val="center"/>
                    <w:rPr>
                      <w:b/>
                      <w:bCs/>
                      <w:color w:val="auto"/>
                      <w:szCs w:val="21"/>
                    </w:rPr>
                  </w:pPr>
                  <w:r>
                    <w:rPr>
                      <w:rFonts w:hint="eastAsia"/>
                      <w:b/>
                      <w:bCs/>
                      <w:color w:val="auto"/>
                      <w:szCs w:val="21"/>
                    </w:rPr>
                    <w:t>空间相对位置/m</w:t>
                  </w:r>
                </w:p>
              </w:tc>
              <w:tc>
                <w:tcPr>
                  <w:tcW w:w="731" w:type="pct"/>
                  <w:gridSpan w:val="4"/>
                  <w:noWrap w:val="0"/>
                  <w:tcMar>
                    <w:top w:w="0" w:type="dxa"/>
                    <w:left w:w="0" w:type="dxa"/>
                    <w:bottom w:w="0" w:type="dxa"/>
                    <w:right w:w="0" w:type="dxa"/>
                  </w:tcMar>
                  <w:vAlign w:val="center"/>
                </w:tcPr>
                <w:p w14:paraId="18EA05E5">
                  <w:pPr>
                    <w:adjustRightInd w:val="0"/>
                    <w:snapToGrid w:val="0"/>
                    <w:jc w:val="center"/>
                    <w:rPr>
                      <w:rFonts w:hint="eastAsia"/>
                      <w:b/>
                      <w:bCs/>
                      <w:color w:val="auto"/>
                      <w:szCs w:val="21"/>
                    </w:rPr>
                  </w:pPr>
                  <w:r>
                    <w:rPr>
                      <w:rFonts w:hint="eastAsia"/>
                      <w:b/>
                      <w:bCs/>
                      <w:color w:val="auto"/>
                      <w:szCs w:val="21"/>
                    </w:rPr>
                    <w:t>距室内边界距离/m</w:t>
                  </w:r>
                </w:p>
              </w:tc>
              <w:tc>
                <w:tcPr>
                  <w:tcW w:w="347" w:type="pct"/>
                  <w:vMerge w:val="restart"/>
                  <w:noWrap w:val="0"/>
                  <w:tcMar>
                    <w:top w:w="0" w:type="dxa"/>
                    <w:left w:w="0" w:type="dxa"/>
                    <w:bottom w:w="0" w:type="dxa"/>
                    <w:right w:w="0" w:type="dxa"/>
                  </w:tcMar>
                  <w:vAlign w:val="center"/>
                </w:tcPr>
                <w:p w14:paraId="4DF87A2D">
                  <w:pPr>
                    <w:adjustRightInd w:val="0"/>
                    <w:snapToGrid w:val="0"/>
                    <w:jc w:val="center"/>
                    <w:rPr>
                      <w:b/>
                      <w:bCs/>
                      <w:color w:val="auto"/>
                      <w:szCs w:val="21"/>
                    </w:rPr>
                  </w:pPr>
                  <w:r>
                    <w:rPr>
                      <w:rFonts w:hint="eastAsia"/>
                      <w:b/>
                      <w:bCs/>
                      <w:color w:val="auto"/>
                      <w:szCs w:val="21"/>
                    </w:rPr>
                    <w:t>室内边界声级/dB（A）</w:t>
                  </w:r>
                </w:p>
              </w:tc>
              <w:tc>
                <w:tcPr>
                  <w:tcW w:w="192" w:type="pct"/>
                  <w:vMerge w:val="restart"/>
                  <w:noWrap w:val="0"/>
                  <w:tcMar>
                    <w:top w:w="0" w:type="dxa"/>
                    <w:left w:w="0" w:type="dxa"/>
                    <w:bottom w:w="0" w:type="dxa"/>
                    <w:right w:w="0" w:type="dxa"/>
                  </w:tcMar>
                  <w:vAlign w:val="center"/>
                </w:tcPr>
                <w:p w14:paraId="53CD661A">
                  <w:pPr>
                    <w:adjustRightInd w:val="0"/>
                    <w:snapToGrid w:val="0"/>
                    <w:jc w:val="center"/>
                    <w:rPr>
                      <w:b/>
                      <w:bCs/>
                      <w:color w:val="auto"/>
                      <w:szCs w:val="21"/>
                    </w:rPr>
                  </w:pPr>
                  <w:r>
                    <w:rPr>
                      <w:rFonts w:hint="eastAsia"/>
                      <w:b/>
                      <w:bCs/>
                      <w:color w:val="auto"/>
                      <w:szCs w:val="21"/>
                    </w:rPr>
                    <w:t>运行时段</w:t>
                  </w:r>
                </w:p>
              </w:tc>
              <w:tc>
                <w:tcPr>
                  <w:tcW w:w="347" w:type="pct"/>
                  <w:vMerge w:val="restart"/>
                  <w:noWrap w:val="0"/>
                  <w:tcMar>
                    <w:top w:w="0" w:type="dxa"/>
                    <w:left w:w="0" w:type="dxa"/>
                    <w:bottom w:w="0" w:type="dxa"/>
                    <w:right w:w="0" w:type="dxa"/>
                  </w:tcMar>
                  <w:vAlign w:val="center"/>
                </w:tcPr>
                <w:p w14:paraId="3BBE6B5F">
                  <w:pPr>
                    <w:adjustRightInd w:val="0"/>
                    <w:snapToGrid w:val="0"/>
                    <w:jc w:val="center"/>
                    <w:rPr>
                      <w:b/>
                      <w:bCs/>
                      <w:color w:val="auto"/>
                      <w:szCs w:val="21"/>
                    </w:rPr>
                  </w:pPr>
                  <w:r>
                    <w:rPr>
                      <w:rFonts w:hint="eastAsia"/>
                      <w:b/>
                      <w:bCs/>
                      <w:color w:val="auto"/>
                      <w:szCs w:val="21"/>
                    </w:rPr>
                    <w:t>建筑物插入损失/dB（A）</w:t>
                  </w:r>
                </w:p>
              </w:tc>
              <w:tc>
                <w:tcPr>
                  <w:tcW w:w="1173" w:type="pct"/>
                  <w:gridSpan w:val="5"/>
                  <w:noWrap w:val="0"/>
                  <w:tcMar>
                    <w:top w:w="0" w:type="dxa"/>
                    <w:left w:w="0" w:type="dxa"/>
                    <w:bottom w:w="0" w:type="dxa"/>
                    <w:right w:w="0" w:type="dxa"/>
                  </w:tcMar>
                  <w:vAlign w:val="center"/>
                </w:tcPr>
                <w:p w14:paraId="63DD40A8">
                  <w:pPr>
                    <w:adjustRightInd w:val="0"/>
                    <w:snapToGrid w:val="0"/>
                    <w:jc w:val="center"/>
                    <w:rPr>
                      <w:b/>
                      <w:bCs/>
                      <w:color w:val="auto"/>
                      <w:szCs w:val="21"/>
                    </w:rPr>
                  </w:pPr>
                  <w:r>
                    <w:rPr>
                      <w:rFonts w:hint="eastAsia"/>
                      <w:b/>
                      <w:bCs/>
                      <w:color w:val="auto"/>
                      <w:szCs w:val="21"/>
                    </w:rPr>
                    <w:t>建筑物外噪声</w:t>
                  </w:r>
                </w:p>
              </w:tc>
            </w:tr>
            <w:tr w14:paraId="32A7DF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41" w:type="pct"/>
                  <w:vMerge w:val="continue"/>
                  <w:noWrap w:val="0"/>
                  <w:tcMar>
                    <w:top w:w="0" w:type="dxa"/>
                    <w:left w:w="0" w:type="dxa"/>
                    <w:bottom w:w="0" w:type="dxa"/>
                    <w:right w:w="0" w:type="dxa"/>
                  </w:tcMar>
                  <w:vAlign w:val="center"/>
                </w:tcPr>
                <w:p w14:paraId="48CFCB7D">
                  <w:pPr>
                    <w:adjustRightInd w:val="0"/>
                    <w:snapToGrid w:val="0"/>
                    <w:jc w:val="center"/>
                    <w:rPr>
                      <w:b/>
                      <w:bCs/>
                      <w:color w:val="auto"/>
                      <w:szCs w:val="21"/>
                    </w:rPr>
                  </w:pPr>
                </w:p>
              </w:tc>
              <w:tc>
                <w:tcPr>
                  <w:tcW w:w="250" w:type="pct"/>
                  <w:vMerge w:val="continue"/>
                  <w:noWrap w:val="0"/>
                  <w:tcMar>
                    <w:top w:w="0" w:type="dxa"/>
                    <w:left w:w="0" w:type="dxa"/>
                    <w:bottom w:w="0" w:type="dxa"/>
                    <w:right w:w="0" w:type="dxa"/>
                  </w:tcMar>
                  <w:vAlign w:val="center"/>
                </w:tcPr>
                <w:p w14:paraId="37182B1D">
                  <w:pPr>
                    <w:adjustRightInd w:val="0"/>
                    <w:snapToGrid w:val="0"/>
                    <w:jc w:val="center"/>
                    <w:rPr>
                      <w:rFonts w:hint="eastAsia"/>
                      <w:b/>
                      <w:bCs/>
                      <w:color w:val="auto"/>
                      <w:szCs w:val="21"/>
                    </w:rPr>
                  </w:pPr>
                </w:p>
              </w:tc>
              <w:tc>
                <w:tcPr>
                  <w:tcW w:w="418" w:type="pct"/>
                  <w:vMerge w:val="continue"/>
                  <w:noWrap w:val="0"/>
                  <w:tcMar>
                    <w:top w:w="0" w:type="dxa"/>
                    <w:left w:w="0" w:type="dxa"/>
                    <w:bottom w:w="0" w:type="dxa"/>
                    <w:right w:w="0" w:type="dxa"/>
                  </w:tcMar>
                  <w:vAlign w:val="center"/>
                </w:tcPr>
                <w:p w14:paraId="00E3EB2E">
                  <w:pPr>
                    <w:adjustRightInd w:val="0"/>
                    <w:snapToGrid w:val="0"/>
                    <w:jc w:val="center"/>
                    <w:rPr>
                      <w:rFonts w:hint="eastAsia"/>
                      <w:b/>
                      <w:bCs/>
                      <w:color w:val="auto"/>
                      <w:szCs w:val="21"/>
                    </w:rPr>
                  </w:pPr>
                </w:p>
              </w:tc>
              <w:tc>
                <w:tcPr>
                  <w:tcW w:w="211" w:type="pct"/>
                  <w:vMerge w:val="continue"/>
                  <w:noWrap w:val="0"/>
                  <w:tcMar>
                    <w:top w:w="0" w:type="dxa"/>
                    <w:left w:w="0" w:type="dxa"/>
                    <w:bottom w:w="0" w:type="dxa"/>
                    <w:right w:w="0" w:type="dxa"/>
                  </w:tcMar>
                  <w:vAlign w:val="center"/>
                </w:tcPr>
                <w:p w14:paraId="0726D71D">
                  <w:pPr>
                    <w:adjustRightInd w:val="0"/>
                    <w:snapToGrid w:val="0"/>
                    <w:jc w:val="center"/>
                    <w:rPr>
                      <w:rFonts w:hint="eastAsia"/>
                      <w:b/>
                      <w:bCs/>
                      <w:color w:val="auto"/>
                      <w:szCs w:val="21"/>
                    </w:rPr>
                  </w:pPr>
                </w:p>
              </w:tc>
              <w:tc>
                <w:tcPr>
                  <w:tcW w:w="299" w:type="pct"/>
                  <w:vMerge w:val="continue"/>
                  <w:noWrap w:val="0"/>
                  <w:tcMar>
                    <w:top w:w="0" w:type="dxa"/>
                    <w:left w:w="0" w:type="dxa"/>
                    <w:bottom w:w="0" w:type="dxa"/>
                    <w:right w:w="0" w:type="dxa"/>
                  </w:tcMar>
                  <w:vAlign w:val="center"/>
                </w:tcPr>
                <w:p w14:paraId="69E74A84">
                  <w:pPr>
                    <w:adjustRightInd w:val="0"/>
                    <w:snapToGrid w:val="0"/>
                    <w:jc w:val="center"/>
                    <w:rPr>
                      <w:b/>
                      <w:bCs/>
                      <w:color w:val="auto"/>
                      <w:szCs w:val="21"/>
                    </w:rPr>
                  </w:pPr>
                </w:p>
              </w:tc>
              <w:tc>
                <w:tcPr>
                  <w:tcW w:w="272" w:type="pct"/>
                  <w:vMerge w:val="continue"/>
                  <w:noWrap w:val="0"/>
                  <w:tcMar>
                    <w:top w:w="0" w:type="dxa"/>
                    <w:left w:w="0" w:type="dxa"/>
                    <w:bottom w:w="0" w:type="dxa"/>
                    <w:right w:w="0" w:type="dxa"/>
                  </w:tcMar>
                  <w:vAlign w:val="center"/>
                </w:tcPr>
                <w:p w14:paraId="2C5B8F8A">
                  <w:pPr>
                    <w:adjustRightInd w:val="0"/>
                    <w:snapToGrid w:val="0"/>
                    <w:jc w:val="center"/>
                    <w:rPr>
                      <w:b/>
                      <w:bCs/>
                      <w:color w:val="auto"/>
                      <w:szCs w:val="21"/>
                    </w:rPr>
                  </w:pPr>
                </w:p>
              </w:tc>
              <w:tc>
                <w:tcPr>
                  <w:tcW w:w="245" w:type="pct"/>
                  <w:vMerge w:val="restart"/>
                  <w:noWrap w:val="0"/>
                  <w:tcMar>
                    <w:top w:w="0" w:type="dxa"/>
                    <w:left w:w="0" w:type="dxa"/>
                    <w:bottom w:w="0" w:type="dxa"/>
                    <w:right w:w="0" w:type="dxa"/>
                  </w:tcMar>
                  <w:vAlign w:val="center"/>
                </w:tcPr>
                <w:p w14:paraId="3645FF58">
                  <w:pPr>
                    <w:adjustRightInd w:val="0"/>
                    <w:snapToGrid w:val="0"/>
                    <w:jc w:val="center"/>
                    <w:rPr>
                      <w:b/>
                      <w:bCs/>
                      <w:color w:val="auto"/>
                      <w:szCs w:val="21"/>
                    </w:rPr>
                  </w:pPr>
                  <w:r>
                    <w:rPr>
                      <w:rFonts w:hint="eastAsia"/>
                      <w:b/>
                      <w:bCs/>
                      <w:color w:val="auto"/>
                      <w:szCs w:val="21"/>
                    </w:rPr>
                    <w:t>X</w:t>
                  </w:r>
                </w:p>
              </w:tc>
              <w:tc>
                <w:tcPr>
                  <w:tcW w:w="221" w:type="pct"/>
                  <w:vMerge w:val="restart"/>
                  <w:noWrap w:val="0"/>
                  <w:tcMar>
                    <w:top w:w="0" w:type="dxa"/>
                    <w:left w:w="0" w:type="dxa"/>
                    <w:bottom w:w="0" w:type="dxa"/>
                    <w:right w:w="0" w:type="dxa"/>
                  </w:tcMar>
                  <w:vAlign w:val="center"/>
                </w:tcPr>
                <w:p w14:paraId="347F0C7E">
                  <w:pPr>
                    <w:adjustRightInd w:val="0"/>
                    <w:snapToGrid w:val="0"/>
                    <w:jc w:val="center"/>
                    <w:rPr>
                      <w:b/>
                      <w:bCs/>
                      <w:color w:val="auto"/>
                      <w:szCs w:val="21"/>
                    </w:rPr>
                  </w:pPr>
                  <w:r>
                    <w:rPr>
                      <w:rFonts w:hint="eastAsia"/>
                      <w:b/>
                      <w:bCs/>
                      <w:color w:val="auto"/>
                      <w:szCs w:val="21"/>
                    </w:rPr>
                    <w:t>Y</w:t>
                  </w:r>
                </w:p>
              </w:tc>
              <w:tc>
                <w:tcPr>
                  <w:tcW w:w="149" w:type="pct"/>
                  <w:vMerge w:val="restart"/>
                  <w:noWrap w:val="0"/>
                  <w:tcMar>
                    <w:top w:w="0" w:type="dxa"/>
                    <w:left w:w="0" w:type="dxa"/>
                    <w:bottom w:w="0" w:type="dxa"/>
                    <w:right w:w="0" w:type="dxa"/>
                  </w:tcMar>
                  <w:vAlign w:val="center"/>
                </w:tcPr>
                <w:p w14:paraId="2E69321E">
                  <w:pPr>
                    <w:adjustRightInd w:val="0"/>
                    <w:snapToGrid w:val="0"/>
                    <w:jc w:val="center"/>
                    <w:rPr>
                      <w:b/>
                      <w:bCs/>
                      <w:color w:val="auto"/>
                      <w:szCs w:val="21"/>
                    </w:rPr>
                  </w:pPr>
                  <w:r>
                    <w:rPr>
                      <w:rFonts w:hint="eastAsia"/>
                      <w:b/>
                      <w:bCs/>
                      <w:color w:val="auto"/>
                      <w:szCs w:val="21"/>
                    </w:rPr>
                    <w:t>Z</w:t>
                  </w:r>
                </w:p>
              </w:tc>
              <w:tc>
                <w:tcPr>
                  <w:tcW w:w="242" w:type="pct"/>
                  <w:vMerge w:val="restart"/>
                  <w:noWrap w:val="0"/>
                  <w:tcMar>
                    <w:top w:w="0" w:type="dxa"/>
                    <w:left w:w="0" w:type="dxa"/>
                    <w:bottom w:w="0" w:type="dxa"/>
                    <w:right w:w="0" w:type="dxa"/>
                  </w:tcMar>
                  <w:vAlign w:val="center"/>
                </w:tcPr>
                <w:p w14:paraId="6B536CDF">
                  <w:pPr>
                    <w:adjustRightInd w:val="0"/>
                    <w:snapToGrid w:val="0"/>
                    <w:jc w:val="center"/>
                    <w:rPr>
                      <w:b/>
                      <w:bCs/>
                      <w:color w:val="auto"/>
                      <w:szCs w:val="21"/>
                    </w:rPr>
                  </w:pPr>
                  <w:r>
                    <w:rPr>
                      <w:rFonts w:hint="eastAsia"/>
                      <w:b/>
                      <w:bCs/>
                      <w:color w:val="auto"/>
                      <w:szCs w:val="21"/>
                    </w:rPr>
                    <w:t>东</w:t>
                  </w:r>
                </w:p>
              </w:tc>
              <w:tc>
                <w:tcPr>
                  <w:tcW w:w="156" w:type="pct"/>
                  <w:vMerge w:val="restart"/>
                  <w:noWrap w:val="0"/>
                  <w:tcMar>
                    <w:top w:w="0" w:type="dxa"/>
                    <w:left w:w="0" w:type="dxa"/>
                    <w:bottom w:w="0" w:type="dxa"/>
                    <w:right w:w="0" w:type="dxa"/>
                  </w:tcMar>
                  <w:vAlign w:val="center"/>
                </w:tcPr>
                <w:p w14:paraId="1DB3EA85">
                  <w:pPr>
                    <w:adjustRightInd w:val="0"/>
                    <w:snapToGrid w:val="0"/>
                    <w:jc w:val="center"/>
                    <w:rPr>
                      <w:b/>
                      <w:bCs/>
                      <w:color w:val="auto"/>
                      <w:szCs w:val="21"/>
                    </w:rPr>
                  </w:pPr>
                  <w:r>
                    <w:rPr>
                      <w:rFonts w:hint="eastAsia"/>
                      <w:b/>
                      <w:bCs/>
                      <w:color w:val="auto"/>
                      <w:szCs w:val="21"/>
                    </w:rPr>
                    <w:t>南</w:t>
                  </w:r>
                </w:p>
              </w:tc>
              <w:tc>
                <w:tcPr>
                  <w:tcW w:w="141" w:type="pct"/>
                  <w:vMerge w:val="restart"/>
                  <w:noWrap w:val="0"/>
                  <w:tcMar>
                    <w:top w:w="0" w:type="dxa"/>
                    <w:left w:w="0" w:type="dxa"/>
                    <w:bottom w:w="0" w:type="dxa"/>
                    <w:right w:w="0" w:type="dxa"/>
                  </w:tcMar>
                  <w:vAlign w:val="center"/>
                </w:tcPr>
                <w:p w14:paraId="1263E745">
                  <w:pPr>
                    <w:adjustRightInd w:val="0"/>
                    <w:snapToGrid w:val="0"/>
                    <w:jc w:val="center"/>
                    <w:rPr>
                      <w:b/>
                      <w:bCs/>
                      <w:color w:val="auto"/>
                      <w:szCs w:val="21"/>
                    </w:rPr>
                  </w:pPr>
                  <w:r>
                    <w:rPr>
                      <w:rFonts w:hint="eastAsia"/>
                      <w:b/>
                      <w:bCs/>
                      <w:color w:val="auto"/>
                      <w:szCs w:val="21"/>
                    </w:rPr>
                    <w:t>西</w:t>
                  </w:r>
                </w:p>
              </w:tc>
              <w:tc>
                <w:tcPr>
                  <w:tcW w:w="190" w:type="pct"/>
                  <w:vMerge w:val="restart"/>
                  <w:noWrap w:val="0"/>
                  <w:tcMar>
                    <w:top w:w="0" w:type="dxa"/>
                    <w:left w:w="0" w:type="dxa"/>
                    <w:bottom w:w="0" w:type="dxa"/>
                    <w:right w:w="0" w:type="dxa"/>
                  </w:tcMar>
                  <w:vAlign w:val="center"/>
                </w:tcPr>
                <w:p w14:paraId="319D9AB1">
                  <w:pPr>
                    <w:adjustRightInd w:val="0"/>
                    <w:snapToGrid w:val="0"/>
                    <w:jc w:val="center"/>
                    <w:rPr>
                      <w:b/>
                      <w:bCs/>
                      <w:color w:val="auto"/>
                      <w:szCs w:val="21"/>
                    </w:rPr>
                  </w:pPr>
                  <w:r>
                    <w:rPr>
                      <w:rFonts w:hint="eastAsia"/>
                      <w:b/>
                      <w:bCs/>
                      <w:color w:val="auto"/>
                      <w:szCs w:val="21"/>
                    </w:rPr>
                    <w:t>北</w:t>
                  </w:r>
                </w:p>
              </w:tc>
              <w:tc>
                <w:tcPr>
                  <w:tcW w:w="347" w:type="pct"/>
                  <w:vMerge w:val="continue"/>
                  <w:noWrap w:val="0"/>
                  <w:tcMar>
                    <w:top w:w="0" w:type="dxa"/>
                    <w:left w:w="0" w:type="dxa"/>
                    <w:bottom w:w="0" w:type="dxa"/>
                    <w:right w:w="0" w:type="dxa"/>
                  </w:tcMar>
                  <w:vAlign w:val="center"/>
                </w:tcPr>
                <w:p w14:paraId="5D1AC9B0">
                  <w:pPr>
                    <w:adjustRightInd w:val="0"/>
                    <w:snapToGrid w:val="0"/>
                    <w:jc w:val="center"/>
                    <w:rPr>
                      <w:b/>
                      <w:bCs/>
                      <w:color w:val="auto"/>
                      <w:szCs w:val="21"/>
                    </w:rPr>
                  </w:pPr>
                </w:p>
              </w:tc>
              <w:tc>
                <w:tcPr>
                  <w:tcW w:w="192" w:type="pct"/>
                  <w:vMerge w:val="continue"/>
                  <w:noWrap w:val="0"/>
                  <w:tcMar>
                    <w:top w:w="0" w:type="dxa"/>
                    <w:left w:w="0" w:type="dxa"/>
                    <w:bottom w:w="0" w:type="dxa"/>
                    <w:right w:w="0" w:type="dxa"/>
                  </w:tcMar>
                  <w:vAlign w:val="center"/>
                </w:tcPr>
                <w:p w14:paraId="4798697F">
                  <w:pPr>
                    <w:adjustRightInd w:val="0"/>
                    <w:snapToGrid w:val="0"/>
                    <w:jc w:val="center"/>
                    <w:rPr>
                      <w:b/>
                      <w:bCs/>
                      <w:color w:val="auto"/>
                      <w:szCs w:val="21"/>
                    </w:rPr>
                  </w:pPr>
                </w:p>
              </w:tc>
              <w:tc>
                <w:tcPr>
                  <w:tcW w:w="347" w:type="pct"/>
                  <w:vMerge w:val="continue"/>
                  <w:noWrap w:val="0"/>
                  <w:tcMar>
                    <w:top w:w="0" w:type="dxa"/>
                    <w:left w:w="0" w:type="dxa"/>
                    <w:bottom w:w="0" w:type="dxa"/>
                    <w:right w:w="0" w:type="dxa"/>
                  </w:tcMar>
                  <w:vAlign w:val="center"/>
                </w:tcPr>
                <w:p w14:paraId="3BBD7A70">
                  <w:pPr>
                    <w:adjustRightInd w:val="0"/>
                    <w:snapToGrid w:val="0"/>
                    <w:jc w:val="center"/>
                    <w:rPr>
                      <w:b/>
                      <w:bCs/>
                      <w:color w:val="auto"/>
                      <w:szCs w:val="21"/>
                    </w:rPr>
                  </w:pPr>
                </w:p>
              </w:tc>
              <w:tc>
                <w:tcPr>
                  <w:tcW w:w="347" w:type="pct"/>
                  <w:vMerge w:val="restart"/>
                  <w:noWrap w:val="0"/>
                  <w:tcMar>
                    <w:top w:w="0" w:type="dxa"/>
                    <w:left w:w="0" w:type="dxa"/>
                    <w:bottom w:w="0" w:type="dxa"/>
                    <w:right w:w="0" w:type="dxa"/>
                  </w:tcMar>
                  <w:vAlign w:val="center"/>
                </w:tcPr>
                <w:p w14:paraId="05C1974B">
                  <w:pPr>
                    <w:adjustRightInd w:val="0"/>
                    <w:snapToGrid w:val="0"/>
                    <w:jc w:val="center"/>
                    <w:rPr>
                      <w:b/>
                      <w:bCs/>
                      <w:color w:val="auto"/>
                      <w:szCs w:val="21"/>
                    </w:rPr>
                  </w:pPr>
                  <w:r>
                    <w:rPr>
                      <w:rFonts w:hint="eastAsia"/>
                      <w:b/>
                      <w:bCs/>
                      <w:color w:val="auto"/>
                      <w:szCs w:val="21"/>
                    </w:rPr>
                    <w:t>声压级/dB（A）</w:t>
                  </w:r>
                </w:p>
              </w:tc>
              <w:tc>
                <w:tcPr>
                  <w:tcW w:w="826" w:type="pct"/>
                  <w:gridSpan w:val="4"/>
                  <w:noWrap w:val="0"/>
                  <w:tcMar>
                    <w:top w:w="0" w:type="dxa"/>
                    <w:left w:w="0" w:type="dxa"/>
                    <w:bottom w:w="0" w:type="dxa"/>
                    <w:right w:w="0" w:type="dxa"/>
                  </w:tcMar>
                  <w:vAlign w:val="center"/>
                </w:tcPr>
                <w:p w14:paraId="46918704">
                  <w:pPr>
                    <w:adjustRightInd w:val="0"/>
                    <w:snapToGrid w:val="0"/>
                    <w:jc w:val="center"/>
                    <w:rPr>
                      <w:rFonts w:hint="eastAsia"/>
                      <w:b/>
                      <w:bCs/>
                      <w:color w:val="auto"/>
                      <w:szCs w:val="21"/>
                    </w:rPr>
                  </w:pPr>
                  <w:r>
                    <w:rPr>
                      <w:rFonts w:hint="eastAsia"/>
                      <w:b/>
                      <w:bCs/>
                      <w:color w:val="auto"/>
                      <w:szCs w:val="21"/>
                    </w:rPr>
                    <w:t>建筑物外距离/m</w:t>
                  </w:r>
                </w:p>
              </w:tc>
            </w:tr>
            <w:tr w14:paraId="1CDB71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41" w:type="pct"/>
                  <w:vMerge w:val="continue"/>
                  <w:noWrap w:val="0"/>
                  <w:tcMar>
                    <w:top w:w="0" w:type="dxa"/>
                    <w:left w:w="0" w:type="dxa"/>
                    <w:bottom w:w="0" w:type="dxa"/>
                    <w:right w:w="0" w:type="dxa"/>
                  </w:tcMar>
                  <w:vAlign w:val="center"/>
                </w:tcPr>
                <w:p w14:paraId="79ACDD21">
                  <w:pPr>
                    <w:adjustRightInd w:val="0"/>
                    <w:snapToGrid w:val="0"/>
                    <w:jc w:val="center"/>
                    <w:rPr>
                      <w:b/>
                      <w:bCs/>
                      <w:color w:val="auto"/>
                      <w:szCs w:val="21"/>
                    </w:rPr>
                  </w:pPr>
                </w:p>
              </w:tc>
              <w:tc>
                <w:tcPr>
                  <w:tcW w:w="250" w:type="pct"/>
                  <w:vMerge w:val="continue"/>
                  <w:noWrap w:val="0"/>
                  <w:tcMar>
                    <w:top w:w="0" w:type="dxa"/>
                    <w:left w:w="0" w:type="dxa"/>
                    <w:bottom w:w="0" w:type="dxa"/>
                    <w:right w:w="0" w:type="dxa"/>
                  </w:tcMar>
                  <w:vAlign w:val="center"/>
                </w:tcPr>
                <w:p w14:paraId="542819C0">
                  <w:pPr>
                    <w:adjustRightInd w:val="0"/>
                    <w:snapToGrid w:val="0"/>
                    <w:jc w:val="center"/>
                    <w:rPr>
                      <w:rFonts w:hint="eastAsia"/>
                      <w:b/>
                      <w:bCs/>
                      <w:color w:val="auto"/>
                      <w:szCs w:val="21"/>
                    </w:rPr>
                  </w:pPr>
                </w:p>
              </w:tc>
              <w:tc>
                <w:tcPr>
                  <w:tcW w:w="418" w:type="pct"/>
                  <w:vMerge w:val="continue"/>
                  <w:noWrap w:val="0"/>
                  <w:tcMar>
                    <w:top w:w="0" w:type="dxa"/>
                    <w:left w:w="0" w:type="dxa"/>
                    <w:bottom w:w="0" w:type="dxa"/>
                    <w:right w:w="0" w:type="dxa"/>
                  </w:tcMar>
                  <w:vAlign w:val="center"/>
                </w:tcPr>
                <w:p w14:paraId="730F047E">
                  <w:pPr>
                    <w:adjustRightInd w:val="0"/>
                    <w:snapToGrid w:val="0"/>
                    <w:jc w:val="center"/>
                    <w:rPr>
                      <w:rFonts w:hint="eastAsia"/>
                      <w:b/>
                      <w:bCs/>
                      <w:color w:val="auto"/>
                      <w:szCs w:val="21"/>
                    </w:rPr>
                  </w:pPr>
                </w:p>
              </w:tc>
              <w:tc>
                <w:tcPr>
                  <w:tcW w:w="211" w:type="pct"/>
                  <w:vMerge w:val="continue"/>
                  <w:noWrap w:val="0"/>
                  <w:tcMar>
                    <w:top w:w="0" w:type="dxa"/>
                    <w:left w:w="0" w:type="dxa"/>
                    <w:bottom w:w="0" w:type="dxa"/>
                    <w:right w:w="0" w:type="dxa"/>
                  </w:tcMar>
                  <w:vAlign w:val="center"/>
                </w:tcPr>
                <w:p w14:paraId="080753CA">
                  <w:pPr>
                    <w:adjustRightInd w:val="0"/>
                    <w:snapToGrid w:val="0"/>
                    <w:jc w:val="center"/>
                    <w:rPr>
                      <w:rFonts w:hint="eastAsia"/>
                      <w:b/>
                      <w:bCs/>
                      <w:color w:val="auto"/>
                      <w:szCs w:val="21"/>
                    </w:rPr>
                  </w:pPr>
                </w:p>
              </w:tc>
              <w:tc>
                <w:tcPr>
                  <w:tcW w:w="299" w:type="pct"/>
                  <w:vMerge w:val="continue"/>
                  <w:noWrap w:val="0"/>
                  <w:tcMar>
                    <w:top w:w="0" w:type="dxa"/>
                    <w:left w:w="0" w:type="dxa"/>
                    <w:bottom w:w="0" w:type="dxa"/>
                    <w:right w:w="0" w:type="dxa"/>
                  </w:tcMar>
                  <w:vAlign w:val="center"/>
                </w:tcPr>
                <w:p w14:paraId="400DFE3A">
                  <w:pPr>
                    <w:adjustRightInd w:val="0"/>
                    <w:snapToGrid w:val="0"/>
                    <w:jc w:val="center"/>
                    <w:rPr>
                      <w:rFonts w:hint="eastAsia"/>
                      <w:b/>
                      <w:bCs/>
                      <w:color w:val="auto"/>
                      <w:szCs w:val="21"/>
                    </w:rPr>
                  </w:pPr>
                </w:p>
              </w:tc>
              <w:tc>
                <w:tcPr>
                  <w:tcW w:w="272" w:type="pct"/>
                  <w:vMerge w:val="continue"/>
                  <w:noWrap w:val="0"/>
                  <w:tcMar>
                    <w:top w:w="0" w:type="dxa"/>
                    <w:left w:w="0" w:type="dxa"/>
                    <w:bottom w:w="0" w:type="dxa"/>
                    <w:right w:w="0" w:type="dxa"/>
                  </w:tcMar>
                  <w:vAlign w:val="center"/>
                </w:tcPr>
                <w:p w14:paraId="40AC2371">
                  <w:pPr>
                    <w:adjustRightInd w:val="0"/>
                    <w:snapToGrid w:val="0"/>
                    <w:jc w:val="center"/>
                    <w:rPr>
                      <w:b/>
                      <w:bCs/>
                      <w:color w:val="auto"/>
                      <w:szCs w:val="21"/>
                    </w:rPr>
                  </w:pPr>
                </w:p>
              </w:tc>
              <w:tc>
                <w:tcPr>
                  <w:tcW w:w="245" w:type="pct"/>
                  <w:vMerge w:val="continue"/>
                  <w:noWrap w:val="0"/>
                  <w:tcMar>
                    <w:top w:w="0" w:type="dxa"/>
                    <w:left w:w="0" w:type="dxa"/>
                    <w:bottom w:w="0" w:type="dxa"/>
                    <w:right w:w="0" w:type="dxa"/>
                  </w:tcMar>
                  <w:vAlign w:val="center"/>
                </w:tcPr>
                <w:p w14:paraId="0FB0A8AE">
                  <w:pPr>
                    <w:adjustRightInd w:val="0"/>
                    <w:snapToGrid w:val="0"/>
                    <w:jc w:val="center"/>
                    <w:rPr>
                      <w:rFonts w:hint="eastAsia"/>
                      <w:b/>
                      <w:bCs/>
                      <w:color w:val="auto"/>
                      <w:szCs w:val="21"/>
                    </w:rPr>
                  </w:pPr>
                </w:p>
              </w:tc>
              <w:tc>
                <w:tcPr>
                  <w:tcW w:w="221" w:type="pct"/>
                  <w:vMerge w:val="continue"/>
                  <w:noWrap w:val="0"/>
                  <w:tcMar>
                    <w:top w:w="0" w:type="dxa"/>
                    <w:left w:w="0" w:type="dxa"/>
                    <w:bottom w:w="0" w:type="dxa"/>
                    <w:right w:w="0" w:type="dxa"/>
                  </w:tcMar>
                  <w:vAlign w:val="center"/>
                </w:tcPr>
                <w:p w14:paraId="6DA87E1C">
                  <w:pPr>
                    <w:adjustRightInd w:val="0"/>
                    <w:snapToGrid w:val="0"/>
                    <w:jc w:val="center"/>
                    <w:rPr>
                      <w:rFonts w:hint="eastAsia"/>
                      <w:b/>
                      <w:bCs/>
                      <w:color w:val="auto"/>
                      <w:szCs w:val="21"/>
                    </w:rPr>
                  </w:pPr>
                </w:p>
              </w:tc>
              <w:tc>
                <w:tcPr>
                  <w:tcW w:w="149" w:type="pct"/>
                  <w:vMerge w:val="continue"/>
                  <w:noWrap w:val="0"/>
                  <w:tcMar>
                    <w:top w:w="0" w:type="dxa"/>
                    <w:left w:w="0" w:type="dxa"/>
                    <w:bottom w:w="0" w:type="dxa"/>
                    <w:right w:w="0" w:type="dxa"/>
                  </w:tcMar>
                  <w:vAlign w:val="center"/>
                </w:tcPr>
                <w:p w14:paraId="185635F8">
                  <w:pPr>
                    <w:adjustRightInd w:val="0"/>
                    <w:snapToGrid w:val="0"/>
                    <w:jc w:val="center"/>
                    <w:rPr>
                      <w:rFonts w:hint="eastAsia"/>
                      <w:b/>
                      <w:bCs/>
                      <w:color w:val="auto"/>
                      <w:szCs w:val="21"/>
                    </w:rPr>
                  </w:pPr>
                </w:p>
              </w:tc>
              <w:tc>
                <w:tcPr>
                  <w:tcW w:w="242" w:type="pct"/>
                  <w:vMerge w:val="continue"/>
                  <w:noWrap w:val="0"/>
                  <w:tcMar>
                    <w:top w:w="0" w:type="dxa"/>
                    <w:left w:w="0" w:type="dxa"/>
                    <w:bottom w:w="0" w:type="dxa"/>
                    <w:right w:w="0" w:type="dxa"/>
                  </w:tcMar>
                  <w:vAlign w:val="center"/>
                </w:tcPr>
                <w:p w14:paraId="10B8F052">
                  <w:pPr>
                    <w:adjustRightInd w:val="0"/>
                    <w:snapToGrid w:val="0"/>
                    <w:jc w:val="center"/>
                    <w:rPr>
                      <w:rFonts w:hint="eastAsia"/>
                      <w:b/>
                      <w:bCs/>
                      <w:color w:val="auto"/>
                      <w:szCs w:val="21"/>
                    </w:rPr>
                  </w:pPr>
                </w:p>
              </w:tc>
              <w:tc>
                <w:tcPr>
                  <w:tcW w:w="156" w:type="pct"/>
                  <w:vMerge w:val="continue"/>
                  <w:noWrap w:val="0"/>
                  <w:tcMar>
                    <w:top w:w="0" w:type="dxa"/>
                    <w:left w:w="0" w:type="dxa"/>
                    <w:bottom w:w="0" w:type="dxa"/>
                    <w:right w:w="0" w:type="dxa"/>
                  </w:tcMar>
                  <w:vAlign w:val="center"/>
                </w:tcPr>
                <w:p w14:paraId="10FE7CD5">
                  <w:pPr>
                    <w:adjustRightInd w:val="0"/>
                    <w:snapToGrid w:val="0"/>
                    <w:jc w:val="center"/>
                    <w:rPr>
                      <w:rFonts w:hint="eastAsia"/>
                      <w:b/>
                      <w:bCs/>
                      <w:color w:val="auto"/>
                      <w:szCs w:val="21"/>
                    </w:rPr>
                  </w:pPr>
                </w:p>
              </w:tc>
              <w:tc>
                <w:tcPr>
                  <w:tcW w:w="141" w:type="pct"/>
                  <w:vMerge w:val="continue"/>
                  <w:noWrap w:val="0"/>
                  <w:tcMar>
                    <w:top w:w="0" w:type="dxa"/>
                    <w:left w:w="0" w:type="dxa"/>
                    <w:bottom w:w="0" w:type="dxa"/>
                    <w:right w:w="0" w:type="dxa"/>
                  </w:tcMar>
                  <w:vAlign w:val="center"/>
                </w:tcPr>
                <w:p w14:paraId="45946890">
                  <w:pPr>
                    <w:adjustRightInd w:val="0"/>
                    <w:snapToGrid w:val="0"/>
                    <w:jc w:val="center"/>
                    <w:rPr>
                      <w:rFonts w:hint="eastAsia"/>
                      <w:b/>
                      <w:bCs/>
                      <w:color w:val="auto"/>
                      <w:szCs w:val="21"/>
                    </w:rPr>
                  </w:pPr>
                </w:p>
              </w:tc>
              <w:tc>
                <w:tcPr>
                  <w:tcW w:w="190" w:type="pct"/>
                  <w:vMerge w:val="continue"/>
                  <w:noWrap w:val="0"/>
                  <w:tcMar>
                    <w:top w:w="0" w:type="dxa"/>
                    <w:left w:w="0" w:type="dxa"/>
                    <w:bottom w:w="0" w:type="dxa"/>
                    <w:right w:w="0" w:type="dxa"/>
                  </w:tcMar>
                  <w:vAlign w:val="center"/>
                </w:tcPr>
                <w:p w14:paraId="3E2737B6">
                  <w:pPr>
                    <w:adjustRightInd w:val="0"/>
                    <w:snapToGrid w:val="0"/>
                    <w:jc w:val="center"/>
                    <w:rPr>
                      <w:rFonts w:hint="eastAsia"/>
                      <w:b/>
                      <w:bCs/>
                      <w:color w:val="auto"/>
                      <w:szCs w:val="21"/>
                    </w:rPr>
                  </w:pPr>
                </w:p>
              </w:tc>
              <w:tc>
                <w:tcPr>
                  <w:tcW w:w="347" w:type="pct"/>
                  <w:vMerge w:val="continue"/>
                  <w:noWrap w:val="0"/>
                  <w:tcMar>
                    <w:top w:w="0" w:type="dxa"/>
                    <w:left w:w="0" w:type="dxa"/>
                    <w:bottom w:w="0" w:type="dxa"/>
                    <w:right w:w="0" w:type="dxa"/>
                  </w:tcMar>
                  <w:vAlign w:val="center"/>
                </w:tcPr>
                <w:p w14:paraId="44DB1CEA">
                  <w:pPr>
                    <w:adjustRightInd w:val="0"/>
                    <w:snapToGrid w:val="0"/>
                    <w:jc w:val="center"/>
                    <w:rPr>
                      <w:b/>
                      <w:bCs/>
                      <w:color w:val="auto"/>
                      <w:szCs w:val="21"/>
                    </w:rPr>
                  </w:pPr>
                </w:p>
              </w:tc>
              <w:tc>
                <w:tcPr>
                  <w:tcW w:w="192" w:type="pct"/>
                  <w:vMerge w:val="continue"/>
                  <w:noWrap w:val="0"/>
                  <w:tcMar>
                    <w:top w:w="0" w:type="dxa"/>
                    <w:left w:w="0" w:type="dxa"/>
                    <w:bottom w:w="0" w:type="dxa"/>
                    <w:right w:w="0" w:type="dxa"/>
                  </w:tcMar>
                  <w:vAlign w:val="center"/>
                </w:tcPr>
                <w:p w14:paraId="56BA565B">
                  <w:pPr>
                    <w:adjustRightInd w:val="0"/>
                    <w:snapToGrid w:val="0"/>
                    <w:jc w:val="center"/>
                    <w:rPr>
                      <w:b/>
                      <w:bCs/>
                      <w:color w:val="auto"/>
                      <w:szCs w:val="21"/>
                    </w:rPr>
                  </w:pPr>
                </w:p>
              </w:tc>
              <w:tc>
                <w:tcPr>
                  <w:tcW w:w="347" w:type="pct"/>
                  <w:vMerge w:val="continue"/>
                  <w:noWrap w:val="0"/>
                  <w:tcMar>
                    <w:top w:w="0" w:type="dxa"/>
                    <w:left w:w="0" w:type="dxa"/>
                    <w:bottom w:w="0" w:type="dxa"/>
                    <w:right w:w="0" w:type="dxa"/>
                  </w:tcMar>
                  <w:vAlign w:val="center"/>
                </w:tcPr>
                <w:p w14:paraId="2995BE60">
                  <w:pPr>
                    <w:adjustRightInd w:val="0"/>
                    <w:snapToGrid w:val="0"/>
                    <w:jc w:val="center"/>
                    <w:rPr>
                      <w:b/>
                      <w:bCs/>
                      <w:color w:val="auto"/>
                      <w:szCs w:val="21"/>
                    </w:rPr>
                  </w:pPr>
                </w:p>
              </w:tc>
              <w:tc>
                <w:tcPr>
                  <w:tcW w:w="347" w:type="pct"/>
                  <w:vMerge w:val="continue"/>
                  <w:noWrap w:val="0"/>
                  <w:tcMar>
                    <w:top w:w="0" w:type="dxa"/>
                    <w:left w:w="0" w:type="dxa"/>
                    <w:bottom w:w="0" w:type="dxa"/>
                    <w:right w:w="0" w:type="dxa"/>
                  </w:tcMar>
                  <w:vAlign w:val="center"/>
                </w:tcPr>
                <w:p w14:paraId="2AD7701D">
                  <w:pPr>
                    <w:adjustRightInd w:val="0"/>
                    <w:snapToGrid w:val="0"/>
                    <w:jc w:val="center"/>
                    <w:rPr>
                      <w:rFonts w:hint="eastAsia"/>
                      <w:b/>
                      <w:bCs/>
                      <w:color w:val="auto"/>
                      <w:szCs w:val="21"/>
                    </w:rPr>
                  </w:pPr>
                </w:p>
              </w:tc>
              <w:tc>
                <w:tcPr>
                  <w:tcW w:w="192" w:type="pct"/>
                  <w:noWrap w:val="0"/>
                  <w:tcMar>
                    <w:top w:w="0" w:type="dxa"/>
                    <w:left w:w="0" w:type="dxa"/>
                    <w:bottom w:w="0" w:type="dxa"/>
                    <w:right w:w="0" w:type="dxa"/>
                  </w:tcMar>
                  <w:vAlign w:val="center"/>
                </w:tcPr>
                <w:p w14:paraId="06DDD8FF">
                  <w:pPr>
                    <w:adjustRightInd w:val="0"/>
                    <w:snapToGrid w:val="0"/>
                    <w:jc w:val="center"/>
                    <w:rPr>
                      <w:b/>
                      <w:bCs/>
                      <w:color w:val="auto"/>
                      <w:szCs w:val="21"/>
                    </w:rPr>
                  </w:pPr>
                  <w:r>
                    <w:rPr>
                      <w:rFonts w:hint="eastAsia"/>
                      <w:b/>
                      <w:bCs/>
                      <w:color w:val="auto"/>
                      <w:szCs w:val="21"/>
                    </w:rPr>
                    <w:t>东</w:t>
                  </w:r>
                </w:p>
              </w:tc>
              <w:tc>
                <w:tcPr>
                  <w:tcW w:w="192" w:type="pct"/>
                  <w:noWrap w:val="0"/>
                  <w:tcMar>
                    <w:top w:w="0" w:type="dxa"/>
                    <w:left w:w="0" w:type="dxa"/>
                    <w:bottom w:w="0" w:type="dxa"/>
                    <w:right w:w="0" w:type="dxa"/>
                  </w:tcMar>
                  <w:vAlign w:val="center"/>
                </w:tcPr>
                <w:p w14:paraId="758F741F">
                  <w:pPr>
                    <w:adjustRightInd w:val="0"/>
                    <w:snapToGrid w:val="0"/>
                    <w:jc w:val="center"/>
                    <w:rPr>
                      <w:b/>
                      <w:bCs/>
                      <w:color w:val="auto"/>
                      <w:szCs w:val="21"/>
                    </w:rPr>
                  </w:pPr>
                  <w:r>
                    <w:rPr>
                      <w:rFonts w:hint="eastAsia"/>
                      <w:b/>
                      <w:bCs/>
                      <w:color w:val="auto"/>
                      <w:szCs w:val="21"/>
                    </w:rPr>
                    <w:t>南</w:t>
                  </w:r>
                </w:p>
              </w:tc>
              <w:tc>
                <w:tcPr>
                  <w:tcW w:w="192" w:type="pct"/>
                  <w:noWrap w:val="0"/>
                  <w:tcMar>
                    <w:top w:w="0" w:type="dxa"/>
                    <w:left w:w="0" w:type="dxa"/>
                    <w:bottom w:w="0" w:type="dxa"/>
                    <w:right w:w="0" w:type="dxa"/>
                  </w:tcMar>
                  <w:vAlign w:val="center"/>
                </w:tcPr>
                <w:p w14:paraId="09C29AAD">
                  <w:pPr>
                    <w:adjustRightInd w:val="0"/>
                    <w:snapToGrid w:val="0"/>
                    <w:jc w:val="center"/>
                    <w:rPr>
                      <w:b/>
                      <w:bCs/>
                      <w:color w:val="auto"/>
                      <w:szCs w:val="21"/>
                    </w:rPr>
                  </w:pPr>
                  <w:r>
                    <w:rPr>
                      <w:rFonts w:hint="eastAsia"/>
                      <w:b/>
                      <w:bCs/>
                      <w:color w:val="auto"/>
                      <w:szCs w:val="21"/>
                    </w:rPr>
                    <w:t>西</w:t>
                  </w:r>
                </w:p>
              </w:tc>
              <w:tc>
                <w:tcPr>
                  <w:tcW w:w="250" w:type="pct"/>
                  <w:noWrap w:val="0"/>
                  <w:tcMar>
                    <w:top w:w="0" w:type="dxa"/>
                    <w:left w:w="0" w:type="dxa"/>
                    <w:bottom w:w="0" w:type="dxa"/>
                    <w:right w:w="0" w:type="dxa"/>
                  </w:tcMar>
                  <w:vAlign w:val="center"/>
                </w:tcPr>
                <w:p w14:paraId="4D32A0F0">
                  <w:pPr>
                    <w:adjustRightInd w:val="0"/>
                    <w:snapToGrid w:val="0"/>
                    <w:jc w:val="center"/>
                    <w:rPr>
                      <w:b/>
                      <w:bCs/>
                      <w:color w:val="auto"/>
                      <w:szCs w:val="21"/>
                    </w:rPr>
                  </w:pPr>
                  <w:r>
                    <w:rPr>
                      <w:rFonts w:hint="eastAsia"/>
                      <w:b/>
                      <w:bCs/>
                      <w:color w:val="auto"/>
                      <w:szCs w:val="21"/>
                    </w:rPr>
                    <w:t>北</w:t>
                  </w:r>
                </w:p>
              </w:tc>
            </w:tr>
            <w:tr w14:paraId="6E3A7C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41" w:type="pct"/>
                  <w:noWrap w:val="0"/>
                  <w:tcMar>
                    <w:top w:w="0" w:type="dxa"/>
                    <w:left w:w="0" w:type="dxa"/>
                    <w:bottom w:w="0" w:type="dxa"/>
                    <w:right w:w="0" w:type="dxa"/>
                  </w:tcMar>
                  <w:vAlign w:val="center"/>
                </w:tcPr>
                <w:p w14:paraId="33C1EE0C">
                  <w:pPr>
                    <w:adjustRightInd w:val="0"/>
                    <w:snapToGrid w:val="0"/>
                    <w:jc w:val="center"/>
                    <w:rPr>
                      <w:color w:val="auto"/>
                      <w:szCs w:val="21"/>
                    </w:rPr>
                  </w:pPr>
                  <w:r>
                    <w:rPr>
                      <w:rFonts w:hint="eastAsia"/>
                      <w:color w:val="auto"/>
                      <w:szCs w:val="21"/>
                    </w:rPr>
                    <w:t>1</w:t>
                  </w:r>
                </w:p>
              </w:tc>
              <w:tc>
                <w:tcPr>
                  <w:tcW w:w="250" w:type="pct"/>
                  <w:vMerge w:val="restart"/>
                  <w:noWrap w:val="0"/>
                  <w:tcMar>
                    <w:top w:w="0" w:type="dxa"/>
                    <w:left w:w="0" w:type="dxa"/>
                    <w:bottom w:w="0" w:type="dxa"/>
                    <w:right w:w="0" w:type="dxa"/>
                  </w:tcMar>
                  <w:vAlign w:val="center"/>
                </w:tcPr>
                <w:p w14:paraId="208AA722">
                  <w:pPr>
                    <w:adjustRightInd w:val="0"/>
                    <w:snapToGrid w:val="0"/>
                    <w:jc w:val="center"/>
                    <w:rPr>
                      <w:color w:val="auto"/>
                      <w:szCs w:val="21"/>
                    </w:rPr>
                  </w:pPr>
                  <w:r>
                    <w:rPr>
                      <w:rFonts w:hint="eastAsia"/>
                      <w:color w:val="auto"/>
                      <w:szCs w:val="21"/>
                    </w:rPr>
                    <w:t>生产车间</w:t>
                  </w:r>
                </w:p>
              </w:tc>
              <w:tc>
                <w:tcPr>
                  <w:tcW w:w="418" w:type="pct"/>
                  <w:shd w:val="clear" w:color="auto" w:fill="auto"/>
                  <w:noWrap w:val="0"/>
                  <w:tcMar>
                    <w:top w:w="0" w:type="dxa"/>
                    <w:left w:w="0" w:type="dxa"/>
                    <w:bottom w:w="0" w:type="dxa"/>
                    <w:right w:w="0" w:type="dxa"/>
                  </w:tcMar>
                  <w:vAlign w:val="center"/>
                </w:tcPr>
                <w:p w14:paraId="7F38F127">
                  <w:pPr>
                    <w:keepNext w:val="0"/>
                    <w:keepLines w:val="0"/>
                    <w:pageBreakBefore w:val="0"/>
                    <w:widowControl/>
                    <w:kinsoku/>
                    <w:wordWrap/>
                    <w:overflowPunct/>
                    <w:topLinePunct w:val="0"/>
                    <w:bidi w:val="0"/>
                    <w:adjustRightInd w:val="0"/>
                    <w:snapToGrid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高速搅拌机</w:t>
                  </w:r>
                </w:p>
              </w:tc>
              <w:tc>
                <w:tcPr>
                  <w:tcW w:w="211" w:type="pct"/>
                  <w:shd w:val="clear" w:color="auto" w:fill="auto"/>
                  <w:noWrap w:val="0"/>
                  <w:tcMar>
                    <w:top w:w="0" w:type="dxa"/>
                    <w:left w:w="0" w:type="dxa"/>
                    <w:bottom w:w="0" w:type="dxa"/>
                    <w:right w:w="0" w:type="dxa"/>
                  </w:tcMar>
                  <w:vAlign w:val="center"/>
                </w:tcPr>
                <w:p w14:paraId="68667D87">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299" w:type="pct"/>
                  <w:noWrap w:val="0"/>
                  <w:tcMar>
                    <w:top w:w="0" w:type="dxa"/>
                    <w:left w:w="0" w:type="dxa"/>
                    <w:bottom w:w="0" w:type="dxa"/>
                    <w:right w:w="0" w:type="dxa"/>
                  </w:tcMar>
                  <w:vAlign w:val="center"/>
                </w:tcPr>
                <w:p w14:paraId="1FF506A7">
                  <w:pPr>
                    <w:adjustRightInd w:val="0"/>
                    <w:snapToGrid w:val="0"/>
                    <w:jc w:val="center"/>
                    <w:rPr>
                      <w:rFonts w:hint="default" w:eastAsia="宋体"/>
                      <w:color w:val="auto"/>
                      <w:szCs w:val="21"/>
                      <w:lang w:val="en-US" w:eastAsia="zh-CN"/>
                    </w:rPr>
                  </w:pPr>
                  <w:r>
                    <w:rPr>
                      <w:rFonts w:hint="eastAsia"/>
                      <w:color w:val="auto"/>
                      <w:szCs w:val="21"/>
                      <w:lang w:val="en-US" w:eastAsia="zh-CN"/>
                    </w:rPr>
                    <w:t>80</w:t>
                  </w:r>
                </w:p>
              </w:tc>
              <w:tc>
                <w:tcPr>
                  <w:tcW w:w="272" w:type="pct"/>
                  <w:vMerge w:val="restart"/>
                  <w:noWrap w:val="0"/>
                  <w:tcMar>
                    <w:top w:w="0" w:type="dxa"/>
                    <w:left w:w="0" w:type="dxa"/>
                    <w:bottom w:w="0" w:type="dxa"/>
                    <w:right w:w="0" w:type="dxa"/>
                  </w:tcMar>
                  <w:vAlign w:val="center"/>
                </w:tcPr>
                <w:p w14:paraId="23B5580B">
                  <w:pPr>
                    <w:adjustRightInd w:val="0"/>
                    <w:snapToGrid w:val="0"/>
                    <w:jc w:val="center"/>
                    <w:rPr>
                      <w:color w:val="auto"/>
                      <w:szCs w:val="21"/>
                    </w:rPr>
                  </w:pPr>
                  <w:r>
                    <w:rPr>
                      <w:color w:val="auto"/>
                      <w:szCs w:val="21"/>
                    </w:rPr>
                    <w:t>合理布局+消声+减振+厂房隔声</w:t>
                  </w:r>
                </w:p>
              </w:tc>
              <w:tc>
                <w:tcPr>
                  <w:tcW w:w="245" w:type="pct"/>
                  <w:noWrap w:val="0"/>
                  <w:tcMar>
                    <w:top w:w="0" w:type="dxa"/>
                    <w:left w:w="0" w:type="dxa"/>
                    <w:bottom w:w="0" w:type="dxa"/>
                    <w:right w:w="0" w:type="dxa"/>
                  </w:tcMar>
                  <w:vAlign w:val="center"/>
                </w:tcPr>
                <w:p w14:paraId="12D1F97F">
                  <w:pPr>
                    <w:adjustRightInd w:val="0"/>
                    <w:snapToGrid w:val="0"/>
                    <w:jc w:val="center"/>
                    <w:rPr>
                      <w:rFonts w:hint="default" w:eastAsia="宋体"/>
                      <w:color w:val="auto"/>
                      <w:szCs w:val="21"/>
                      <w:lang w:val="en-US" w:eastAsia="zh-CN"/>
                    </w:rPr>
                  </w:pPr>
                  <w:r>
                    <w:rPr>
                      <w:rFonts w:hint="eastAsia"/>
                      <w:color w:val="auto"/>
                      <w:szCs w:val="21"/>
                      <w:lang w:val="en-US" w:eastAsia="zh-CN"/>
                    </w:rPr>
                    <w:t>20</w:t>
                  </w:r>
                </w:p>
              </w:tc>
              <w:tc>
                <w:tcPr>
                  <w:tcW w:w="221" w:type="pct"/>
                  <w:noWrap w:val="0"/>
                  <w:tcMar>
                    <w:top w:w="0" w:type="dxa"/>
                    <w:left w:w="0" w:type="dxa"/>
                    <w:bottom w:w="0" w:type="dxa"/>
                    <w:right w:w="0" w:type="dxa"/>
                  </w:tcMar>
                  <w:vAlign w:val="center"/>
                </w:tcPr>
                <w:p w14:paraId="31F9BFB8">
                  <w:pPr>
                    <w:adjustRightInd w:val="0"/>
                    <w:snapToGrid w:val="0"/>
                    <w:jc w:val="center"/>
                    <w:rPr>
                      <w:rFonts w:hint="default" w:eastAsia="宋体"/>
                      <w:color w:val="auto"/>
                      <w:szCs w:val="21"/>
                      <w:lang w:val="en-US" w:eastAsia="zh-CN"/>
                    </w:rPr>
                  </w:pPr>
                  <w:r>
                    <w:rPr>
                      <w:rFonts w:hint="eastAsia"/>
                      <w:color w:val="auto"/>
                      <w:szCs w:val="21"/>
                      <w:lang w:val="en-US" w:eastAsia="zh-CN"/>
                    </w:rPr>
                    <w:t>120</w:t>
                  </w:r>
                </w:p>
              </w:tc>
              <w:tc>
                <w:tcPr>
                  <w:tcW w:w="149" w:type="pct"/>
                  <w:noWrap w:val="0"/>
                  <w:tcMar>
                    <w:top w:w="0" w:type="dxa"/>
                    <w:left w:w="0" w:type="dxa"/>
                    <w:bottom w:w="0" w:type="dxa"/>
                    <w:right w:w="0" w:type="dxa"/>
                  </w:tcMar>
                  <w:vAlign w:val="center"/>
                </w:tcPr>
                <w:p w14:paraId="33A2E7DA">
                  <w:pPr>
                    <w:adjustRightInd w:val="0"/>
                    <w:snapToGrid w:val="0"/>
                    <w:jc w:val="center"/>
                    <w:rPr>
                      <w:rFonts w:hint="eastAsia" w:eastAsia="宋体"/>
                      <w:color w:val="auto"/>
                      <w:szCs w:val="21"/>
                      <w:lang w:val="en-US" w:eastAsia="zh-CN"/>
                    </w:rPr>
                  </w:pPr>
                  <w:r>
                    <w:rPr>
                      <w:rFonts w:hint="eastAsia"/>
                      <w:color w:val="auto"/>
                      <w:szCs w:val="21"/>
                      <w:lang w:val="en-US" w:eastAsia="zh-CN"/>
                    </w:rPr>
                    <w:t>0</w:t>
                  </w:r>
                </w:p>
              </w:tc>
              <w:tc>
                <w:tcPr>
                  <w:tcW w:w="242" w:type="pct"/>
                  <w:noWrap w:val="0"/>
                  <w:tcMar>
                    <w:top w:w="0" w:type="dxa"/>
                    <w:left w:w="0" w:type="dxa"/>
                    <w:bottom w:w="0" w:type="dxa"/>
                    <w:right w:w="0" w:type="dxa"/>
                  </w:tcMar>
                  <w:vAlign w:val="center"/>
                </w:tcPr>
                <w:p w14:paraId="70A84A6A">
                  <w:pPr>
                    <w:adjustRightInd w:val="0"/>
                    <w:snapToGrid w:val="0"/>
                    <w:jc w:val="center"/>
                    <w:rPr>
                      <w:rFonts w:hint="default" w:eastAsia="宋体"/>
                      <w:color w:val="auto"/>
                      <w:szCs w:val="21"/>
                      <w:lang w:val="en-US" w:eastAsia="zh-CN"/>
                    </w:rPr>
                  </w:pPr>
                  <w:r>
                    <w:rPr>
                      <w:rFonts w:hint="eastAsia"/>
                      <w:color w:val="auto"/>
                      <w:szCs w:val="21"/>
                      <w:lang w:val="en-US" w:eastAsia="zh-CN"/>
                    </w:rPr>
                    <w:t>30</w:t>
                  </w:r>
                </w:p>
              </w:tc>
              <w:tc>
                <w:tcPr>
                  <w:tcW w:w="156" w:type="pct"/>
                  <w:noWrap w:val="0"/>
                  <w:tcMar>
                    <w:top w:w="0" w:type="dxa"/>
                    <w:left w:w="0" w:type="dxa"/>
                    <w:bottom w:w="0" w:type="dxa"/>
                    <w:right w:w="0" w:type="dxa"/>
                  </w:tcMar>
                  <w:vAlign w:val="center"/>
                </w:tcPr>
                <w:p w14:paraId="23BCEB37">
                  <w:pPr>
                    <w:adjustRightInd w:val="0"/>
                    <w:snapToGrid w:val="0"/>
                    <w:jc w:val="center"/>
                    <w:rPr>
                      <w:rFonts w:hint="default" w:eastAsia="宋体"/>
                      <w:color w:val="auto"/>
                      <w:szCs w:val="21"/>
                      <w:lang w:val="en-US" w:eastAsia="zh-CN"/>
                    </w:rPr>
                  </w:pPr>
                  <w:r>
                    <w:rPr>
                      <w:rFonts w:hint="eastAsia" w:eastAsia="宋体"/>
                      <w:color w:val="auto"/>
                      <w:szCs w:val="21"/>
                      <w:lang w:val="en-US" w:eastAsia="zh-CN"/>
                    </w:rPr>
                    <w:t>85</w:t>
                  </w:r>
                </w:p>
              </w:tc>
              <w:tc>
                <w:tcPr>
                  <w:tcW w:w="141" w:type="pct"/>
                  <w:noWrap w:val="0"/>
                  <w:tcMar>
                    <w:top w:w="0" w:type="dxa"/>
                    <w:left w:w="0" w:type="dxa"/>
                    <w:bottom w:w="0" w:type="dxa"/>
                    <w:right w:w="0" w:type="dxa"/>
                  </w:tcMar>
                  <w:vAlign w:val="center"/>
                </w:tcPr>
                <w:p w14:paraId="249B7D5A">
                  <w:pPr>
                    <w:adjustRightInd w:val="0"/>
                    <w:snapToGrid w:val="0"/>
                    <w:jc w:val="center"/>
                    <w:rPr>
                      <w:rFonts w:hint="default" w:eastAsia="宋体"/>
                      <w:color w:val="auto"/>
                      <w:szCs w:val="21"/>
                      <w:lang w:val="en-US" w:eastAsia="zh-CN"/>
                    </w:rPr>
                  </w:pPr>
                  <w:r>
                    <w:rPr>
                      <w:rFonts w:hint="eastAsia"/>
                      <w:color w:val="auto"/>
                      <w:szCs w:val="21"/>
                      <w:lang w:val="en-US" w:eastAsia="zh-CN"/>
                    </w:rPr>
                    <w:t>10</w:t>
                  </w:r>
                </w:p>
              </w:tc>
              <w:tc>
                <w:tcPr>
                  <w:tcW w:w="190" w:type="pct"/>
                  <w:noWrap w:val="0"/>
                  <w:tcMar>
                    <w:top w:w="0" w:type="dxa"/>
                    <w:left w:w="0" w:type="dxa"/>
                    <w:bottom w:w="0" w:type="dxa"/>
                    <w:right w:w="0" w:type="dxa"/>
                  </w:tcMar>
                  <w:vAlign w:val="center"/>
                </w:tcPr>
                <w:p w14:paraId="0F6424AD">
                  <w:pPr>
                    <w:adjustRightInd w:val="0"/>
                    <w:snapToGrid w:val="0"/>
                    <w:jc w:val="center"/>
                    <w:rPr>
                      <w:rFonts w:hint="default" w:eastAsia="宋体"/>
                      <w:color w:val="auto"/>
                      <w:szCs w:val="21"/>
                      <w:lang w:val="en-US" w:eastAsia="zh-CN"/>
                    </w:rPr>
                  </w:pPr>
                  <w:r>
                    <w:rPr>
                      <w:rFonts w:hint="eastAsia" w:eastAsia="宋体"/>
                      <w:color w:val="auto"/>
                      <w:szCs w:val="21"/>
                      <w:lang w:val="en-US" w:eastAsia="zh-CN"/>
                    </w:rPr>
                    <w:t>10</w:t>
                  </w:r>
                </w:p>
              </w:tc>
              <w:tc>
                <w:tcPr>
                  <w:tcW w:w="347" w:type="pct"/>
                  <w:shd w:val="clear" w:color="auto" w:fill="auto"/>
                  <w:noWrap w:val="0"/>
                  <w:tcMar>
                    <w:top w:w="0" w:type="dxa"/>
                    <w:left w:w="0" w:type="dxa"/>
                    <w:bottom w:w="0" w:type="dxa"/>
                    <w:right w:w="0" w:type="dxa"/>
                  </w:tcMar>
                  <w:vAlign w:val="center"/>
                </w:tcPr>
                <w:p w14:paraId="418F0843">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80</w:t>
                  </w:r>
                </w:p>
              </w:tc>
              <w:tc>
                <w:tcPr>
                  <w:tcW w:w="192" w:type="pct"/>
                  <w:vMerge w:val="restart"/>
                  <w:noWrap w:val="0"/>
                  <w:tcMar>
                    <w:top w:w="0" w:type="dxa"/>
                    <w:left w:w="0" w:type="dxa"/>
                    <w:bottom w:w="0" w:type="dxa"/>
                    <w:right w:w="0" w:type="dxa"/>
                  </w:tcMar>
                  <w:vAlign w:val="center"/>
                </w:tcPr>
                <w:p w14:paraId="2CA402BC">
                  <w:pPr>
                    <w:adjustRightInd w:val="0"/>
                    <w:snapToGrid w:val="0"/>
                    <w:jc w:val="center"/>
                    <w:rPr>
                      <w:rFonts w:hint="default" w:eastAsia="宋体"/>
                      <w:color w:val="auto"/>
                      <w:szCs w:val="21"/>
                      <w:lang w:val="en-US" w:eastAsia="zh-CN"/>
                    </w:rPr>
                  </w:pPr>
                  <w:r>
                    <w:rPr>
                      <w:rFonts w:hint="eastAsia"/>
                      <w:color w:val="auto"/>
                      <w:szCs w:val="21"/>
                      <w:lang w:val="en-US" w:eastAsia="zh-CN"/>
                    </w:rPr>
                    <w:t>昼</w:t>
                  </w:r>
                </w:p>
              </w:tc>
              <w:tc>
                <w:tcPr>
                  <w:tcW w:w="347" w:type="pct"/>
                  <w:noWrap w:val="0"/>
                  <w:tcMar>
                    <w:top w:w="0" w:type="dxa"/>
                    <w:left w:w="0" w:type="dxa"/>
                    <w:bottom w:w="0" w:type="dxa"/>
                    <w:right w:w="0" w:type="dxa"/>
                  </w:tcMar>
                  <w:vAlign w:val="center"/>
                </w:tcPr>
                <w:p w14:paraId="3E6FF8E6">
                  <w:pPr>
                    <w:adjustRightInd w:val="0"/>
                    <w:snapToGrid w:val="0"/>
                    <w:jc w:val="center"/>
                    <w:rPr>
                      <w:color w:val="auto"/>
                      <w:szCs w:val="21"/>
                    </w:rPr>
                  </w:pPr>
                  <w:r>
                    <w:rPr>
                      <w:rFonts w:hint="eastAsia"/>
                      <w:color w:val="auto"/>
                      <w:szCs w:val="21"/>
                    </w:rPr>
                    <w:t>25</w:t>
                  </w:r>
                </w:p>
              </w:tc>
              <w:tc>
                <w:tcPr>
                  <w:tcW w:w="347" w:type="pct"/>
                  <w:noWrap w:val="0"/>
                  <w:tcMar>
                    <w:top w:w="0" w:type="dxa"/>
                    <w:left w:w="0" w:type="dxa"/>
                    <w:bottom w:w="0" w:type="dxa"/>
                    <w:right w:w="0" w:type="dxa"/>
                  </w:tcMar>
                  <w:vAlign w:val="center"/>
                </w:tcPr>
                <w:p w14:paraId="24B5E775">
                  <w:pPr>
                    <w:adjustRightInd w:val="0"/>
                    <w:snapToGrid w:val="0"/>
                    <w:jc w:val="center"/>
                    <w:rPr>
                      <w:rFonts w:hint="default" w:eastAsia="宋体"/>
                      <w:color w:val="auto"/>
                      <w:szCs w:val="21"/>
                      <w:lang w:val="en-US" w:eastAsia="zh-CN"/>
                    </w:rPr>
                  </w:pPr>
                  <w:r>
                    <w:rPr>
                      <w:rFonts w:hint="eastAsia"/>
                      <w:color w:val="auto"/>
                      <w:szCs w:val="21"/>
                      <w:lang w:val="en-US" w:eastAsia="zh-CN"/>
                    </w:rPr>
                    <w:t>55</w:t>
                  </w:r>
                </w:p>
              </w:tc>
              <w:tc>
                <w:tcPr>
                  <w:tcW w:w="192" w:type="pct"/>
                  <w:noWrap w:val="0"/>
                  <w:tcMar>
                    <w:top w:w="0" w:type="dxa"/>
                    <w:left w:w="0" w:type="dxa"/>
                    <w:bottom w:w="0" w:type="dxa"/>
                    <w:right w:w="0" w:type="dxa"/>
                  </w:tcMar>
                  <w:vAlign w:val="center"/>
                </w:tcPr>
                <w:p w14:paraId="6469501F">
                  <w:pPr>
                    <w:adjustRightInd w:val="0"/>
                    <w:snapToGrid w:val="0"/>
                    <w:jc w:val="center"/>
                    <w:rPr>
                      <w:rFonts w:hint="default" w:eastAsia="宋体"/>
                      <w:color w:val="auto"/>
                      <w:szCs w:val="21"/>
                      <w:lang w:val="en-US" w:eastAsia="zh-CN"/>
                    </w:rPr>
                  </w:pPr>
                  <w:r>
                    <w:rPr>
                      <w:rFonts w:hint="eastAsia"/>
                      <w:color w:val="auto"/>
                      <w:szCs w:val="21"/>
                      <w:lang w:val="en-US" w:eastAsia="zh-CN"/>
                    </w:rPr>
                    <w:t>110</w:t>
                  </w:r>
                </w:p>
              </w:tc>
              <w:tc>
                <w:tcPr>
                  <w:tcW w:w="192" w:type="pct"/>
                  <w:noWrap w:val="0"/>
                  <w:tcMar>
                    <w:top w:w="0" w:type="dxa"/>
                    <w:left w:w="0" w:type="dxa"/>
                    <w:bottom w:w="0" w:type="dxa"/>
                    <w:right w:w="0" w:type="dxa"/>
                  </w:tcMar>
                  <w:vAlign w:val="center"/>
                </w:tcPr>
                <w:p w14:paraId="04D61A76">
                  <w:pPr>
                    <w:adjustRightInd w:val="0"/>
                    <w:snapToGrid w:val="0"/>
                    <w:jc w:val="center"/>
                    <w:rPr>
                      <w:rFonts w:hint="default" w:eastAsia="宋体"/>
                      <w:color w:val="auto"/>
                      <w:szCs w:val="21"/>
                      <w:lang w:val="en-US" w:eastAsia="zh-CN"/>
                    </w:rPr>
                  </w:pPr>
                  <w:r>
                    <w:rPr>
                      <w:rFonts w:hint="eastAsia"/>
                      <w:color w:val="auto"/>
                      <w:szCs w:val="21"/>
                      <w:lang w:val="en-US" w:eastAsia="zh-CN"/>
                    </w:rPr>
                    <w:t>30</w:t>
                  </w:r>
                </w:p>
              </w:tc>
              <w:tc>
                <w:tcPr>
                  <w:tcW w:w="192" w:type="pct"/>
                  <w:noWrap w:val="0"/>
                  <w:tcMar>
                    <w:top w:w="0" w:type="dxa"/>
                    <w:left w:w="0" w:type="dxa"/>
                    <w:bottom w:w="0" w:type="dxa"/>
                    <w:right w:w="0" w:type="dxa"/>
                  </w:tcMar>
                  <w:vAlign w:val="center"/>
                </w:tcPr>
                <w:p w14:paraId="273C1DF3">
                  <w:pPr>
                    <w:adjustRightInd w:val="0"/>
                    <w:snapToGrid w:val="0"/>
                    <w:jc w:val="center"/>
                    <w:rPr>
                      <w:rFonts w:hint="default" w:eastAsia="宋体"/>
                      <w:color w:val="auto"/>
                      <w:szCs w:val="21"/>
                      <w:lang w:val="en-US" w:eastAsia="zh-CN"/>
                    </w:rPr>
                  </w:pPr>
                  <w:r>
                    <w:rPr>
                      <w:rFonts w:hint="eastAsia"/>
                      <w:color w:val="auto"/>
                      <w:szCs w:val="21"/>
                      <w:lang w:val="en-US" w:eastAsia="zh-CN"/>
                    </w:rPr>
                    <w:t>10</w:t>
                  </w:r>
                </w:p>
              </w:tc>
              <w:tc>
                <w:tcPr>
                  <w:tcW w:w="250" w:type="pct"/>
                  <w:noWrap w:val="0"/>
                  <w:tcMar>
                    <w:top w:w="0" w:type="dxa"/>
                    <w:left w:w="0" w:type="dxa"/>
                    <w:bottom w:w="0" w:type="dxa"/>
                    <w:right w:w="0" w:type="dxa"/>
                  </w:tcMar>
                  <w:vAlign w:val="center"/>
                </w:tcPr>
                <w:p w14:paraId="375ADE0B">
                  <w:pPr>
                    <w:adjustRightInd w:val="0"/>
                    <w:snapToGrid w:val="0"/>
                    <w:jc w:val="center"/>
                    <w:rPr>
                      <w:rFonts w:hint="default" w:eastAsia="宋体"/>
                      <w:color w:val="auto"/>
                      <w:szCs w:val="21"/>
                      <w:lang w:val="en-US" w:eastAsia="zh-CN"/>
                    </w:rPr>
                  </w:pPr>
                  <w:r>
                    <w:rPr>
                      <w:rFonts w:hint="eastAsia"/>
                      <w:color w:val="auto"/>
                      <w:szCs w:val="21"/>
                      <w:lang w:val="en-US" w:eastAsia="zh-CN"/>
                    </w:rPr>
                    <w:t>50</w:t>
                  </w:r>
                </w:p>
              </w:tc>
            </w:tr>
            <w:tr w14:paraId="25848F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41" w:type="pct"/>
                  <w:noWrap w:val="0"/>
                  <w:tcMar>
                    <w:top w:w="0" w:type="dxa"/>
                    <w:left w:w="0" w:type="dxa"/>
                    <w:bottom w:w="0" w:type="dxa"/>
                    <w:right w:w="0" w:type="dxa"/>
                  </w:tcMar>
                  <w:vAlign w:val="center"/>
                </w:tcPr>
                <w:p w14:paraId="31C65593">
                  <w:pPr>
                    <w:adjustRightInd w:val="0"/>
                    <w:snapToGrid w:val="0"/>
                    <w:jc w:val="center"/>
                    <w:rPr>
                      <w:rFonts w:hint="eastAsia"/>
                      <w:color w:val="auto"/>
                      <w:kern w:val="2"/>
                      <w:sz w:val="21"/>
                      <w:szCs w:val="21"/>
                      <w:lang w:val="en-US" w:eastAsia="zh-CN" w:bidi="ar-SA"/>
                    </w:rPr>
                  </w:pPr>
                  <w:r>
                    <w:rPr>
                      <w:rFonts w:hint="eastAsia"/>
                      <w:color w:val="auto"/>
                      <w:szCs w:val="21"/>
                    </w:rPr>
                    <w:t>2</w:t>
                  </w:r>
                </w:p>
              </w:tc>
              <w:tc>
                <w:tcPr>
                  <w:tcW w:w="250" w:type="pct"/>
                  <w:vMerge w:val="continue"/>
                  <w:noWrap w:val="0"/>
                  <w:tcMar>
                    <w:top w:w="0" w:type="dxa"/>
                    <w:left w:w="0" w:type="dxa"/>
                    <w:bottom w:w="0" w:type="dxa"/>
                    <w:right w:w="0" w:type="dxa"/>
                  </w:tcMar>
                  <w:vAlign w:val="center"/>
                </w:tcPr>
                <w:p w14:paraId="650870C4">
                  <w:pPr>
                    <w:adjustRightInd w:val="0"/>
                    <w:snapToGrid w:val="0"/>
                    <w:jc w:val="center"/>
                    <w:rPr>
                      <w:rFonts w:hint="eastAsia"/>
                      <w:color w:val="auto"/>
                      <w:szCs w:val="21"/>
                    </w:rPr>
                  </w:pPr>
                </w:p>
              </w:tc>
              <w:tc>
                <w:tcPr>
                  <w:tcW w:w="418" w:type="pct"/>
                  <w:shd w:val="clear" w:color="auto" w:fill="auto"/>
                  <w:noWrap w:val="0"/>
                  <w:tcMar>
                    <w:top w:w="0" w:type="dxa"/>
                    <w:left w:w="0" w:type="dxa"/>
                    <w:bottom w:w="0" w:type="dxa"/>
                    <w:right w:w="0" w:type="dxa"/>
                  </w:tcMar>
                  <w:vAlign w:val="center"/>
                </w:tcPr>
                <w:p w14:paraId="01E98E4C">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混料机</w:t>
                  </w:r>
                </w:p>
              </w:tc>
              <w:tc>
                <w:tcPr>
                  <w:tcW w:w="211" w:type="pct"/>
                  <w:shd w:val="clear" w:color="auto" w:fill="auto"/>
                  <w:noWrap w:val="0"/>
                  <w:tcMar>
                    <w:top w:w="0" w:type="dxa"/>
                    <w:left w:w="0" w:type="dxa"/>
                    <w:bottom w:w="0" w:type="dxa"/>
                    <w:right w:w="0" w:type="dxa"/>
                  </w:tcMar>
                  <w:vAlign w:val="center"/>
                </w:tcPr>
                <w:p w14:paraId="2FA4F8F3">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299" w:type="pct"/>
                  <w:noWrap w:val="0"/>
                  <w:tcMar>
                    <w:top w:w="0" w:type="dxa"/>
                    <w:left w:w="0" w:type="dxa"/>
                    <w:bottom w:w="0" w:type="dxa"/>
                    <w:right w:w="0" w:type="dxa"/>
                  </w:tcMar>
                  <w:vAlign w:val="center"/>
                </w:tcPr>
                <w:p w14:paraId="07CFBDEE">
                  <w:pPr>
                    <w:adjustRightInd w:val="0"/>
                    <w:snapToGrid w:val="0"/>
                    <w:jc w:val="center"/>
                    <w:rPr>
                      <w:rFonts w:hint="default"/>
                      <w:color w:val="auto"/>
                      <w:szCs w:val="21"/>
                      <w:lang w:val="en-US" w:eastAsia="zh-CN"/>
                    </w:rPr>
                  </w:pPr>
                  <w:r>
                    <w:rPr>
                      <w:rFonts w:hint="eastAsia"/>
                      <w:color w:val="auto"/>
                      <w:szCs w:val="21"/>
                      <w:lang w:val="en-US" w:eastAsia="zh-CN"/>
                    </w:rPr>
                    <w:t>80</w:t>
                  </w:r>
                </w:p>
              </w:tc>
              <w:tc>
                <w:tcPr>
                  <w:tcW w:w="272" w:type="pct"/>
                  <w:vMerge w:val="continue"/>
                  <w:noWrap w:val="0"/>
                  <w:tcMar>
                    <w:top w:w="0" w:type="dxa"/>
                    <w:left w:w="0" w:type="dxa"/>
                    <w:bottom w:w="0" w:type="dxa"/>
                    <w:right w:w="0" w:type="dxa"/>
                  </w:tcMar>
                  <w:vAlign w:val="center"/>
                </w:tcPr>
                <w:p w14:paraId="637C9A53">
                  <w:pPr>
                    <w:adjustRightInd w:val="0"/>
                    <w:snapToGrid w:val="0"/>
                    <w:jc w:val="center"/>
                    <w:rPr>
                      <w:color w:val="auto"/>
                      <w:szCs w:val="21"/>
                    </w:rPr>
                  </w:pPr>
                </w:p>
              </w:tc>
              <w:tc>
                <w:tcPr>
                  <w:tcW w:w="245" w:type="pct"/>
                  <w:noWrap w:val="0"/>
                  <w:tcMar>
                    <w:top w:w="0" w:type="dxa"/>
                    <w:left w:w="0" w:type="dxa"/>
                    <w:bottom w:w="0" w:type="dxa"/>
                    <w:right w:w="0" w:type="dxa"/>
                  </w:tcMar>
                  <w:vAlign w:val="center"/>
                </w:tcPr>
                <w:p w14:paraId="35C6C1C1">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20</w:t>
                  </w:r>
                </w:p>
              </w:tc>
              <w:tc>
                <w:tcPr>
                  <w:tcW w:w="221" w:type="pct"/>
                  <w:noWrap w:val="0"/>
                  <w:tcMar>
                    <w:top w:w="0" w:type="dxa"/>
                    <w:left w:w="0" w:type="dxa"/>
                    <w:bottom w:w="0" w:type="dxa"/>
                    <w:right w:w="0" w:type="dxa"/>
                  </w:tcMar>
                  <w:vAlign w:val="center"/>
                </w:tcPr>
                <w:p w14:paraId="10F9681B">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110</w:t>
                  </w:r>
                </w:p>
              </w:tc>
              <w:tc>
                <w:tcPr>
                  <w:tcW w:w="149" w:type="pct"/>
                  <w:noWrap w:val="0"/>
                  <w:tcMar>
                    <w:top w:w="0" w:type="dxa"/>
                    <w:left w:w="0" w:type="dxa"/>
                    <w:bottom w:w="0" w:type="dxa"/>
                    <w:right w:w="0" w:type="dxa"/>
                  </w:tcMar>
                  <w:vAlign w:val="center"/>
                </w:tcPr>
                <w:p w14:paraId="60F95611">
                  <w:pPr>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0</w:t>
                  </w:r>
                </w:p>
              </w:tc>
              <w:tc>
                <w:tcPr>
                  <w:tcW w:w="242" w:type="pct"/>
                  <w:noWrap w:val="0"/>
                  <w:tcMar>
                    <w:top w:w="0" w:type="dxa"/>
                    <w:left w:w="0" w:type="dxa"/>
                    <w:bottom w:w="0" w:type="dxa"/>
                    <w:right w:w="0" w:type="dxa"/>
                  </w:tcMar>
                  <w:vAlign w:val="center"/>
                </w:tcPr>
                <w:p w14:paraId="62D67185">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30</w:t>
                  </w:r>
                </w:p>
              </w:tc>
              <w:tc>
                <w:tcPr>
                  <w:tcW w:w="156" w:type="pct"/>
                  <w:noWrap w:val="0"/>
                  <w:tcMar>
                    <w:top w:w="0" w:type="dxa"/>
                    <w:left w:w="0" w:type="dxa"/>
                    <w:bottom w:w="0" w:type="dxa"/>
                    <w:right w:w="0" w:type="dxa"/>
                  </w:tcMar>
                  <w:vAlign w:val="center"/>
                </w:tcPr>
                <w:p w14:paraId="2A9FB708">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80</w:t>
                  </w:r>
                </w:p>
              </w:tc>
              <w:tc>
                <w:tcPr>
                  <w:tcW w:w="141" w:type="pct"/>
                  <w:noWrap w:val="0"/>
                  <w:tcMar>
                    <w:top w:w="0" w:type="dxa"/>
                    <w:left w:w="0" w:type="dxa"/>
                    <w:bottom w:w="0" w:type="dxa"/>
                    <w:right w:w="0" w:type="dxa"/>
                  </w:tcMar>
                  <w:vAlign w:val="center"/>
                </w:tcPr>
                <w:p w14:paraId="57648CBF">
                  <w:pPr>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10</w:t>
                  </w:r>
                </w:p>
              </w:tc>
              <w:tc>
                <w:tcPr>
                  <w:tcW w:w="190" w:type="pct"/>
                  <w:noWrap w:val="0"/>
                  <w:tcMar>
                    <w:top w:w="0" w:type="dxa"/>
                    <w:left w:w="0" w:type="dxa"/>
                    <w:bottom w:w="0" w:type="dxa"/>
                    <w:right w:w="0" w:type="dxa"/>
                  </w:tcMar>
                  <w:vAlign w:val="center"/>
                </w:tcPr>
                <w:p w14:paraId="26B543C6">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15</w:t>
                  </w:r>
                </w:p>
              </w:tc>
              <w:tc>
                <w:tcPr>
                  <w:tcW w:w="347" w:type="pct"/>
                  <w:shd w:val="clear" w:color="auto" w:fill="auto"/>
                  <w:noWrap w:val="0"/>
                  <w:tcMar>
                    <w:top w:w="0" w:type="dxa"/>
                    <w:left w:w="0" w:type="dxa"/>
                    <w:bottom w:w="0" w:type="dxa"/>
                    <w:right w:w="0" w:type="dxa"/>
                  </w:tcMar>
                  <w:vAlign w:val="center"/>
                </w:tcPr>
                <w:p w14:paraId="7B0644A1">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80</w:t>
                  </w:r>
                </w:p>
              </w:tc>
              <w:tc>
                <w:tcPr>
                  <w:tcW w:w="192" w:type="pct"/>
                  <w:vMerge w:val="continue"/>
                  <w:noWrap w:val="0"/>
                  <w:tcMar>
                    <w:top w:w="0" w:type="dxa"/>
                    <w:left w:w="0" w:type="dxa"/>
                    <w:bottom w:w="0" w:type="dxa"/>
                    <w:right w:w="0" w:type="dxa"/>
                  </w:tcMar>
                  <w:vAlign w:val="center"/>
                </w:tcPr>
                <w:p w14:paraId="737D62DA">
                  <w:pPr>
                    <w:adjustRightInd w:val="0"/>
                    <w:snapToGrid w:val="0"/>
                    <w:jc w:val="center"/>
                    <w:rPr>
                      <w:rFonts w:hint="eastAsia"/>
                      <w:color w:val="auto"/>
                      <w:szCs w:val="21"/>
                      <w:lang w:val="en-US" w:eastAsia="zh-CN"/>
                    </w:rPr>
                  </w:pPr>
                </w:p>
              </w:tc>
              <w:tc>
                <w:tcPr>
                  <w:tcW w:w="347" w:type="pct"/>
                  <w:noWrap w:val="0"/>
                  <w:tcMar>
                    <w:top w:w="0" w:type="dxa"/>
                    <w:left w:w="0" w:type="dxa"/>
                    <w:bottom w:w="0" w:type="dxa"/>
                    <w:right w:w="0" w:type="dxa"/>
                  </w:tcMar>
                  <w:vAlign w:val="center"/>
                </w:tcPr>
                <w:p w14:paraId="6BBE1F1F">
                  <w:pPr>
                    <w:adjustRightInd w:val="0"/>
                    <w:snapToGrid w:val="0"/>
                    <w:jc w:val="center"/>
                    <w:rPr>
                      <w:rFonts w:hint="default" w:eastAsia="宋体"/>
                      <w:color w:val="auto"/>
                      <w:szCs w:val="21"/>
                      <w:lang w:val="en-US" w:eastAsia="zh-CN"/>
                    </w:rPr>
                  </w:pPr>
                  <w:r>
                    <w:rPr>
                      <w:rFonts w:hint="eastAsia"/>
                      <w:color w:val="auto"/>
                      <w:szCs w:val="21"/>
                      <w:lang w:val="en-US" w:eastAsia="zh-CN"/>
                    </w:rPr>
                    <w:t>25</w:t>
                  </w:r>
                </w:p>
              </w:tc>
              <w:tc>
                <w:tcPr>
                  <w:tcW w:w="347" w:type="pct"/>
                  <w:noWrap w:val="0"/>
                  <w:tcMar>
                    <w:top w:w="0" w:type="dxa"/>
                    <w:left w:w="0" w:type="dxa"/>
                    <w:bottom w:w="0" w:type="dxa"/>
                    <w:right w:w="0" w:type="dxa"/>
                  </w:tcMar>
                  <w:vAlign w:val="center"/>
                </w:tcPr>
                <w:p w14:paraId="34F8F1FC">
                  <w:pPr>
                    <w:adjustRightInd w:val="0"/>
                    <w:snapToGrid w:val="0"/>
                    <w:jc w:val="center"/>
                    <w:rPr>
                      <w:rFonts w:hint="default" w:eastAsia="宋体"/>
                      <w:color w:val="auto"/>
                      <w:szCs w:val="21"/>
                      <w:lang w:val="en-US" w:eastAsia="zh-CN"/>
                    </w:rPr>
                  </w:pPr>
                  <w:r>
                    <w:rPr>
                      <w:rFonts w:hint="eastAsia"/>
                      <w:color w:val="auto"/>
                      <w:szCs w:val="21"/>
                      <w:lang w:val="en-US" w:eastAsia="zh-CN"/>
                    </w:rPr>
                    <w:t>55</w:t>
                  </w:r>
                </w:p>
              </w:tc>
              <w:tc>
                <w:tcPr>
                  <w:tcW w:w="321" w:type="dxa"/>
                  <w:noWrap w:val="0"/>
                  <w:tcMar>
                    <w:top w:w="0" w:type="dxa"/>
                    <w:left w:w="0" w:type="dxa"/>
                    <w:bottom w:w="0" w:type="dxa"/>
                    <w:right w:w="0" w:type="dxa"/>
                  </w:tcMar>
                  <w:vAlign w:val="center"/>
                </w:tcPr>
                <w:p w14:paraId="75C7CEF8">
                  <w:pPr>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110</w:t>
                  </w:r>
                </w:p>
              </w:tc>
              <w:tc>
                <w:tcPr>
                  <w:tcW w:w="321" w:type="dxa"/>
                  <w:noWrap w:val="0"/>
                  <w:tcMar>
                    <w:top w:w="0" w:type="dxa"/>
                    <w:left w:w="0" w:type="dxa"/>
                    <w:bottom w:w="0" w:type="dxa"/>
                    <w:right w:w="0" w:type="dxa"/>
                  </w:tcMar>
                  <w:vAlign w:val="center"/>
                </w:tcPr>
                <w:p w14:paraId="06043CE1">
                  <w:pPr>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30</w:t>
                  </w:r>
                </w:p>
              </w:tc>
              <w:tc>
                <w:tcPr>
                  <w:tcW w:w="321" w:type="dxa"/>
                  <w:noWrap w:val="0"/>
                  <w:tcMar>
                    <w:top w:w="0" w:type="dxa"/>
                    <w:left w:w="0" w:type="dxa"/>
                    <w:bottom w:w="0" w:type="dxa"/>
                    <w:right w:w="0" w:type="dxa"/>
                  </w:tcMar>
                  <w:vAlign w:val="center"/>
                </w:tcPr>
                <w:p w14:paraId="0E8BEFFA">
                  <w:pPr>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10</w:t>
                  </w:r>
                </w:p>
              </w:tc>
              <w:tc>
                <w:tcPr>
                  <w:tcW w:w="418" w:type="dxa"/>
                  <w:noWrap w:val="0"/>
                  <w:tcMar>
                    <w:top w:w="0" w:type="dxa"/>
                    <w:left w:w="0" w:type="dxa"/>
                    <w:bottom w:w="0" w:type="dxa"/>
                    <w:right w:w="0" w:type="dxa"/>
                  </w:tcMar>
                  <w:vAlign w:val="center"/>
                </w:tcPr>
                <w:p w14:paraId="78C1BE1D">
                  <w:pPr>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50</w:t>
                  </w:r>
                </w:p>
              </w:tc>
            </w:tr>
            <w:tr w14:paraId="1D3FA3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41" w:type="pct"/>
                  <w:noWrap w:val="0"/>
                  <w:tcMar>
                    <w:top w:w="0" w:type="dxa"/>
                    <w:left w:w="0" w:type="dxa"/>
                    <w:bottom w:w="0" w:type="dxa"/>
                    <w:right w:w="0" w:type="dxa"/>
                  </w:tcMar>
                  <w:vAlign w:val="center"/>
                </w:tcPr>
                <w:p w14:paraId="2137517F">
                  <w:pPr>
                    <w:adjustRightInd w:val="0"/>
                    <w:snapToGrid w:val="0"/>
                    <w:jc w:val="center"/>
                    <w:rPr>
                      <w:rFonts w:hint="eastAsia"/>
                      <w:color w:val="auto"/>
                      <w:kern w:val="2"/>
                      <w:sz w:val="21"/>
                      <w:szCs w:val="21"/>
                      <w:lang w:val="en-US" w:eastAsia="zh-CN" w:bidi="ar-SA"/>
                    </w:rPr>
                  </w:pPr>
                  <w:r>
                    <w:rPr>
                      <w:rFonts w:hint="eastAsia"/>
                      <w:color w:val="auto"/>
                      <w:szCs w:val="21"/>
                    </w:rPr>
                    <w:t>3</w:t>
                  </w:r>
                </w:p>
              </w:tc>
              <w:tc>
                <w:tcPr>
                  <w:tcW w:w="250" w:type="pct"/>
                  <w:vMerge w:val="continue"/>
                  <w:noWrap w:val="0"/>
                  <w:tcMar>
                    <w:top w:w="0" w:type="dxa"/>
                    <w:left w:w="0" w:type="dxa"/>
                    <w:bottom w:w="0" w:type="dxa"/>
                    <w:right w:w="0" w:type="dxa"/>
                  </w:tcMar>
                  <w:vAlign w:val="center"/>
                </w:tcPr>
                <w:p w14:paraId="41E8100C">
                  <w:pPr>
                    <w:adjustRightInd w:val="0"/>
                    <w:snapToGrid w:val="0"/>
                    <w:jc w:val="center"/>
                    <w:rPr>
                      <w:color w:val="auto"/>
                      <w:szCs w:val="21"/>
                    </w:rPr>
                  </w:pPr>
                </w:p>
              </w:tc>
              <w:tc>
                <w:tcPr>
                  <w:tcW w:w="418" w:type="pct"/>
                  <w:shd w:val="clear" w:color="auto" w:fill="auto"/>
                  <w:noWrap w:val="0"/>
                  <w:tcMar>
                    <w:top w:w="0" w:type="dxa"/>
                    <w:left w:w="0" w:type="dxa"/>
                    <w:bottom w:w="0" w:type="dxa"/>
                    <w:right w:w="0" w:type="dxa"/>
                  </w:tcMar>
                  <w:vAlign w:val="center"/>
                </w:tcPr>
                <w:p w14:paraId="2CC714F3">
                  <w:pPr>
                    <w:pStyle w:val="91"/>
                    <w:keepNext w:val="0"/>
                    <w:keepLines w:val="0"/>
                    <w:pageBreakBefore w:val="0"/>
                    <w:kinsoku/>
                    <w:wordWrap/>
                    <w:overflowPunct/>
                    <w:topLinePunct w:val="0"/>
                    <w:bidi w:val="0"/>
                    <w:adjustRightInd w:val="0"/>
                    <w:snapToGrid w:val="0"/>
                    <w:rPr>
                      <w:rFonts w:hint="eastAsia" w:ascii="Times New Roman" w:hAnsi="Times New Roman" w:eastAsia="宋体" w:cs="Times New Roman"/>
                      <w:b w:val="0"/>
                      <w:bCs/>
                      <w:color w:val="auto"/>
                      <w:kern w:val="2"/>
                      <w:sz w:val="21"/>
                      <w:szCs w:val="21"/>
                      <w:lang w:val="en-US" w:eastAsia="zh-CN" w:bidi="ar-SA"/>
                    </w:rPr>
                  </w:pPr>
                  <w:r>
                    <w:rPr>
                      <w:rFonts w:ascii="Times New Roman" w:hAnsi="Times New Roman" w:eastAsia="宋体"/>
                      <w:b w:val="0"/>
                      <w:bCs/>
                      <w:color w:val="auto"/>
                      <w:sz w:val="21"/>
                      <w:szCs w:val="21"/>
                    </w:rPr>
                    <w:t>挤出机</w:t>
                  </w:r>
                </w:p>
              </w:tc>
              <w:tc>
                <w:tcPr>
                  <w:tcW w:w="211" w:type="pct"/>
                  <w:shd w:val="clear" w:color="auto" w:fill="auto"/>
                  <w:noWrap w:val="0"/>
                  <w:tcMar>
                    <w:top w:w="0" w:type="dxa"/>
                    <w:left w:w="0" w:type="dxa"/>
                    <w:bottom w:w="0" w:type="dxa"/>
                    <w:right w:w="0" w:type="dxa"/>
                  </w:tcMar>
                  <w:vAlign w:val="center"/>
                </w:tcPr>
                <w:p w14:paraId="5D897289">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c>
                <w:tcPr>
                  <w:tcW w:w="299" w:type="pct"/>
                  <w:noWrap w:val="0"/>
                  <w:tcMar>
                    <w:top w:w="0" w:type="dxa"/>
                    <w:left w:w="0" w:type="dxa"/>
                    <w:bottom w:w="0" w:type="dxa"/>
                    <w:right w:w="0" w:type="dxa"/>
                  </w:tcMar>
                  <w:vAlign w:val="center"/>
                </w:tcPr>
                <w:p w14:paraId="5208FA16">
                  <w:pPr>
                    <w:adjustRightInd w:val="0"/>
                    <w:snapToGrid w:val="0"/>
                    <w:jc w:val="center"/>
                    <w:rPr>
                      <w:rFonts w:hint="default" w:eastAsia="宋体"/>
                      <w:color w:val="auto"/>
                      <w:szCs w:val="21"/>
                      <w:lang w:val="en-US" w:eastAsia="zh-CN"/>
                    </w:rPr>
                  </w:pPr>
                  <w:r>
                    <w:rPr>
                      <w:rFonts w:hint="eastAsia"/>
                      <w:color w:val="auto"/>
                      <w:szCs w:val="21"/>
                      <w:lang w:val="en-US" w:eastAsia="zh-CN"/>
                    </w:rPr>
                    <w:t>85</w:t>
                  </w:r>
                </w:p>
              </w:tc>
              <w:tc>
                <w:tcPr>
                  <w:tcW w:w="272" w:type="pct"/>
                  <w:vMerge w:val="continue"/>
                  <w:noWrap w:val="0"/>
                  <w:tcMar>
                    <w:top w:w="0" w:type="dxa"/>
                    <w:left w:w="0" w:type="dxa"/>
                    <w:bottom w:w="0" w:type="dxa"/>
                    <w:right w:w="0" w:type="dxa"/>
                  </w:tcMar>
                  <w:vAlign w:val="center"/>
                </w:tcPr>
                <w:p w14:paraId="09F5CD38">
                  <w:pPr>
                    <w:adjustRightInd w:val="0"/>
                    <w:snapToGrid w:val="0"/>
                    <w:jc w:val="center"/>
                    <w:rPr>
                      <w:color w:val="auto"/>
                      <w:szCs w:val="21"/>
                    </w:rPr>
                  </w:pPr>
                </w:p>
              </w:tc>
              <w:tc>
                <w:tcPr>
                  <w:tcW w:w="245" w:type="pct"/>
                  <w:noWrap w:val="0"/>
                  <w:tcMar>
                    <w:top w:w="0" w:type="dxa"/>
                    <w:left w:w="0" w:type="dxa"/>
                    <w:bottom w:w="0" w:type="dxa"/>
                    <w:right w:w="0" w:type="dxa"/>
                  </w:tcMar>
                  <w:vAlign w:val="center"/>
                </w:tcPr>
                <w:p w14:paraId="03F08A0C">
                  <w:pPr>
                    <w:adjustRightInd w:val="0"/>
                    <w:snapToGrid w:val="0"/>
                    <w:jc w:val="center"/>
                    <w:rPr>
                      <w:rFonts w:hint="default" w:eastAsia="宋体"/>
                      <w:color w:val="auto"/>
                      <w:szCs w:val="21"/>
                      <w:lang w:val="en-US" w:eastAsia="zh-CN"/>
                    </w:rPr>
                  </w:pPr>
                  <w:r>
                    <w:rPr>
                      <w:rFonts w:hint="eastAsia"/>
                      <w:color w:val="auto"/>
                      <w:szCs w:val="21"/>
                      <w:lang w:val="en-US" w:eastAsia="zh-CN"/>
                    </w:rPr>
                    <w:t>20</w:t>
                  </w:r>
                </w:p>
              </w:tc>
              <w:tc>
                <w:tcPr>
                  <w:tcW w:w="221" w:type="pct"/>
                  <w:noWrap w:val="0"/>
                  <w:tcMar>
                    <w:top w:w="0" w:type="dxa"/>
                    <w:left w:w="0" w:type="dxa"/>
                    <w:bottom w:w="0" w:type="dxa"/>
                    <w:right w:w="0" w:type="dxa"/>
                  </w:tcMar>
                  <w:vAlign w:val="center"/>
                </w:tcPr>
                <w:p w14:paraId="2EE8A663">
                  <w:pPr>
                    <w:adjustRightInd w:val="0"/>
                    <w:snapToGrid w:val="0"/>
                    <w:jc w:val="center"/>
                    <w:rPr>
                      <w:rFonts w:hint="default" w:eastAsia="宋体"/>
                      <w:color w:val="auto"/>
                      <w:szCs w:val="21"/>
                      <w:lang w:val="en-US" w:eastAsia="zh-CN"/>
                    </w:rPr>
                  </w:pPr>
                  <w:r>
                    <w:rPr>
                      <w:rFonts w:hint="eastAsia"/>
                      <w:color w:val="auto"/>
                      <w:szCs w:val="21"/>
                      <w:lang w:val="en-US" w:eastAsia="zh-CN"/>
                    </w:rPr>
                    <w:t>100</w:t>
                  </w:r>
                </w:p>
              </w:tc>
              <w:tc>
                <w:tcPr>
                  <w:tcW w:w="149" w:type="pct"/>
                  <w:noWrap w:val="0"/>
                  <w:tcMar>
                    <w:top w:w="0" w:type="dxa"/>
                    <w:left w:w="0" w:type="dxa"/>
                    <w:bottom w:w="0" w:type="dxa"/>
                    <w:right w:w="0" w:type="dxa"/>
                  </w:tcMar>
                  <w:vAlign w:val="center"/>
                </w:tcPr>
                <w:p w14:paraId="5E514C11">
                  <w:pPr>
                    <w:adjustRightInd w:val="0"/>
                    <w:snapToGrid w:val="0"/>
                    <w:jc w:val="center"/>
                    <w:rPr>
                      <w:rFonts w:hint="eastAsia" w:eastAsia="宋体"/>
                      <w:color w:val="auto"/>
                      <w:szCs w:val="21"/>
                      <w:lang w:val="en-US" w:eastAsia="zh-CN"/>
                    </w:rPr>
                  </w:pPr>
                  <w:r>
                    <w:rPr>
                      <w:rFonts w:hint="eastAsia"/>
                      <w:color w:val="auto"/>
                      <w:szCs w:val="21"/>
                      <w:lang w:val="en-US" w:eastAsia="zh-CN"/>
                    </w:rPr>
                    <w:t>0</w:t>
                  </w:r>
                </w:p>
              </w:tc>
              <w:tc>
                <w:tcPr>
                  <w:tcW w:w="242" w:type="pct"/>
                  <w:noWrap w:val="0"/>
                  <w:tcMar>
                    <w:top w:w="0" w:type="dxa"/>
                    <w:left w:w="0" w:type="dxa"/>
                    <w:bottom w:w="0" w:type="dxa"/>
                    <w:right w:w="0" w:type="dxa"/>
                  </w:tcMar>
                  <w:vAlign w:val="center"/>
                </w:tcPr>
                <w:p w14:paraId="4DA5B34B">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30</w:t>
                  </w:r>
                </w:p>
              </w:tc>
              <w:tc>
                <w:tcPr>
                  <w:tcW w:w="156" w:type="pct"/>
                  <w:noWrap w:val="0"/>
                  <w:tcMar>
                    <w:top w:w="0" w:type="dxa"/>
                    <w:left w:w="0" w:type="dxa"/>
                    <w:bottom w:w="0" w:type="dxa"/>
                    <w:right w:w="0" w:type="dxa"/>
                  </w:tcMar>
                  <w:vAlign w:val="center"/>
                </w:tcPr>
                <w:p w14:paraId="07E99F81">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45</w:t>
                  </w:r>
                </w:p>
              </w:tc>
              <w:tc>
                <w:tcPr>
                  <w:tcW w:w="141" w:type="pct"/>
                  <w:noWrap w:val="0"/>
                  <w:tcMar>
                    <w:top w:w="0" w:type="dxa"/>
                    <w:left w:w="0" w:type="dxa"/>
                    <w:bottom w:w="0" w:type="dxa"/>
                    <w:right w:w="0" w:type="dxa"/>
                  </w:tcMar>
                  <w:vAlign w:val="center"/>
                </w:tcPr>
                <w:p w14:paraId="63589AE1">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10</w:t>
                  </w:r>
                </w:p>
              </w:tc>
              <w:tc>
                <w:tcPr>
                  <w:tcW w:w="190" w:type="pct"/>
                  <w:noWrap w:val="0"/>
                  <w:tcMar>
                    <w:top w:w="0" w:type="dxa"/>
                    <w:left w:w="0" w:type="dxa"/>
                    <w:bottom w:w="0" w:type="dxa"/>
                    <w:right w:w="0" w:type="dxa"/>
                  </w:tcMar>
                  <w:vAlign w:val="center"/>
                </w:tcPr>
                <w:p w14:paraId="4D93220F">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20</w:t>
                  </w:r>
                </w:p>
              </w:tc>
              <w:tc>
                <w:tcPr>
                  <w:tcW w:w="347" w:type="pct"/>
                  <w:shd w:val="clear" w:color="auto" w:fill="auto"/>
                  <w:noWrap w:val="0"/>
                  <w:tcMar>
                    <w:top w:w="0" w:type="dxa"/>
                    <w:left w:w="0" w:type="dxa"/>
                    <w:bottom w:w="0" w:type="dxa"/>
                    <w:right w:w="0" w:type="dxa"/>
                  </w:tcMar>
                  <w:vAlign w:val="center"/>
                </w:tcPr>
                <w:p w14:paraId="0E2A658A">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85</w:t>
                  </w:r>
                </w:p>
              </w:tc>
              <w:tc>
                <w:tcPr>
                  <w:tcW w:w="192" w:type="pct"/>
                  <w:vMerge w:val="continue"/>
                  <w:noWrap w:val="0"/>
                  <w:tcMar>
                    <w:top w:w="0" w:type="dxa"/>
                    <w:left w:w="0" w:type="dxa"/>
                    <w:bottom w:w="0" w:type="dxa"/>
                    <w:right w:w="0" w:type="dxa"/>
                  </w:tcMar>
                  <w:vAlign w:val="center"/>
                </w:tcPr>
                <w:p w14:paraId="098A12B7">
                  <w:pPr>
                    <w:adjustRightInd w:val="0"/>
                    <w:snapToGrid w:val="0"/>
                    <w:jc w:val="center"/>
                    <w:rPr>
                      <w:color w:val="auto"/>
                      <w:szCs w:val="21"/>
                    </w:rPr>
                  </w:pPr>
                </w:p>
              </w:tc>
              <w:tc>
                <w:tcPr>
                  <w:tcW w:w="347" w:type="pct"/>
                  <w:noWrap w:val="0"/>
                  <w:tcMar>
                    <w:top w:w="0" w:type="dxa"/>
                    <w:left w:w="0" w:type="dxa"/>
                    <w:bottom w:w="0" w:type="dxa"/>
                    <w:right w:w="0" w:type="dxa"/>
                  </w:tcMar>
                  <w:vAlign w:val="center"/>
                </w:tcPr>
                <w:p w14:paraId="229F08CF">
                  <w:pPr>
                    <w:adjustRightInd w:val="0"/>
                    <w:snapToGrid w:val="0"/>
                    <w:jc w:val="center"/>
                    <w:rPr>
                      <w:rFonts w:hint="eastAsia"/>
                      <w:color w:val="auto"/>
                      <w:szCs w:val="21"/>
                    </w:rPr>
                  </w:pPr>
                  <w:r>
                    <w:rPr>
                      <w:rFonts w:hint="eastAsia"/>
                      <w:color w:val="auto"/>
                      <w:szCs w:val="21"/>
                    </w:rPr>
                    <w:t>25</w:t>
                  </w:r>
                </w:p>
              </w:tc>
              <w:tc>
                <w:tcPr>
                  <w:tcW w:w="347" w:type="pct"/>
                  <w:noWrap w:val="0"/>
                  <w:tcMar>
                    <w:top w:w="0" w:type="dxa"/>
                    <w:left w:w="0" w:type="dxa"/>
                    <w:bottom w:w="0" w:type="dxa"/>
                    <w:right w:w="0" w:type="dxa"/>
                  </w:tcMar>
                  <w:vAlign w:val="center"/>
                </w:tcPr>
                <w:p w14:paraId="015C7D68">
                  <w:pPr>
                    <w:adjustRightInd w:val="0"/>
                    <w:snapToGrid w:val="0"/>
                    <w:jc w:val="center"/>
                    <w:rPr>
                      <w:rFonts w:hint="default" w:eastAsia="宋体"/>
                      <w:color w:val="auto"/>
                      <w:szCs w:val="21"/>
                      <w:lang w:val="en-US" w:eastAsia="zh-CN"/>
                    </w:rPr>
                  </w:pPr>
                  <w:r>
                    <w:rPr>
                      <w:rFonts w:hint="eastAsia" w:eastAsia="宋体"/>
                      <w:color w:val="auto"/>
                      <w:szCs w:val="21"/>
                      <w:lang w:val="en-US" w:eastAsia="zh-CN"/>
                    </w:rPr>
                    <w:t>60</w:t>
                  </w:r>
                </w:p>
              </w:tc>
              <w:tc>
                <w:tcPr>
                  <w:tcW w:w="321" w:type="dxa"/>
                  <w:noWrap w:val="0"/>
                  <w:tcMar>
                    <w:top w:w="0" w:type="dxa"/>
                    <w:left w:w="0" w:type="dxa"/>
                    <w:bottom w:w="0" w:type="dxa"/>
                    <w:right w:w="0" w:type="dxa"/>
                  </w:tcMar>
                  <w:vAlign w:val="center"/>
                </w:tcPr>
                <w:p w14:paraId="0E2BCCD8">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110</w:t>
                  </w:r>
                </w:p>
              </w:tc>
              <w:tc>
                <w:tcPr>
                  <w:tcW w:w="321" w:type="dxa"/>
                  <w:noWrap w:val="0"/>
                  <w:tcMar>
                    <w:top w:w="0" w:type="dxa"/>
                    <w:left w:w="0" w:type="dxa"/>
                    <w:bottom w:w="0" w:type="dxa"/>
                    <w:right w:w="0" w:type="dxa"/>
                  </w:tcMar>
                  <w:vAlign w:val="center"/>
                </w:tcPr>
                <w:p w14:paraId="298240C0">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30</w:t>
                  </w:r>
                </w:p>
              </w:tc>
              <w:tc>
                <w:tcPr>
                  <w:tcW w:w="321" w:type="dxa"/>
                  <w:noWrap w:val="0"/>
                  <w:tcMar>
                    <w:top w:w="0" w:type="dxa"/>
                    <w:left w:w="0" w:type="dxa"/>
                    <w:bottom w:w="0" w:type="dxa"/>
                    <w:right w:w="0" w:type="dxa"/>
                  </w:tcMar>
                  <w:vAlign w:val="center"/>
                </w:tcPr>
                <w:p w14:paraId="47E6502A">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10</w:t>
                  </w:r>
                </w:p>
              </w:tc>
              <w:tc>
                <w:tcPr>
                  <w:tcW w:w="418" w:type="dxa"/>
                  <w:noWrap w:val="0"/>
                  <w:tcMar>
                    <w:top w:w="0" w:type="dxa"/>
                    <w:left w:w="0" w:type="dxa"/>
                    <w:bottom w:w="0" w:type="dxa"/>
                    <w:right w:w="0" w:type="dxa"/>
                  </w:tcMar>
                  <w:vAlign w:val="center"/>
                </w:tcPr>
                <w:p w14:paraId="2464CDB7">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50</w:t>
                  </w:r>
                </w:p>
              </w:tc>
            </w:tr>
            <w:tr w14:paraId="34B653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41" w:type="pct"/>
                  <w:noWrap w:val="0"/>
                  <w:tcMar>
                    <w:top w:w="0" w:type="dxa"/>
                    <w:left w:w="0" w:type="dxa"/>
                    <w:bottom w:w="0" w:type="dxa"/>
                    <w:right w:w="0" w:type="dxa"/>
                  </w:tcMar>
                  <w:vAlign w:val="center"/>
                </w:tcPr>
                <w:p w14:paraId="669F688E">
                  <w:pPr>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4</w:t>
                  </w:r>
                </w:p>
              </w:tc>
              <w:tc>
                <w:tcPr>
                  <w:tcW w:w="250" w:type="pct"/>
                  <w:vMerge w:val="continue"/>
                  <w:noWrap w:val="0"/>
                  <w:tcMar>
                    <w:top w:w="0" w:type="dxa"/>
                    <w:left w:w="0" w:type="dxa"/>
                    <w:bottom w:w="0" w:type="dxa"/>
                    <w:right w:w="0" w:type="dxa"/>
                  </w:tcMar>
                  <w:vAlign w:val="center"/>
                </w:tcPr>
                <w:p w14:paraId="33DD9784">
                  <w:pPr>
                    <w:adjustRightInd w:val="0"/>
                    <w:snapToGrid w:val="0"/>
                    <w:jc w:val="center"/>
                    <w:rPr>
                      <w:color w:val="auto"/>
                      <w:szCs w:val="21"/>
                    </w:rPr>
                  </w:pPr>
                </w:p>
              </w:tc>
              <w:tc>
                <w:tcPr>
                  <w:tcW w:w="418" w:type="pct"/>
                  <w:shd w:val="clear" w:color="auto" w:fill="auto"/>
                  <w:noWrap w:val="0"/>
                  <w:tcMar>
                    <w:top w:w="0" w:type="dxa"/>
                    <w:left w:w="0" w:type="dxa"/>
                    <w:bottom w:w="0" w:type="dxa"/>
                    <w:right w:w="0" w:type="dxa"/>
                  </w:tcMar>
                  <w:vAlign w:val="center"/>
                </w:tcPr>
                <w:p w14:paraId="02ADE38A">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振动筛</w:t>
                  </w:r>
                </w:p>
              </w:tc>
              <w:tc>
                <w:tcPr>
                  <w:tcW w:w="211" w:type="pct"/>
                  <w:shd w:val="clear" w:color="auto" w:fill="auto"/>
                  <w:noWrap w:val="0"/>
                  <w:tcMar>
                    <w:top w:w="0" w:type="dxa"/>
                    <w:left w:w="0" w:type="dxa"/>
                    <w:bottom w:w="0" w:type="dxa"/>
                    <w:right w:w="0" w:type="dxa"/>
                  </w:tcMar>
                  <w:vAlign w:val="center"/>
                </w:tcPr>
                <w:p w14:paraId="7B8A5036">
                  <w:pPr>
                    <w:keepNext w:val="0"/>
                    <w:keepLines w:val="0"/>
                    <w:pageBreakBefore w:val="0"/>
                    <w:widowControl/>
                    <w:kinsoku/>
                    <w:wordWrap/>
                    <w:overflowPunct/>
                    <w:topLinePunct w:val="0"/>
                    <w:bidi w:val="0"/>
                    <w:adjustRightInd w:val="0"/>
                    <w:snapToGrid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299" w:type="pct"/>
                  <w:noWrap w:val="0"/>
                  <w:tcMar>
                    <w:top w:w="0" w:type="dxa"/>
                    <w:left w:w="0" w:type="dxa"/>
                    <w:bottom w:w="0" w:type="dxa"/>
                    <w:right w:w="0" w:type="dxa"/>
                  </w:tcMar>
                  <w:vAlign w:val="center"/>
                </w:tcPr>
                <w:p w14:paraId="44D11453">
                  <w:pPr>
                    <w:adjustRightInd w:val="0"/>
                    <w:snapToGrid w:val="0"/>
                    <w:jc w:val="center"/>
                    <w:rPr>
                      <w:rFonts w:hint="default"/>
                      <w:color w:val="auto"/>
                      <w:szCs w:val="21"/>
                      <w:lang w:val="en-US" w:eastAsia="zh-CN"/>
                    </w:rPr>
                  </w:pPr>
                  <w:r>
                    <w:rPr>
                      <w:rFonts w:hint="eastAsia"/>
                      <w:color w:val="auto"/>
                      <w:szCs w:val="21"/>
                      <w:lang w:val="en-US" w:eastAsia="zh-CN"/>
                    </w:rPr>
                    <w:t>85</w:t>
                  </w:r>
                </w:p>
              </w:tc>
              <w:tc>
                <w:tcPr>
                  <w:tcW w:w="272" w:type="pct"/>
                  <w:vMerge w:val="continue"/>
                  <w:noWrap w:val="0"/>
                  <w:tcMar>
                    <w:top w:w="0" w:type="dxa"/>
                    <w:left w:w="0" w:type="dxa"/>
                    <w:bottom w:w="0" w:type="dxa"/>
                    <w:right w:w="0" w:type="dxa"/>
                  </w:tcMar>
                  <w:vAlign w:val="center"/>
                </w:tcPr>
                <w:p w14:paraId="286D1B18">
                  <w:pPr>
                    <w:adjustRightInd w:val="0"/>
                    <w:snapToGrid w:val="0"/>
                    <w:jc w:val="center"/>
                    <w:rPr>
                      <w:color w:val="auto"/>
                      <w:szCs w:val="21"/>
                    </w:rPr>
                  </w:pPr>
                </w:p>
              </w:tc>
              <w:tc>
                <w:tcPr>
                  <w:tcW w:w="245" w:type="pct"/>
                  <w:noWrap w:val="0"/>
                  <w:tcMar>
                    <w:top w:w="0" w:type="dxa"/>
                    <w:left w:w="0" w:type="dxa"/>
                    <w:bottom w:w="0" w:type="dxa"/>
                    <w:right w:w="0" w:type="dxa"/>
                  </w:tcMar>
                  <w:vAlign w:val="center"/>
                </w:tcPr>
                <w:p w14:paraId="07C3E260">
                  <w:pPr>
                    <w:adjustRightInd w:val="0"/>
                    <w:snapToGrid w:val="0"/>
                    <w:jc w:val="center"/>
                    <w:rPr>
                      <w:rFonts w:hint="default" w:eastAsia="宋体"/>
                      <w:color w:val="auto"/>
                      <w:szCs w:val="21"/>
                      <w:lang w:val="en-US" w:eastAsia="zh-CN"/>
                    </w:rPr>
                  </w:pPr>
                  <w:r>
                    <w:rPr>
                      <w:rFonts w:hint="eastAsia"/>
                      <w:color w:val="auto"/>
                      <w:szCs w:val="21"/>
                      <w:lang w:val="en-US" w:eastAsia="zh-CN"/>
                    </w:rPr>
                    <w:t>15</w:t>
                  </w:r>
                </w:p>
              </w:tc>
              <w:tc>
                <w:tcPr>
                  <w:tcW w:w="221" w:type="pct"/>
                  <w:noWrap w:val="0"/>
                  <w:tcMar>
                    <w:top w:w="0" w:type="dxa"/>
                    <w:left w:w="0" w:type="dxa"/>
                    <w:bottom w:w="0" w:type="dxa"/>
                    <w:right w:w="0" w:type="dxa"/>
                  </w:tcMar>
                  <w:vAlign w:val="center"/>
                </w:tcPr>
                <w:p w14:paraId="03D8F4DA">
                  <w:pPr>
                    <w:adjustRightInd w:val="0"/>
                    <w:snapToGrid w:val="0"/>
                    <w:jc w:val="center"/>
                    <w:rPr>
                      <w:rFonts w:hint="default" w:eastAsia="宋体"/>
                      <w:color w:val="auto"/>
                      <w:szCs w:val="21"/>
                      <w:lang w:val="en-US" w:eastAsia="zh-CN"/>
                    </w:rPr>
                  </w:pPr>
                  <w:r>
                    <w:rPr>
                      <w:rFonts w:hint="eastAsia"/>
                      <w:color w:val="auto"/>
                      <w:szCs w:val="21"/>
                      <w:lang w:val="en-US" w:eastAsia="zh-CN"/>
                    </w:rPr>
                    <w:t>100</w:t>
                  </w:r>
                </w:p>
              </w:tc>
              <w:tc>
                <w:tcPr>
                  <w:tcW w:w="149" w:type="pct"/>
                  <w:noWrap w:val="0"/>
                  <w:tcMar>
                    <w:top w:w="0" w:type="dxa"/>
                    <w:left w:w="0" w:type="dxa"/>
                    <w:bottom w:w="0" w:type="dxa"/>
                    <w:right w:w="0" w:type="dxa"/>
                  </w:tcMar>
                  <w:vAlign w:val="center"/>
                </w:tcPr>
                <w:p w14:paraId="0146CE46">
                  <w:pPr>
                    <w:adjustRightInd w:val="0"/>
                    <w:snapToGrid w:val="0"/>
                    <w:jc w:val="center"/>
                    <w:rPr>
                      <w:rFonts w:hint="default"/>
                      <w:color w:val="auto"/>
                      <w:szCs w:val="21"/>
                      <w:lang w:val="en-US" w:eastAsia="zh-CN"/>
                    </w:rPr>
                  </w:pPr>
                  <w:r>
                    <w:rPr>
                      <w:rFonts w:hint="eastAsia"/>
                      <w:color w:val="auto"/>
                      <w:szCs w:val="21"/>
                      <w:lang w:val="en-US" w:eastAsia="zh-CN"/>
                    </w:rPr>
                    <w:t>0</w:t>
                  </w:r>
                </w:p>
              </w:tc>
              <w:tc>
                <w:tcPr>
                  <w:tcW w:w="242" w:type="pct"/>
                  <w:noWrap w:val="0"/>
                  <w:tcMar>
                    <w:top w:w="0" w:type="dxa"/>
                    <w:left w:w="0" w:type="dxa"/>
                    <w:bottom w:w="0" w:type="dxa"/>
                    <w:right w:w="0" w:type="dxa"/>
                  </w:tcMar>
                  <w:vAlign w:val="center"/>
                </w:tcPr>
                <w:p w14:paraId="6F67689F">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35</w:t>
                  </w:r>
                </w:p>
              </w:tc>
              <w:tc>
                <w:tcPr>
                  <w:tcW w:w="156" w:type="pct"/>
                  <w:noWrap w:val="0"/>
                  <w:tcMar>
                    <w:top w:w="0" w:type="dxa"/>
                    <w:left w:w="0" w:type="dxa"/>
                    <w:bottom w:w="0" w:type="dxa"/>
                    <w:right w:w="0" w:type="dxa"/>
                  </w:tcMar>
                  <w:vAlign w:val="center"/>
                </w:tcPr>
                <w:p w14:paraId="0B956DDC">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45</w:t>
                  </w:r>
                </w:p>
              </w:tc>
              <w:tc>
                <w:tcPr>
                  <w:tcW w:w="141" w:type="pct"/>
                  <w:noWrap w:val="0"/>
                  <w:tcMar>
                    <w:top w:w="0" w:type="dxa"/>
                    <w:left w:w="0" w:type="dxa"/>
                    <w:bottom w:w="0" w:type="dxa"/>
                    <w:right w:w="0" w:type="dxa"/>
                  </w:tcMar>
                  <w:vAlign w:val="center"/>
                </w:tcPr>
                <w:p w14:paraId="7B6CF182">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10</w:t>
                  </w:r>
                </w:p>
              </w:tc>
              <w:tc>
                <w:tcPr>
                  <w:tcW w:w="190" w:type="pct"/>
                  <w:noWrap w:val="0"/>
                  <w:tcMar>
                    <w:top w:w="0" w:type="dxa"/>
                    <w:left w:w="0" w:type="dxa"/>
                    <w:bottom w:w="0" w:type="dxa"/>
                    <w:right w:w="0" w:type="dxa"/>
                  </w:tcMar>
                  <w:vAlign w:val="center"/>
                </w:tcPr>
                <w:p w14:paraId="5474701E">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20</w:t>
                  </w:r>
                </w:p>
              </w:tc>
              <w:tc>
                <w:tcPr>
                  <w:tcW w:w="347" w:type="pct"/>
                  <w:shd w:val="clear" w:color="auto" w:fill="auto"/>
                  <w:noWrap w:val="0"/>
                  <w:tcMar>
                    <w:top w:w="0" w:type="dxa"/>
                    <w:left w:w="0" w:type="dxa"/>
                    <w:bottom w:w="0" w:type="dxa"/>
                    <w:right w:w="0" w:type="dxa"/>
                  </w:tcMar>
                  <w:vAlign w:val="center"/>
                </w:tcPr>
                <w:p w14:paraId="75F93FDE">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85</w:t>
                  </w:r>
                </w:p>
              </w:tc>
              <w:tc>
                <w:tcPr>
                  <w:tcW w:w="192" w:type="pct"/>
                  <w:vMerge w:val="continue"/>
                  <w:noWrap w:val="0"/>
                  <w:tcMar>
                    <w:top w:w="0" w:type="dxa"/>
                    <w:left w:w="0" w:type="dxa"/>
                    <w:bottom w:w="0" w:type="dxa"/>
                    <w:right w:w="0" w:type="dxa"/>
                  </w:tcMar>
                  <w:vAlign w:val="center"/>
                </w:tcPr>
                <w:p w14:paraId="2811515A">
                  <w:pPr>
                    <w:adjustRightInd w:val="0"/>
                    <w:snapToGrid w:val="0"/>
                    <w:jc w:val="center"/>
                    <w:rPr>
                      <w:color w:val="auto"/>
                      <w:szCs w:val="21"/>
                    </w:rPr>
                  </w:pPr>
                </w:p>
              </w:tc>
              <w:tc>
                <w:tcPr>
                  <w:tcW w:w="347" w:type="pct"/>
                  <w:noWrap w:val="0"/>
                  <w:tcMar>
                    <w:top w:w="0" w:type="dxa"/>
                    <w:left w:w="0" w:type="dxa"/>
                    <w:bottom w:w="0" w:type="dxa"/>
                    <w:right w:w="0" w:type="dxa"/>
                  </w:tcMar>
                  <w:vAlign w:val="center"/>
                </w:tcPr>
                <w:p w14:paraId="2D816DDD">
                  <w:pPr>
                    <w:adjustRightInd w:val="0"/>
                    <w:snapToGrid w:val="0"/>
                    <w:jc w:val="center"/>
                    <w:rPr>
                      <w:rFonts w:hint="eastAsia"/>
                      <w:color w:val="auto"/>
                      <w:szCs w:val="21"/>
                    </w:rPr>
                  </w:pPr>
                  <w:r>
                    <w:rPr>
                      <w:rFonts w:hint="eastAsia"/>
                      <w:color w:val="auto"/>
                      <w:szCs w:val="21"/>
                    </w:rPr>
                    <w:t>25</w:t>
                  </w:r>
                </w:p>
              </w:tc>
              <w:tc>
                <w:tcPr>
                  <w:tcW w:w="347" w:type="pct"/>
                  <w:noWrap w:val="0"/>
                  <w:tcMar>
                    <w:top w:w="0" w:type="dxa"/>
                    <w:left w:w="0" w:type="dxa"/>
                    <w:bottom w:w="0" w:type="dxa"/>
                    <w:right w:w="0" w:type="dxa"/>
                  </w:tcMar>
                  <w:vAlign w:val="center"/>
                </w:tcPr>
                <w:p w14:paraId="3B6BAC44">
                  <w:pPr>
                    <w:adjustRightInd w:val="0"/>
                    <w:snapToGrid w:val="0"/>
                    <w:jc w:val="center"/>
                    <w:rPr>
                      <w:rFonts w:hint="default"/>
                      <w:color w:val="auto"/>
                      <w:szCs w:val="21"/>
                      <w:lang w:val="en-US" w:eastAsia="zh-CN"/>
                    </w:rPr>
                  </w:pPr>
                  <w:r>
                    <w:rPr>
                      <w:rFonts w:hint="eastAsia"/>
                      <w:color w:val="auto"/>
                      <w:szCs w:val="21"/>
                      <w:lang w:val="en-US" w:eastAsia="zh-CN"/>
                    </w:rPr>
                    <w:t>60</w:t>
                  </w:r>
                </w:p>
              </w:tc>
              <w:tc>
                <w:tcPr>
                  <w:tcW w:w="321" w:type="dxa"/>
                  <w:noWrap w:val="0"/>
                  <w:tcMar>
                    <w:top w:w="0" w:type="dxa"/>
                    <w:left w:w="0" w:type="dxa"/>
                    <w:bottom w:w="0" w:type="dxa"/>
                    <w:right w:w="0" w:type="dxa"/>
                  </w:tcMar>
                  <w:vAlign w:val="center"/>
                </w:tcPr>
                <w:p w14:paraId="6599033D">
                  <w:pPr>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110</w:t>
                  </w:r>
                </w:p>
              </w:tc>
              <w:tc>
                <w:tcPr>
                  <w:tcW w:w="321" w:type="dxa"/>
                  <w:noWrap w:val="0"/>
                  <w:tcMar>
                    <w:top w:w="0" w:type="dxa"/>
                    <w:left w:w="0" w:type="dxa"/>
                    <w:bottom w:w="0" w:type="dxa"/>
                    <w:right w:w="0" w:type="dxa"/>
                  </w:tcMar>
                  <w:vAlign w:val="center"/>
                </w:tcPr>
                <w:p w14:paraId="7EEA6333">
                  <w:pPr>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30</w:t>
                  </w:r>
                </w:p>
              </w:tc>
              <w:tc>
                <w:tcPr>
                  <w:tcW w:w="321" w:type="dxa"/>
                  <w:noWrap w:val="0"/>
                  <w:tcMar>
                    <w:top w:w="0" w:type="dxa"/>
                    <w:left w:w="0" w:type="dxa"/>
                    <w:bottom w:w="0" w:type="dxa"/>
                    <w:right w:w="0" w:type="dxa"/>
                  </w:tcMar>
                  <w:vAlign w:val="center"/>
                </w:tcPr>
                <w:p w14:paraId="32561D43">
                  <w:pPr>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10</w:t>
                  </w:r>
                </w:p>
              </w:tc>
              <w:tc>
                <w:tcPr>
                  <w:tcW w:w="418" w:type="dxa"/>
                  <w:noWrap w:val="0"/>
                  <w:tcMar>
                    <w:top w:w="0" w:type="dxa"/>
                    <w:left w:w="0" w:type="dxa"/>
                    <w:bottom w:w="0" w:type="dxa"/>
                    <w:right w:w="0" w:type="dxa"/>
                  </w:tcMar>
                  <w:vAlign w:val="center"/>
                </w:tcPr>
                <w:p w14:paraId="0BCAD8CB">
                  <w:pPr>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50</w:t>
                  </w:r>
                </w:p>
              </w:tc>
            </w:tr>
            <w:tr w14:paraId="68EF7D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41" w:type="pct"/>
                  <w:noWrap w:val="0"/>
                  <w:tcMar>
                    <w:top w:w="0" w:type="dxa"/>
                    <w:left w:w="0" w:type="dxa"/>
                    <w:bottom w:w="0" w:type="dxa"/>
                    <w:right w:w="0" w:type="dxa"/>
                  </w:tcMar>
                  <w:vAlign w:val="center"/>
                </w:tcPr>
                <w:p w14:paraId="712E953E">
                  <w:pPr>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5</w:t>
                  </w:r>
                </w:p>
              </w:tc>
              <w:tc>
                <w:tcPr>
                  <w:tcW w:w="250" w:type="pct"/>
                  <w:vMerge w:val="continue"/>
                  <w:noWrap w:val="0"/>
                  <w:tcMar>
                    <w:top w:w="0" w:type="dxa"/>
                    <w:left w:w="0" w:type="dxa"/>
                    <w:bottom w:w="0" w:type="dxa"/>
                    <w:right w:w="0" w:type="dxa"/>
                  </w:tcMar>
                  <w:vAlign w:val="center"/>
                </w:tcPr>
                <w:p w14:paraId="69C735C0">
                  <w:pPr>
                    <w:adjustRightInd w:val="0"/>
                    <w:snapToGrid w:val="0"/>
                    <w:jc w:val="center"/>
                    <w:rPr>
                      <w:color w:val="auto"/>
                      <w:szCs w:val="21"/>
                    </w:rPr>
                  </w:pPr>
                </w:p>
              </w:tc>
              <w:tc>
                <w:tcPr>
                  <w:tcW w:w="418" w:type="pct"/>
                  <w:shd w:val="clear" w:color="auto" w:fill="auto"/>
                  <w:noWrap w:val="0"/>
                  <w:tcMar>
                    <w:top w:w="0" w:type="dxa"/>
                    <w:left w:w="0" w:type="dxa"/>
                    <w:bottom w:w="0" w:type="dxa"/>
                    <w:right w:w="0" w:type="dxa"/>
                  </w:tcMar>
                  <w:vAlign w:val="center"/>
                </w:tcPr>
                <w:p w14:paraId="3DA71DBB">
                  <w:pPr>
                    <w:pStyle w:val="91"/>
                    <w:keepNext w:val="0"/>
                    <w:keepLines w:val="0"/>
                    <w:pageBreakBefore w:val="0"/>
                    <w:kinsoku/>
                    <w:wordWrap/>
                    <w:overflowPunct/>
                    <w:topLinePunct w:val="0"/>
                    <w:bidi w:val="0"/>
                    <w:adjustRightInd w:val="0"/>
                    <w:snapToGrid w:val="0"/>
                    <w:rPr>
                      <w:rFonts w:hint="eastAsia" w:ascii="Times New Roman" w:hAnsi="Times New Roman" w:eastAsia="宋体" w:cs="Times New Roman"/>
                      <w:b w:val="0"/>
                      <w:bCs/>
                      <w:color w:val="auto"/>
                      <w:kern w:val="2"/>
                      <w:sz w:val="21"/>
                      <w:szCs w:val="21"/>
                      <w:lang w:val="en-US" w:eastAsia="zh-CN" w:bidi="ar-SA"/>
                    </w:rPr>
                  </w:pPr>
                  <w:r>
                    <w:rPr>
                      <w:rFonts w:ascii="Times New Roman" w:hAnsi="Times New Roman" w:eastAsia="宋体"/>
                      <w:b w:val="0"/>
                      <w:bCs/>
                      <w:color w:val="auto"/>
                      <w:sz w:val="21"/>
                      <w:szCs w:val="21"/>
                    </w:rPr>
                    <w:t>破碎机</w:t>
                  </w:r>
                </w:p>
              </w:tc>
              <w:tc>
                <w:tcPr>
                  <w:tcW w:w="211" w:type="pct"/>
                  <w:shd w:val="clear" w:color="auto" w:fill="auto"/>
                  <w:noWrap w:val="0"/>
                  <w:tcMar>
                    <w:top w:w="0" w:type="dxa"/>
                    <w:left w:w="0" w:type="dxa"/>
                    <w:bottom w:w="0" w:type="dxa"/>
                    <w:right w:w="0" w:type="dxa"/>
                  </w:tcMar>
                  <w:vAlign w:val="center"/>
                </w:tcPr>
                <w:p w14:paraId="658A2FBA">
                  <w:pPr>
                    <w:keepNext w:val="0"/>
                    <w:keepLines w:val="0"/>
                    <w:pageBreakBefore w:val="0"/>
                    <w:widowControl/>
                    <w:kinsoku/>
                    <w:wordWrap/>
                    <w:overflowPunct/>
                    <w:topLinePunct w:val="0"/>
                    <w:bidi w:val="0"/>
                    <w:adjustRightInd w:val="0"/>
                    <w:snapToGrid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299" w:type="pct"/>
                  <w:noWrap w:val="0"/>
                  <w:tcMar>
                    <w:top w:w="0" w:type="dxa"/>
                    <w:left w:w="0" w:type="dxa"/>
                    <w:bottom w:w="0" w:type="dxa"/>
                    <w:right w:w="0" w:type="dxa"/>
                  </w:tcMar>
                  <w:vAlign w:val="center"/>
                </w:tcPr>
                <w:p w14:paraId="74BF415B">
                  <w:pPr>
                    <w:adjustRightInd w:val="0"/>
                    <w:snapToGrid w:val="0"/>
                    <w:jc w:val="center"/>
                    <w:rPr>
                      <w:rFonts w:hint="default" w:eastAsia="宋体"/>
                      <w:color w:val="auto"/>
                      <w:szCs w:val="21"/>
                      <w:lang w:val="en-US" w:eastAsia="zh-CN"/>
                    </w:rPr>
                  </w:pPr>
                  <w:r>
                    <w:rPr>
                      <w:rFonts w:hint="eastAsia"/>
                      <w:color w:val="auto"/>
                      <w:szCs w:val="21"/>
                      <w:lang w:val="en-US" w:eastAsia="zh-CN"/>
                    </w:rPr>
                    <w:t>80</w:t>
                  </w:r>
                </w:p>
              </w:tc>
              <w:tc>
                <w:tcPr>
                  <w:tcW w:w="272" w:type="pct"/>
                  <w:vMerge w:val="continue"/>
                  <w:noWrap w:val="0"/>
                  <w:tcMar>
                    <w:top w:w="0" w:type="dxa"/>
                    <w:left w:w="0" w:type="dxa"/>
                    <w:bottom w:w="0" w:type="dxa"/>
                    <w:right w:w="0" w:type="dxa"/>
                  </w:tcMar>
                  <w:vAlign w:val="center"/>
                </w:tcPr>
                <w:p w14:paraId="3F033106">
                  <w:pPr>
                    <w:adjustRightInd w:val="0"/>
                    <w:snapToGrid w:val="0"/>
                    <w:jc w:val="center"/>
                    <w:rPr>
                      <w:color w:val="auto"/>
                      <w:szCs w:val="21"/>
                    </w:rPr>
                  </w:pPr>
                </w:p>
              </w:tc>
              <w:tc>
                <w:tcPr>
                  <w:tcW w:w="245" w:type="pct"/>
                  <w:noWrap w:val="0"/>
                  <w:tcMar>
                    <w:top w:w="0" w:type="dxa"/>
                    <w:left w:w="0" w:type="dxa"/>
                    <w:bottom w:w="0" w:type="dxa"/>
                    <w:right w:w="0" w:type="dxa"/>
                  </w:tcMar>
                  <w:vAlign w:val="center"/>
                </w:tcPr>
                <w:p w14:paraId="1EDA1437">
                  <w:pPr>
                    <w:adjustRightInd w:val="0"/>
                    <w:snapToGrid w:val="0"/>
                    <w:jc w:val="center"/>
                    <w:rPr>
                      <w:rFonts w:hint="default" w:eastAsia="宋体"/>
                      <w:color w:val="auto"/>
                      <w:szCs w:val="21"/>
                      <w:lang w:val="en-US" w:eastAsia="zh-CN"/>
                    </w:rPr>
                  </w:pPr>
                  <w:r>
                    <w:rPr>
                      <w:rFonts w:hint="eastAsia"/>
                      <w:color w:val="auto"/>
                      <w:szCs w:val="21"/>
                      <w:lang w:val="en-US" w:eastAsia="zh-CN"/>
                    </w:rPr>
                    <w:t>10</w:t>
                  </w:r>
                </w:p>
              </w:tc>
              <w:tc>
                <w:tcPr>
                  <w:tcW w:w="221" w:type="pct"/>
                  <w:noWrap w:val="0"/>
                  <w:tcMar>
                    <w:top w:w="0" w:type="dxa"/>
                    <w:left w:w="0" w:type="dxa"/>
                    <w:bottom w:w="0" w:type="dxa"/>
                    <w:right w:w="0" w:type="dxa"/>
                  </w:tcMar>
                  <w:vAlign w:val="center"/>
                </w:tcPr>
                <w:p w14:paraId="72877FBE">
                  <w:pPr>
                    <w:adjustRightInd w:val="0"/>
                    <w:snapToGrid w:val="0"/>
                    <w:jc w:val="center"/>
                    <w:rPr>
                      <w:rFonts w:hint="default" w:eastAsia="宋体"/>
                      <w:color w:val="auto"/>
                      <w:szCs w:val="21"/>
                      <w:lang w:val="en-US" w:eastAsia="zh-CN"/>
                    </w:rPr>
                  </w:pPr>
                  <w:r>
                    <w:rPr>
                      <w:rFonts w:hint="eastAsia"/>
                      <w:color w:val="auto"/>
                      <w:szCs w:val="21"/>
                      <w:lang w:val="en-US" w:eastAsia="zh-CN"/>
                    </w:rPr>
                    <w:t>80</w:t>
                  </w:r>
                </w:p>
              </w:tc>
              <w:tc>
                <w:tcPr>
                  <w:tcW w:w="149" w:type="pct"/>
                  <w:noWrap w:val="0"/>
                  <w:tcMar>
                    <w:top w:w="0" w:type="dxa"/>
                    <w:left w:w="0" w:type="dxa"/>
                    <w:bottom w:w="0" w:type="dxa"/>
                    <w:right w:w="0" w:type="dxa"/>
                  </w:tcMar>
                  <w:vAlign w:val="center"/>
                </w:tcPr>
                <w:p w14:paraId="3ED4AF31">
                  <w:pPr>
                    <w:adjustRightInd w:val="0"/>
                    <w:snapToGrid w:val="0"/>
                    <w:jc w:val="center"/>
                    <w:rPr>
                      <w:rFonts w:hint="default" w:eastAsia="宋体"/>
                      <w:color w:val="auto"/>
                      <w:szCs w:val="21"/>
                      <w:lang w:val="en-US" w:eastAsia="zh-CN"/>
                    </w:rPr>
                  </w:pPr>
                  <w:r>
                    <w:rPr>
                      <w:rFonts w:hint="eastAsia" w:eastAsia="宋体"/>
                      <w:color w:val="auto"/>
                      <w:szCs w:val="21"/>
                      <w:lang w:val="en-US" w:eastAsia="zh-CN"/>
                    </w:rPr>
                    <w:t>0</w:t>
                  </w:r>
                </w:p>
              </w:tc>
              <w:tc>
                <w:tcPr>
                  <w:tcW w:w="242" w:type="pct"/>
                  <w:noWrap w:val="0"/>
                  <w:tcMar>
                    <w:top w:w="0" w:type="dxa"/>
                    <w:left w:w="0" w:type="dxa"/>
                    <w:bottom w:w="0" w:type="dxa"/>
                    <w:right w:w="0" w:type="dxa"/>
                  </w:tcMar>
                  <w:vAlign w:val="center"/>
                </w:tcPr>
                <w:p w14:paraId="1CBA41BE">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40</w:t>
                  </w:r>
                </w:p>
              </w:tc>
              <w:tc>
                <w:tcPr>
                  <w:tcW w:w="156" w:type="pct"/>
                  <w:noWrap w:val="0"/>
                  <w:tcMar>
                    <w:top w:w="0" w:type="dxa"/>
                    <w:left w:w="0" w:type="dxa"/>
                    <w:bottom w:w="0" w:type="dxa"/>
                    <w:right w:w="0" w:type="dxa"/>
                  </w:tcMar>
                  <w:vAlign w:val="center"/>
                </w:tcPr>
                <w:p w14:paraId="0D3F6280">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45</w:t>
                  </w:r>
                </w:p>
              </w:tc>
              <w:tc>
                <w:tcPr>
                  <w:tcW w:w="141" w:type="pct"/>
                  <w:noWrap w:val="0"/>
                  <w:tcMar>
                    <w:top w:w="0" w:type="dxa"/>
                    <w:left w:w="0" w:type="dxa"/>
                    <w:bottom w:w="0" w:type="dxa"/>
                    <w:right w:w="0" w:type="dxa"/>
                  </w:tcMar>
                  <w:vAlign w:val="center"/>
                </w:tcPr>
                <w:p w14:paraId="102BB4F4">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10</w:t>
                  </w:r>
                </w:p>
              </w:tc>
              <w:tc>
                <w:tcPr>
                  <w:tcW w:w="190" w:type="pct"/>
                  <w:noWrap w:val="0"/>
                  <w:tcMar>
                    <w:top w:w="0" w:type="dxa"/>
                    <w:left w:w="0" w:type="dxa"/>
                    <w:bottom w:w="0" w:type="dxa"/>
                    <w:right w:w="0" w:type="dxa"/>
                  </w:tcMar>
                  <w:vAlign w:val="center"/>
                </w:tcPr>
                <w:p w14:paraId="7A5CC73B">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40</w:t>
                  </w:r>
                </w:p>
              </w:tc>
              <w:tc>
                <w:tcPr>
                  <w:tcW w:w="347" w:type="pct"/>
                  <w:shd w:val="clear" w:color="auto" w:fill="auto"/>
                  <w:noWrap w:val="0"/>
                  <w:tcMar>
                    <w:top w:w="0" w:type="dxa"/>
                    <w:left w:w="0" w:type="dxa"/>
                    <w:bottom w:w="0" w:type="dxa"/>
                    <w:right w:w="0" w:type="dxa"/>
                  </w:tcMar>
                  <w:vAlign w:val="center"/>
                </w:tcPr>
                <w:p w14:paraId="1B9DB97C">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80</w:t>
                  </w:r>
                </w:p>
              </w:tc>
              <w:tc>
                <w:tcPr>
                  <w:tcW w:w="192" w:type="pct"/>
                  <w:vMerge w:val="continue"/>
                  <w:noWrap w:val="0"/>
                  <w:tcMar>
                    <w:top w:w="0" w:type="dxa"/>
                    <w:left w:w="0" w:type="dxa"/>
                    <w:bottom w:w="0" w:type="dxa"/>
                    <w:right w:w="0" w:type="dxa"/>
                  </w:tcMar>
                  <w:vAlign w:val="center"/>
                </w:tcPr>
                <w:p w14:paraId="5CD63017">
                  <w:pPr>
                    <w:adjustRightInd w:val="0"/>
                    <w:snapToGrid w:val="0"/>
                    <w:jc w:val="center"/>
                    <w:rPr>
                      <w:color w:val="auto"/>
                      <w:szCs w:val="21"/>
                    </w:rPr>
                  </w:pPr>
                </w:p>
              </w:tc>
              <w:tc>
                <w:tcPr>
                  <w:tcW w:w="347" w:type="pct"/>
                  <w:noWrap w:val="0"/>
                  <w:tcMar>
                    <w:top w:w="0" w:type="dxa"/>
                    <w:left w:w="0" w:type="dxa"/>
                    <w:bottom w:w="0" w:type="dxa"/>
                    <w:right w:w="0" w:type="dxa"/>
                  </w:tcMar>
                  <w:vAlign w:val="center"/>
                </w:tcPr>
                <w:p w14:paraId="7BB22C21">
                  <w:pPr>
                    <w:adjustRightInd w:val="0"/>
                    <w:snapToGrid w:val="0"/>
                    <w:jc w:val="center"/>
                    <w:rPr>
                      <w:rFonts w:hint="eastAsia"/>
                      <w:color w:val="auto"/>
                      <w:szCs w:val="21"/>
                    </w:rPr>
                  </w:pPr>
                  <w:r>
                    <w:rPr>
                      <w:rFonts w:hint="eastAsia"/>
                      <w:color w:val="auto"/>
                      <w:szCs w:val="21"/>
                    </w:rPr>
                    <w:t>25</w:t>
                  </w:r>
                </w:p>
              </w:tc>
              <w:tc>
                <w:tcPr>
                  <w:tcW w:w="347" w:type="pct"/>
                  <w:noWrap w:val="0"/>
                  <w:tcMar>
                    <w:top w:w="0" w:type="dxa"/>
                    <w:left w:w="0" w:type="dxa"/>
                    <w:bottom w:w="0" w:type="dxa"/>
                    <w:right w:w="0" w:type="dxa"/>
                  </w:tcMar>
                  <w:vAlign w:val="center"/>
                </w:tcPr>
                <w:p w14:paraId="38970AA6">
                  <w:pPr>
                    <w:adjustRightInd w:val="0"/>
                    <w:snapToGrid w:val="0"/>
                    <w:jc w:val="center"/>
                    <w:rPr>
                      <w:rFonts w:hint="default" w:eastAsia="宋体"/>
                      <w:color w:val="auto"/>
                      <w:szCs w:val="21"/>
                      <w:lang w:val="en-US" w:eastAsia="zh-CN"/>
                    </w:rPr>
                  </w:pPr>
                  <w:r>
                    <w:rPr>
                      <w:rFonts w:hint="eastAsia"/>
                      <w:color w:val="auto"/>
                      <w:szCs w:val="21"/>
                      <w:lang w:val="en-US" w:eastAsia="zh-CN"/>
                    </w:rPr>
                    <w:t>55</w:t>
                  </w:r>
                </w:p>
              </w:tc>
              <w:tc>
                <w:tcPr>
                  <w:tcW w:w="321" w:type="dxa"/>
                  <w:noWrap w:val="0"/>
                  <w:tcMar>
                    <w:top w:w="0" w:type="dxa"/>
                    <w:left w:w="0" w:type="dxa"/>
                    <w:bottom w:w="0" w:type="dxa"/>
                    <w:right w:w="0" w:type="dxa"/>
                  </w:tcMar>
                  <w:vAlign w:val="center"/>
                </w:tcPr>
                <w:p w14:paraId="5BE0ADD8">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110</w:t>
                  </w:r>
                </w:p>
              </w:tc>
              <w:tc>
                <w:tcPr>
                  <w:tcW w:w="321" w:type="dxa"/>
                  <w:noWrap w:val="0"/>
                  <w:tcMar>
                    <w:top w:w="0" w:type="dxa"/>
                    <w:left w:w="0" w:type="dxa"/>
                    <w:bottom w:w="0" w:type="dxa"/>
                    <w:right w:w="0" w:type="dxa"/>
                  </w:tcMar>
                  <w:vAlign w:val="center"/>
                </w:tcPr>
                <w:p w14:paraId="2EF95DD2">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30</w:t>
                  </w:r>
                </w:p>
              </w:tc>
              <w:tc>
                <w:tcPr>
                  <w:tcW w:w="321" w:type="dxa"/>
                  <w:noWrap w:val="0"/>
                  <w:tcMar>
                    <w:top w:w="0" w:type="dxa"/>
                    <w:left w:w="0" w:type="dxa"/>
                    <w:bottom w:w="0" w:type="dxa"/>
                    <w:right w:w="0" w:type="dxa"/>
                  </w:tcMar>
                  <w:vAlign w:val="center"/>
                </w:tcPr>
                <w:p w14:paraId="4296172C">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10</w:t>
                  </w:r>
                </w:p>
              </w:tc>
              <w:tc>
                <w:tcPr>
                  <w:tcW w:w="418" w:type="dxa"/>
                  <w:noWrap w:val="0"/>
                  <w:tcMar>
                    <w:top w:w="0" w:type="dxa"/>
                    <w:left w:w="0" w:type="dxa"/>
                    <w:bottom w:w="0" w:type="dxa"/>
                    <w:right w:w="0" w:type="dxa"/>
                  </w:tcMar>
                  <w:vAlign w:val="center"/>
                </w:tcPr>
                <w:p w14:paraId="0EE2AF15">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50</w:t>
                  </w:r>
                </w:p>
              </w:tc>
            </w:tr>
            <w:tr w14:paraId="28AD70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5000" w:type="pct"/>
                  <w:gridSpan w:val="21"/>
                  <w:noWrap w:val="0"/>
                  <w:tcMar>
                    <w:top w:w="0" w:type="dxa"/>
                    <w:left w:w="0" w:type="dxa"/>
                    <w:bottom w:w="0" w:type="dxa"/>
                    <w:right w:w="0" w:type="dxa"/>
                  </w:tcMar>
                  <w:vAlign w:val="center"/>
                </w:tcPr>
                <w:p w14:paraId="1803E807">
                  <w:pPr>
                    <w:widowControl/>
                    <w:adjustRightInd w:val="0"/>
                    <w:snapToGrid w:val="0"/>
                    <w:jc w:val="left"/>
                    <w:textAlignment w:val="center"/>
                    <w:rPr>
                      <w:color w:val="auto"/>
                      <w:kern w:val="0"/>
                      <w:szCs w:val="21"/>
                      <w:lang w:bidi="ar"/>
                    </w:rPr>
                  </w:pPr>
                  <w:r>
                    <w:rPr>
                      <w:rFonts w:hint="eastAsia"/>
                      <w:color w:val="auto"/>
                      <w:kern w:val="0"/>
                      <w:szCs w:val="21"/>
                      <w:lang w:bidi="ar"/>
                    </w:rPr>
                    <w:t>注：空间相对位置中以厂区西南角为原点（0，0），Z轴以地面高度为0点。</w:t>
                  </w:r>
                </w:p>
              </w:tc>
            </w:tr>
          </w:tbl>
          <w:p w14:paraId="04FBCE9F">
            <w:pPr>
              <w:adjustRightInd w:val="0"/>
              <w:snapToGrid w:val="0"/>
              <w:spacing w:before="120" w:beforeLines="50"/>
              <w:jc w:val="center"/>
              <w:rPr>
                <w:rFonts w:hint="eastAsia"/>
                <w:b/>
                <w:color w:val="auto"/>
                <w:szCs w:val="21"/>
              </w:rPr>
            </w:pPr>
          </w:p>
          <w:p w14:paraId="584EED88">
            <w:pPr>
              <w:adjustRightInd w:val="0"/>
              <w:snapToGrid w:val="0"/>
              <w:spacing w:before="120" w:beforeLines="50"/>
              <w:jc w:val="center"/>
              <w:rPr>
                <w:rFonts w:hint="eastAsia"/>
                <w:b/>
                <w:color w:val="auto"/>
                <w:szCs w:val="21"/>
              </w:rPr>
            </w:pPr>
          </w:p>
          <w:p w14:paraId="7C3E20AD">
            <w:pPr>
              <w:adjustRightInd w:val="0"/>
              <w:snapToGrid w:val="0"/>
              <w:spacing w:before="120" w:beforeLines="50"/>
              <w:jc w:val="center"/>
              <w:rPr>
                <w:rFonts w:hint="eastAsia"/>
                <w:b/>
                <w:color w:val="auto"/>
                <w:szCs w:val="21"/>
              </w:rPr>
            </w:pPr>
          </w:p>
          <w:p w14:paraId="6C3D0ED6">
            <w:pPr>
              <w:adjustRightInd w:val="0"/>
              <w:snapToGrid w:val="0"/>
              <w:spacing w:before="120" w:beforeLines="50"/>
              <w:jc w:val="center"/>
              <w:rPr>
                <w:rFonts w:hint="eastAsia"/>
                <w:b/>
                <w:color w:val="auto"/>
                <w:szCs w:val="21"/>
              </w:rPr>
            </w:pPr>
            <w:r>
              <w:rPr>
                <w:rFonts w:hint="eastAsia"/>
                <w:b/>
                <w:color w:val="auto"/>
                <w:szCs w:val="21"/>
              </w:rPr>
              <w:t>表4-</w:t>
            </w:r>
            <w:r>
              <w:rPr>
                <w:rFonts w:hint="eastAsia"/>
                <w:b/>
                <w:color w:val="auto"/>
                <w:szCs w:val="21"/>
                <w:lang w:val="en-US" w:eastAsia="zh-CN"/>
              </w:rPr>
              <w:t>21</w:t>
            </w:r>
            <w:r>
              <w:rPr>
                <w:rFonts w:hint="eastAsia"/>
                <w:b/>
                <w:color w:val="auto"/>
                <w:szCs w:val="21"/>
              </w:rPr>
              <w:t xml:space="preserve"> 工业企业噪声源强调查清单（室外声源）</w:t>
            </w:r>
          </w:p>
          <w:tbl>
            <w:tblPr>
              <w:tblStyle w:val="28"/>
              <w:tblW w:w="499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361"/>
              <w:gridCol w:w="978"/>
              <w:gridCol w:w="769"/>
              <w:gridCol w:w="678"/>
              <w:gridCol w:w="658"/>
              <w:gridCol w:w="668"/>
              <w:gridCol w:w="1688"/>
              <w:gridCol w:w="1870"/>
              <w:gridCol w:w="702"/>
            </w:tblGrid>
            <w:tr w14:paraId="23F8B9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15" w:type="pct"/>
                  <w:vMerge w:val="restart"/>
                  <w:noWrap w:val="0"/>
                  <w:vAlign w:val="center"/>
                </w:tcPr>
                <w:p w14:paraId="71FEDB86">
                  <w:pPr>
                    <w:adjustRightInd w:val="0"/>
                    <w:snapToGrid w:val="0"/>
                    <w:jc w:val="center"/>
                    <w:rPr>
                      <w:b/>
                      <w:bCs/>
                      <w:color w:val="auto"/>
                      <w:szCs w:val="21"/>
                    </w:rPr>
                  </w:pPr>
                  <w:r>
                    <w:rPr>
                      <w:b/>
                      <w:bCs/>
                      <w:color w:val="auto"/>
                      <w:szCs w:val="21"/>
                    </w:rPr>
                    <w:t>序号</w:t>
                  </w:r>
                </w:p>
              </w:tc>
              <w:tc>
                <w:tcPr>
                  <w:tcW w:w="584" w:type="pct"/>
                  <w:vMerge w:val="restart"/>
                  <w:noWrap w:val="0"/>
                  <w:vAlign w:val="center"/>
                </w:tcPr>
                <w:p w14:paraId="45820EB7">
                  <w:pPr>
                    <w:adjustRightInd w:val="0"/>
                    <w:snapToGrid w:val="0"/>
                    <w:jc w:val="center"/>
                    <w:rPr>
                      <w:b/>
                      <w:bCs/>
                      <w:color w:val="auto"/>
                      <w:szCs w:val="21"/>
                    </w:rPr>
                  </w:pPr>
                  <w:r>
                    <w:rPr>
                      <w:rFonts w:hint="eastAsia"/>
                      <w:b/>
                      <w:bCs/>
                      <w:color w:val="auto"/>
                      <w:szCs w:val="21"/>
                    </w:rPr>
                    <w:t>声源名称</w:t>
                  </w:r>
                </w:p>
              </w:tc>
              <w:tc>
                <w:tcPr>
                  <w:tcW w:w="459" w:type="pct"/>
                  <w:vMerge w:val="restart"/>
                  <w:noWrap w:val="0"/>
                  <w:vAlign w:val="center"/>
                </w:tcPr>
                <w:p w14:paraId="0BAC733C">
                  <w:pPr>
                    <w:adjustRightInd w:val="0"/>
                    <w:snapToGrid w:val="0"/>
                    <w:jc w:val="center"/>
                    <w:rPr>
                      <w:b/>
                      <w:bCs/>
                      <w:color w:val="auto"/>
                      <w:szCs w:val="21"/>
                    </w:rPr>
                  </w:pPr>
                  <w:r>
                    <w:rPr>
                      <w:rFonts w:hint="eastAsia"/>
                      <w:b/>
                      <w:bCs/>
                      <w:color w:val="auto"/>
                      <w:szCs w:val="21"/>
                    </w:rPr>
                    <w:t>数量</w:t>
                  </w:r>
                </w:p>
              </w:tc>
              <w:tc>
                <w:tcPr>
                  <w:tcW w:w="1196" w:type="pct"/>
                  <w:gridSpan w:val="3"/>
                  <w:noWrap w:val="0"/>
                  <w:vAlign w:val="center"/>
                </w:tcPr>
                <w:p w14:paraId="5B071CF2">
                  <w:pPr>
                    <w:adjustRightInd w:val="0"/>
                    <w:snapToGrid w:val="0"/>
                    <w:jc w:val="center"/>
                    <w:rPr>
                      <w:b/>
                      <w:bCs/>
                      <w:color w:val="auto"/>
                      <w:szCs w:val="21"/>
                    </w:rPr>
                  </w:pPr>
                  <w:r>
                    <w:rPr>
                      <w:rFonts w:hint="eastAsia"/>
                      <w:b/>
                      <w:bCs/>
                      <w:color w:val="auto"/>
                      <w:szCs w:val="21"/>
                    </w:rPr>
                    <w:t>空间相对位置/m</w:t>
                  </w:r>
                </w:p>
              </w:tc>
              <w:tc>
                <w:tcPr>
                  <w:tcW w:w="1008" w:type="pct"/>
                  <w:noWrap w:val="0"/>
                  <w:vAlign w:val="center"/>
                </w:tcPr>
                <w:p w14:paraId="7A1697EA">
                  <w:pPr>
                    <w:adjustRightInd w:val="0"/>
                    <w:snapToGrid w:val="0"/>
                    <w:jc w:val="center"/>
                    <w:rPr>
                      <w:rFonts w:hint="eastAsia"/>
                      <w:b/>
                      <w:bCs/>
                      <w:color w:val="auto"/>
                      <w:szCs w:val="21"/>
                    </w:rPr>
                  </w:pPr>
                  <w:r>
                    <w:rPr>
                      <w:rFonts w:hint="eastAsia"/>
                      <w:b/>
                      <w:bCs/>
                      <w:color w:val="auto"/>
                      <w:szCs w:val="21"/>
                    </w:rPr>
                    <w:t>声源源强</w:t>
                  </w:r>
                </w:p>
              </w:tc>
              <w:tc>
                <w:tcPr>
                  <w:tcW w:w="1116" w:type="pct"/>
                  <w:vMerge w:val="restart"/>
                  <w:noWrap w:val="0"/>
                  <w:vAlign w:val="center"/>
                </w:tcPr>
                <w:p w14:paraId="5688FBA8">
                  <w:pPr>
                    <w:adjustRightInd w:val="0"/>
                    <w:snapToGrid w:val="0"/>
                    <w:jc w:val="center"/>
                    <w:rPr>
                      <w:rFonts w:hint="eastAsia"/>
                      <w:b/>
                      <w:bCs/>
                      <w:color w:val="auto"/>
                      <w:szCs w:val="21"/>
                    </w:rPr>
                  </w:pPr>
                  <w:r>
                    <w:rPr>
                      <w:rFonts w:hint="eastAsia"/>
                      <w:b/>
                      <w:bCs/>
                      <w:color w:val="auto"/>
                      <w:szCs w:val="21"/>
                    </w:rPr>
                    <w:t>声源控制措施</w:t>
                  </w:r>
                </w:p>
              </w:tc>
              <w:tc>
                <w:tcPr>
                  <w:tcW w:w="419" w:type="pct"/>
                  <w:vMerge w:val="restart"/>
                  <w:noWrap w:val="0"/>
                  <w:vAlign w:val="center"/>
                </w:tcPr>
                <w:p w14:paraId="03AD17F0">
                  <w:pPr>
                    <w:adjustRightInd w:val="0"/>
                    <w:snapToGrid w:val="0"/>
                    <w:jc w:val="center"/>
                    <w:rPr>
                      <w:b/>
                      <w:bCs/>
                      <w:color w:val="auto"/>
                      <w:szCs w:val="21"/>
                    </w:rPr>
                  </w:pPr>
                  <w:r>
                    <w:rPr>
                      <w:rFonts w:hint="eastAsia"/>
                      <w:b/>
                      <w:bCs/>
                      <w:color w:val="auto"/>
                      <w:szCs w:val="21"/>
                    </w:rPr>
                    <w:t>运行时段</w:t>
                  </w:r>
                </w:p>
              </w:tc>
            </w:tr>
            <w:tr w14:paraId="4E61A7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15" w:type="pct"/>
                  <w:vMerge w:val="continue"/>
                  <w:noWrap w:val="0"/>
                  <w:vAlign w:val="center"/>
                </w:tcPr>
                <w:p w14:paraId="2E2403F0">
                  <w:pPr>
                    <w:adjustRightInd w:val="0"/>
                    <w:snapToGrid w:val="0"/>
                    <w:jc w:val="center"/>
                    <w:rPr>
                      <w:b/>
                      <w:bCs/>
                      <w:color w:val="auto"/>
                      <w:szCs w:val="21"/>
                    </w:rPr>
                  </w:pPr>
                </w:p>
              </w:tc>
              <w:tc>
                <w:tcPr>
                  <w:tcW w:w="584" w:type="pct"/>
                  <w:vMerge w:val="continue"/>
                  <w:noWrap w:val="0"/>
                  <w:vAlign w:val="center"/>
                </w:tcPr>
                <w:p w14:paraId="311B0AAE">
                  <w:pPr>
                    <w:adjustRightInd w:val="0"/>
                    <w:snapToGrid w:val="0"/>
                    <w:jc w:val="center"/>
                    <w:rPr>
                      <w:rFonts w:hint="eastAsia"/>
                      <w:b/>
                      <w:bCs/>
                      <w:color w:val="auto"/>
                      <w:szCs w:val="21"/>
                    </w:rPr>
                  </w:pPr>
                </w:p>
              </w:tc>
              <w:tc>
                <w:tcPr>
                  <w:tcW w:w="459" w:type="pct"/>
                  <w:vMerge w:val="continue"/>
                  <w:noWrap w:val="0"/>
                  <w:vAlign w:val="center"/>
                </w:tcPr>
                <w:p w14:paraId="2F5CEAE5">
                  <w:pPr>
                    <w:adjustRightInd w:val="0"/>
                    <w:snapToGrid w:val="0"/>
                    <w:jc w:val="center"/>
                    <w:rPr>
                      <w:rFonts w:hint="eastAsia"/>
                      <w:b/>
                      <w:bCs/>
                      <w:color w:val="auto"/>
                      <w:szCs w:val="21"/>
                    </w:rPr>
                  </w:pPr>
                </w:p>
              </w:tc>
              <w:tc>
                <w:tcPr>
                  <w:tcW w:w="404" w:type="pct"/>
                  <w:noWrap w:val="0"/>
                  <w:vAlign w:val="center"/>
                </w:tcPr>
                <w:p w14:paraId="2D49BB5C">
                  <w:pPr>
                    <w:adjustRightInd w:val="0"/>
                    <w:snapToGrid w:val="0"/>
                    <w:jc w:val="center"/>
                    <w:rPr>
                      <w:b/>
                      <w:bCs/>
                      <w:color w:val="auto"/>
                      <w:szCs w:val="21"/>
                    </w:rPr>
                  </w:pPr>
                  <w:r>
                    <w:rPr>
                      <w:rFonts w:hint="eastAsia"/>
                      <w:b/>
                      <w:bCs/>
                      <w:color w:val="auto"/>
                      <w:szCs w:val="21"/>
                    </w:rPr>
                    <w:t>X</w:t>
                  </w:r>
                </w:p>
              </w:tc>
              <w:tc>
                <w:tcPr>
                  <w:tcW w:w="392" w:type="pct"/>
                  <w:noWrap w:val="0"/>
                  <w:vAlign w:val="center"/>
                </w:tcPr>
                <w:p w14:paraId="4D26C0B3">
                  <w:pPr>
                    <w:adjustRightInd w:val="0"/>
                    <w:snapToGrid w:val="0"/>
                    <w:jc w:val="center"/>
                    <w:rPr>
                      <w:b/>
                      <w:bCs/>
                      <w:color w:val="auto"/>
                      <w:szCs w:val="21"/>
                    </w:rPr>
                  </w:pPr>
                  <w:r>
                    <w:rPr>
                      <w:rFonts w:hint="eastAsia"/>
                      <w:b/>
                      <w:bCs/>
                      <w:color w:val="auto"/>
                      <w:szCs w:val="21"/>
                    </w:rPr>
                    <w:t>Y</w:t>
                  </w:r>
                </w:p>
              </w:tc>
              <w:tc>
                <w:tcPr>
                  <w:tcW w:w="398" w:type="pct"/>
                  <w:noWrap w:val="0"/>
                  <w:vAlign w:val="center"/>
                </w:tcPr>
                <w:p w14:paraId="6CBE1829">
                  <w:pPr>
                    <w:adjustRightInd w:val="0"/>
                    <w:snapToGrid w:val="0"/>
                    <w:jc w:val="center"/>
                    <w:rPr>
                      <w:b/>
                      <w:bCs/>
                      <w:color w:val="auto"/>
                      <w:szCs w:val="21"/>
                    </w:rPr>
                  </w:pPr>
                  <w:r>
                    <w:rPr>
                      <w:rFonts w:hint="eastAsia"/>
                      <w:b/>
                      <w:bCs/>
                      <w:color w:val="auto"/>
                      <w:szCs w:val="21"/>
                    </w:rPr>
                    <w:t>Z</w:t>
                  </w:r>
                </w:p>
              </w:tc>
              <w:tc>
                <w:tcPr>
                  <w:tcW w:w="1008" w:type="pct"/>
                  <w:noWrap w:val="0"/>
                  <w:vAlign w:val="center"/>
                </w:tcPr>
                <w:p w14:paraId="420FF018">
                  <w:pPr>
                    <w:adjustRightInd w:val="0"/>
                    <w:snapToGrid w:val="0"/>
                    <w:jc w:val="center"/>
                    <w:rPr>
                      <w:b/>
                      <w:bCs/>
                      <w:color w:val="auto"/>
                      <w:szCs w:val="21"/>
                    </w:rPr>
                  </w:pPr>
                  <w:r>
                    <w:rPr>
                      <w:rFonts w:hint="eastAsia"/>
                      <w:b/>
                      <w:bCs/>
                      <w:color w:val="auto"/>
                      <w:szCs w:val="21"/>
                    </w:rPr>
                    <w:t>声功率级/dB（A）</w:t>
                  </w:r>
                </w:p>
              </w:tc>
              <w:tc>
                <w:tcPr>
                  <w:tcW w:w="1116" w:type="pct"/>
                  <w:vMerge w:val="continue"/>
                  <w:noWrap w:val="0"/>
                  <w:vAlign w:val="center"/>
                </w:tcPr>
                <w:p w14:paraId="08918D56">
                  <w:pPr>
                    <w:adjustRightInd w:val="0"/>
                    <w:snapToGrid w:val="0"/>
                    <w:jc w:val="center"/>
                    <w:rPr>
                      <w:rFonts w:hint="eastAsia"/>
                      <w:color w:val="auto"/>
                      <w:szCs w:val="21"/>
                    </w:rPr>
                  </w:pPr>
                </w:p>
              </w:tc>
              <w:tc>
                <w:tcPr>
                  <w:tcW w:w="419" w:type="pct"/>
                  <w:vMerge w:val="continue"/>
                  <w:noWrap w:val="0"/>
                  <w:vAlign w:val="center"/>
                </w:tcPr>
                <w:p w14:paraId="6BEE40EC">
                  <w:pPr>
                    <w:adjustRightInd w:val="0"/>
                    <w:snapToGrid w:val="0"/>
                    <w:jc w:val="center"/>
                    <w:rPr>
                      <w:rFonts w:hint="eastAsia"/>
                      <w:color w:val="auto"/>
                      <w:szCs w:val="21"/>
                    </w:rPr>
                  </w:pPr>
                </w:p>
              </w:tc>
            </w:tr>
            <w:tr w14:paraId="46CC9B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15" w:type="pct"/>
                  <w:noWrap w:val="0"/>
                  <w:vAlign w:val="center"/>
                </w:tcPr>
                <w:p w14:paraId="5677E234">
                  <w:pPr>
                    <w:adjustRightInd w:val="0"/>
                    <w:snapToGrid w:val="0"/>
                    <w:jc w:val="center"/>
                    <w:rPr>
                      <w:color w:val="auto"/>
                      <w:szCs w:val="21"/>
                    </w:rPr>
                  </w:pPr>
                  <w:r>
                    <w:rPr>
                      <w:rFonts w:hint="eastAsia"/>
                      <w:color w:val="auto"/>
                      <w:szCs w:val="21"/>
                    </w:rPr>
                    <w:t>1</w:t>
                  </w:r>
                </w:p>
              </w:tc>
              <w:tc>
                <w:tcPr>
                  <w:tcW w:w="584" w:type="pct"/>
                  <w:shd w:val="clear" w:color="auto" w:fill="auto"/>
                  <w:noWrap w:val="0"/>
                  <w:vAlign w:val="center"/>
                </w:tcPr>
                <w:p w14:paraId="149C33ED">
                  <w:pPr>
                    <w:pStyle w:val="91"/>
                    <w:keepNext w:val="0"/>
                    <w:keepLines w:val="0"/>
                    <w:pageBreakBefore w:val="0"/>
                    <w:kinsoku/>
                    <w:wordWrap/>
                    <w:overflowPunct/>
                    <w:topLinePunct w:val="0"/>
                    <w:bidi w:val="0"/>
                    <w:adjustRightInd w:val="0"/>
                    <w:snapToGrid w:val="0"/>
                    <w:rPr>
                      <w:rFonts w:hint="eastAsia" w:ascii="Times New Roman" w:hAnsi="Times New Roman" w:eastAsia="宋体" w:cs="Times New Roman"/>
                      <w:b w:val="0"/>
                      <w:bCs/>
                      <w:color w:val="auto"/>
                      <w:kern w:val="2"/>
                      <w:sz w:val="21"/>
                      <w:szCs w:val="21"/>
                      <w:lang w:val="en-US" w:eastAsia="zh-CN" w:bidi="ar-SA"/>
                    </w:rPr>
                  </w:pPr>
                  <w:r>
                    <w:rPr>
                      <w:rFonts w:ascii="Times New Roman" w:hAnsi="Times New Roman" w:eastAsia="宋体"/>
                      <w:b w:val="0"/>
                      <w:bCs/>
                      <w:color w:val="auto"/>
                      <w:sz w:val="21"/>
                      <w:szCs w:val="21"/>
                    </w:rPr>
                    <w:t>冷却塔</w:t>
                  </w:r>
                </w:p>
              </w:tc>
              <w:tc>
                <w:tcPr>
                  <w:tcW w:w="459" w:type="pct"/>
                  <w:noWrap w:val="0"/>
                  <w:vAlign w:val="center"/>
                </w:tcPr>
                <w:p w14:paraId="6368A29B">
                  <w:pPr>
                    <w:adjustRightInd w:val="0"/>
                    <w:snapToGrid w:val="0"/>
                    <w:jc w:val="center"/>
                    <w:rPr>
                      <w:rFonts w:hint="eastAsia" w:eastAsia="宋体"/>
                      <w:color w:val="auto"/>
                      <w:szCs w:val="21"/>
                      <w:lang w:eastAsia="zh-CN"/>
                    </w:rPr>
                  </w:pPr>
                  <w:r>
                    <w:rPr>
                      <w:rFonts w:hint="eastAsia"/>
                      <w:color w:val="auto"/>
                      <w:szCs w:val="21"/>
                      <w:lang w:val="en-US" w:eastAsia="zh-CN"/>
                    </w:rPr>
                    <w:t>1</w:t>
                  </w:r>
                </w:p>
              </w:tc>
              <w:tc>
                <w:tcPr>
                  <w:tcW w:w="404" w:type="pct"/>
                  <w:noWrap w:val="0"/>
                  <w:vAlign w:val="center"/>
                </w:tcPr>
                <w:p w14:paraId="155290C6">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20</w:t>
                  </w:r>
                </w:p>
              </w:tc>
              <w:tc>
                <w:tcPr>
                  <w:tcW w:w="392" w:type="pct"/>
                  <w:noWrap w:val="0"/>
                  <w:vAlign w:val="center"/>
                </w:tcPr>
                <w:p w14:paraId="1D5E9289">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130</w:t>
                  </w:r>
                </w:p>
              </w:tc>
              <w:tc>
                <w:tcPr>
                  <w:tcW w:w="398" w:type="pct"/>
                  <w:noWrap w:val="0"/>
                  <w:vAlign w:val="center"/>
                </w:tcPr>
                <w:p w14:paraId="08D30F16">
                  <w:pPr>
                    <w:adjustRightInd w:val="0"/>
                    <w:snapToGrid w:val="0"/>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0</w:t>
                  </w:r>
                </w:p>
              </w:tc>
              <w:tc>
                <w:tcPr>
                  <w:tcW w:w="1008" w:type="pct"/>
                  <w:noWrap w:val="0"/>
                  <w:vAlign w:val="center"/>
                </w:tcPr>
                <w:p w14:paraId="0BDCAC0F">
                  <w:pPr>
                    <w:adjustRightInd w:val="0"/>
                    <w:snapToGrid w:val="0"/>
                    <w:jc w:val="center"/>
                    <w:rPr>
                      <w:color w:val="auto"/>
                      <w:szCs w:val="21"/>
                    </w:rPr>
                  </w:pPr>
                  <w:r>
                    <w:rPr>
                      <w:color w:val="auto"/>
                      <w:szCs w:val="21"/>
                    </w:rPr>
                    <w:t>85</w:t>
                  </w:r>
                </w:p>
              </w:tc>
              <w:tc>
                <w:tcPr>
                  <w:tcW w:w="1116" w:type="pct"/>
                  <w:vMerge w:val="restart"/>
                  <w:noWrap w:val="0"/>
                  <w:vAlign w:val="center"/>
                </w:tcPr>
                <w:p w14:paraId="7AEB8FD5">
                  <w:pPr>
                    <w:adjustRightInd w:val="0"/>
                    <w:snapToGrid w:val="0"/>
                    <w:jc w:val="center"/>
                    <w:rPr>
                      <w:color w:val="auto"/>
                      <w:szCs w:val="21"/>
                    </w:rPr>
                  </w:pPr>
                  <w:r>
                    <w:rPr>
                      <w:color w:val="auto"/>
                      <w:szCs w:val="21"/>
                    </w:rPr>
                    <w:t>合理布局+厂房隔声</w:t>
                  </w:r>
                </w:p>
              </w:tc>
              <w:tc>
                <w:tcPr>
                  <w:tcW w:w="419" w:type="pct"/>
                  <w:vMerge w:val="restart"/>
                  <w:noWrap w:val="0"/>
                  <w:vAlign w:val="center"/>
                </w:tcPr>
                <w:p w14:paraId="210FAC44">
                  <w:pPr>
                    <w:adjustRightInd w:val="0"/>
                    <w:snapToGrid w:val="0"/>
                    <w:jc w:val="center"/>
                    <w:rPr>
                      <w:color w:val="auto"/>
                      <w:szCs w:val="21"/>
                    </w:rPr>
                  </w:pPr>
                  <w:r>
                    <w:rPr>
                      <w:rFonts w:hint="eastAsia"/>
                      <w:color w:val="auto"/>
                      <w:szCs w:val="21"/>
                      <w:lang w:val="en-US" w:eastAsia="zh-CN"/>
                    </w:rPr>
                    <w:t>昼</w:t>
                  </w:r>
                </w:p>
              </w:tc>
            </w:tr>
            <w:tr w14:paraId="22FCDD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15" w:type="pct"/>
                  <w:noWrap w:val="0"/>
                  <w:vAlign w:val="center"/>
                </w:tcPr>
                <w:p w14:paraId="396D6794">
                  <w:pPr>
                    <w:adjustRightInd w:val="0"/>
                    <w:snapToGrid w:val="0"/>
                    <w:jc w:val="center"/>
                    <w:rPr>
                      <w:rFonts w:hint="eastAsia" w:eastAsia="宋体"/>
                      <w:color w:val="auto"/>
                      <w:szCs w:val="21"/>
                      <w:lang w:val="en-US" w:eastAsia="zh-CN"/>
                    </w:rPr>
                  </w:pPr>
                  <w:r>
                    <w:rPr>
                      <w:rFonts w:hint="eastAsia"/>
                      <w:color w:val="auto"/>
                      <w:szCs w:val="21"/>
                      <w:lang w:val="en-US" w:eastAsia="zh-CN"/>
                    </w:rPr>
                    <w:t>2</w:t>
                  </w:r>
                </w:p>
              </w:tc>
              <w:tc>
                <w:tcPr>
                  <w:tcW w:w="584" w:type="pct"/>
                  <w:shd w:val="clear" w:color="auto" w:fill="auto"/>
                  <w:noWrap w:val="0"/>
                  <w:vAlign w:val="center"/>
                </w:tcPr>
                <w:p w14:paraId="47BA2C07">
                  <w:pPr>
                    <w:pStyle w:val="91"/>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val="0"/>
                      <w:bCs/>
                      <w:color w:val="auto"/>
                      <w:kern w:val="2"/>
                      <w:sz w:val="21"/>
                      <w:szCs w:val="21"/>
                      <w:lang w:val="en-US" w:eastAsia="zh-CN" w:bidi="ar-SA"/>
                    </w:rPr>
                  </w:pPr>
                  <w:r>
                    <w:rPr>
                      <w:rFonts w:ascii="Times New Roman" w:hAnsi="Times New Roman" w:eastAsia="宋体" w:cs="Times New Roman"/>
                      <w:b w:val="0"/>
                      <w:bCs/>
                      <w:color w:val="auto"/>
                      <w:sz w:val="21"/>
                      <w:szCs w:val="21"/>
                    </w:rPr>
                    <w:t>空压机</w:t>
                  </w:r>
                </w:p>
              </w:tc>
              <w:tc>
                <w:tcPr>
                  <w:tcW w:w="459" w:type="pct"/>
                  <w:noWrap w:val="0"/>
                  <w:vAlign w:val="center"/>
                </w:tcPr>
                <w:p w14:paraId="50571EA0">
                  <w:pPr>
                    <w:adjustRightInd w:val="0"/>
                    <w:snapToGrid w:val="0"/>
                    <w:jc w:val="center"/>
                    <w:rPr>
                      <w:rFonts w:hint="default"/>
                      <w:color w:val="auto"/>
                      <w:szCs w:val="21"/>
                      <w:lang w:val="en-US" w:eastAsia="zh-CN"/>
                    </w:rPr>
                  </w:pPr>
                  <w:r>
                    <w:rPr>
                      <w:rFonts w:hint="eastAsia"/>
                      <w:color w:val="auto"/>
                      <w:szCs w:val="21"/>
                      <w:lang w:val="en-US" w:eastAsia="zh-CN"/>
                    </w:rPr>
                    <w:t>1</w:t>
                  </w:r>
                </w:p>
              </w:tc>
              <w:tc>
                <w:tcPr>
                  <w:tcW w:w="404" w:type="pct"/>
                  <w:noWrap w:val="0"/>
                  <w:vAlign w:val="center"/>
                </w:tcPr>
                <w:p w14:paraId="20B9EEC1">
                  <w:pPr>
                    <w:adjustRightInd w:val="0"/>
                    <w:snapToGrid w:val="0"/>
                    <w:jc w:val="center"/>
                    <w:rPr>
                      <w:rFonts w:hint="eastAsia" w:eastAsia="宋体"/>
                      <w:color w:val="auto"/>
                      <w:kern w:val="2"/>
                      <w:sz w:val="21"/>
                      <w:szCs w:val="21"/>
                      <w:lang w:val="en-US" w:eastAsia="zh-CN" w:bidi="ar-SA"/>
                    </w:rPr>
                  </w:pPr>
                  <w:r>
                    <w:rPr>
                      <w:rFonts w:hint="eastAsia"/>
                      <w:color w:val="auto"/>
                      <w:kern w:val="2"/>
                      <w:sz w:val="21"/>
                      <w:szCs w:val="21"/>
                      <w:lang w:val="en-US" w:eastAsia="zh-CN" w:bidi="ar-SA"/>
                    </w:rPr>
                    <w:t>20</w:t>
                  </w:r>
                </w:p>
              </w:tc>
              <w:tc>
                <w:tcPr>
                  <w:tcW w:w="392" w:type="pct"/>
                  <w:noWrap w:val="0"/>
                  <w:vAlign w:val="center"/>
                </w:tcPr>
                <w:p w14:paraId="35A99DE6">
                  <w:pPr>
                    <w:adjustRightInd w:val="0"/>
                    <w:snapToGrid w:val="0"/>
                    <w:jc w:val="center"/>
                    <w:rPr>
                      <w:rFonts w:hint="eastAsia" w:eastAsia="宋体"/>
                      <w:color w:val="auto"/>
                      <w:kern w:val="2"/>
                      <w:sz w:val="21"/>
                      <w:szCs w:val="21"/>
                      <w:lang w:val="en-US" w:eastAsia="zh-CN" w:bidi="ar-SA"/>
                    </w:rPr>
                  </w:pPr>
                  <w:r>
                    <w:rPr>
                      <w:rFonts w:hint="eastAsia"/>
                      <w:color w:val="auto"/>
                      <w:kern w:val="2"/>
                      <w:sz w:val="21"/>
                      <w:szCs w:val="21"/>
                      <w:lang w:val="en-US" w:eastAsia="zh-CN" w:bidi="ar-SA"/>
                    </w:rPr>
                    <w:t>130</w:t>
                  </w:r>
                </w:p>
              </w:tc>
              <w:tc>
                <w:tcPr>
                  <w:tcW w:w="398" w:type="pct"/>
                  <w:noWrap w:val="0"/>
                  <w:vAlign w:val="center"/>
                </w:tcPr>
                <w:p w14:paraId="0CE481B2">
                  <w:pPr>
                    <w:adjustRightInd w:val="0"/>
                    <w:snapToGrid w:val="0"/>
                    <w:jc w:val="center"/>
                    <w:rPr>
                      <w:rFonts w:hint="eastAsia" w:eastAsia="宋体"/>
                      <w:color w:val="auto"/>
                      <w:kern w:val="2"/>
                      <w:sz w:val="21"/>
                      <w:szCs w:val="21"/>
                      <w:lang w:val="en-US" w:eastAsia="zh-CN" w:bidi="ar-SA"/>
                    </w:rPr>
                  </w:pPr>
                  <w:r>
                    <w:rPr>
                      <w:rFonts w:hint="eastAsia"/>
                      <w:color w:val="auto"/>
                      <w:kern w:val="2"/>
                      <w:sz w:val="21"/>
                      <w:szCs w:val="21"/>
                      <w:lang w:val="en-US" w:eastAsia="zh-CN" w:bidi="ar-SA"/>
                    </w:rPr>
                    <w:t>0</w:t>
                  </w:r>
                </w:p>
              </w:tc>
              <w:tc>
                <w:tcPr>
                  <w:tcW w:w="1008" w:type="pct"/>
                  <w:noWrap w:val="0"/>
                  <w:vAlign w:val="center"/>
                </w:tcPr>
                <w:p w14:paraId="57774716">
                  <w:pPr>
                    <w:adjustRightInd w:val="0"/>
                    <w:snapToGrid w:val="0"/>
                    <w:jc w:val="center"/>
                    <w:rPr>
                      <w:color w:val="auto"/>
                      <w:szCs w:val="21"/>
                    </w:rPr>
                  </w:pPr>
                  <w:r>
                    <w:rPr>
                      <w:color w:val="auto"/>
                      <w:szCs w:val="21"/>
                    </w:rPr>
                    <w:t>85</w:t>
                  </w:r>
                </w:p>
              </w:tc>
              <w:tc>
                <w:tcPr>
                  <w:tcW w:w="1116" w:type="pct"/>
                  <w:vMerge w:val="continue"/>
                  <w:noWrap w:val="0"/>
                  <w:vAlign w:val="center"/>
                </w:tcPr>
                <w:p w14:paraId="3C29490E">
                  <w:pPr>
                    <w:adjustRightInd w:val="0"/>
                    <w:snapToGrid w:val="0"/>
                    <w:jc w:val="center"/>
                    <w:rPr>
                      <w:color w:val="auto"/>
                      <w:szCs w:val="21"/>
                    </w:rPr>
                  </w:pPr>
                </w:p>
              </w:tc>
              <w:tc>
                <w:tcPr>
                  <w:tcW w:w="419" w:type="pct"/>
                  <w:vMerge w:val="continue"/>
                  <w:noWrap w:val="0"/>
                  <w:vAlign w:val="center"/>
                </w:tcPr>
                <w:p w14:paraId="54D01617">
                  <w:pPr>
                    <w:adjustRightInd w:val="0"/>
                    <w:snapToGrid w:val="0"/>
                    <w:jc w:val="center"/>
                    <w:rPr>
                      <w:rFonts w:hint="eastAsia"/>
                      <w:color w:val="auto"/>
                      <w:szCs w:val="21"/>
                    </w:rPr>
                  </w:pPr>
                </w:p>
              </w:tc>
            </w:tr>
            <w:tr w14:paraId="267030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15" w:type="pct"/>
                  <w:noWrap w:val="0"/>
                  <w:vAlign w:val="center"/>
                </w:tcPr>
                <w:p w14:paraId="76EB2444">
                  <w:pPr>
                    <w:adjustRightInd w:val="0"/>
                    <w:snapToGrid w:val="0"/>
                    <w:jc w:val="center"/>
                    <w:rPr>
                      <w:rFonts w:hint="default"/>
                      <w:color w:val="auto"/>
                      <w:szCs w:val="21"/>
                      <w:lang w:val="en-US" w:eastAsia="zh-CN"/>
                    </w:rPr>
                  </w:pPr>
                  <w:r>
                    <w:rPr>
                      <w:rFonts w:hint="eastAsia"/>
                      <w:color w:val="auto"/>
                      <w:szCs w:val="21"/>
                      <w:lang w:val="en-US" w:eastAsia="zh-CN"/>
                    </w:rPr>
                    <w:t>3</w:t>
                  </w:r>
                </w:p>
              </w:tc>
              <w:tc>
                <w:tcPr>
                  <w:tcW w:w="584" w:type="pct"/>
                  <w:noWrap w:val="0"/>
                  <w:vAlign w:val="center"/>
                </w:tcPr>
                <w:p w14:paraId="54DAA6F8">
                  <w:pPr>
                    <w:adjustRightInd w:val="0"/>
                    <w:snapToGrid w:val="0"/>
                    <w:jc w:val="center"/>
                    <w:rPr>
                      <w:rFonts w:hint="default"/>
                      <w:color w:val="auto"/>
                      <w:szCs w:val="21"/>
                      <w:lang w:val="en-US" w:eastAsia="zh-CN"/>
                    </w:rPr>
                  </w:pPr>
                  <w:r>
                    <w:rPr>
                      <w:rFonts w:hint="eastAsia"/>
                      <w:color w:val="auto"/>
                      <w:szCs w:val="21"/>
                      <w:lang w:val="en-US" w:eastAsia="zh-CN"/>
                    </w:rPr>
                    <w:t>风机</w:t>
                  </w:r>
                </w:p>
              </w:tc>
              <w:tc>
                <w:tcPr>
                  <w:tcW w:w="459" w:type="pct"/>
                  <w:noWrap w:val="0"/>
                  <w:vAlign w:val="center"/>
                </w:tcPr>
                <w:p w14:paraId="7F2FFFBE">
                  <w:pPr>
                    <w:adjustRightInd w:val="0"/>
                    <w:snapToGrid w:val="0"/>
                    <w:jc w:val="center"/>
                    <w:rPr>
                      <w:rFonts w:hint="default"/>
                      <w:color w:val="auto"/>
                      <w:szCs w:val="21"/>
                      <w:lang w:val="en-US" w:eastAsia="zh-CN"/>
                    </w:rPr>
                  </w:pPr>
                  <w:r>
                    <w:rPr>
                      <w:rFonts w:hint="eastAsia"/>
                      <w:color w:val="auto"/>
                      <w:szCs w:val="21"/>
                      <w:lang w:val="en-US" w:eastAsia="zh-CN"/>
                    </w:rPr>
                    <w:t>2</w:t>
                  </w:r>
                </w:p>
              </w:tc>
              <w:tc>
                <w:tcPr>
                  <w:tcW w:w="404" w:type="pct"/>
                  <w:noWrap w:val="0"/>
                  <w:vAlign w:val="center"/>
                </w:tcPr>
                <w:p w14:paraId="57EC4B57">
                  <w:pPr>
                    <w:adjustRightInd w:val="0"/>
                    <w:snapToGrid w:val="0"/>
                    <w:jc w:val="center"/>
                    <w:rPr>
                      <w:rFonts w:hint="default"/>
                      <w:color w:val="auto"/>
                      <w:szCs w:val="21"/>
                      <w:lang w:val="en-US" w:eastAsia="zh-CN"/>
                    </w:rPr>
                  </w:pPr>
                  <w:r>
                    <w:rPr>
                      <w:rFonts w:hint="eastAsia"/>
                      <w:color w:val="auto"/>
                      <w:szCs w:val="21"/>
                      <w:lang w:val="en-US" w:eastAsia="zh-CN"/>
                    </w:rPr>
                    <w:t>30</w:t>
                  </w:r>
                </w:p>
              </w:tc>
              <w:tc>
                <w:tcPr>
                  <w:tcW w:w="392" w:type="pct"/>
                  <w:noWrap w:val="0"/>
                  <w:vAlign w:val="center"/>
                </w:tcPr>
                <w:p w14:paraId="7E4B7C64">
                  <w:pPr>
                    <w:adjustRightInd w:val="0"/>
                    <w:snapToGrid w:val="0"/>
                    <w:jc w:val="center"/>
                    <w:rPr>
                      <w:rFonts w:hint="default"/>
                      <w:color w:val="auto"/>
                      <w:szCs w:val="21"/>
                      <w:lang w:val="en-US" w:eastAsia="zh-CN"/>
                    </w:rPr>
                  </w:pPr>
                  <w:r>
                    <w:rPr>
                      <w:rFonts w:hint="eastAsia"/>
                      <w:color w:val="auto"/>
                      <w:szCs w:val="21"/>
                      <w:lang w:val="en-US" w:eastAsia="zh-CN"/>
                    </w:rPr>
                    <w:t>130</w:t>
                  </w:r>
                </w:p>
              </w:tc>
              <w:tc>
                <w:tcPr>
                  <w:tcW w:w="398" w:type="pct"/>
                  <w:noWrap w:val="0"/>
                  <w:vAlign w:val="center"/>
                </w:tcPr>
                <w:p w14:paraId="59425626">
                  <w:pPr>
                    <w:adjustRightInd w:val="0"/>
                    <w:snapToGrid w:val="0"/>
                    <w:jc w:val="center"/>
                    <w:rPr>
                      <w:rFonts w:hint="eastAsia"/>
                      <w:color w:val="auto"/>
                      <w:szCs w:val="21"/>
                      <w:lang w:val="en-US" w:eastAsia="zh-CN"/>
                    </w:rPr>
                  </w:pPr>
                  <w:r>
                    <w:rPr>
                      <w:rFonts w:hint="eastAsia"/>
                      <w:color w:val="auto"/>
                      <w:kern w:val="2"/>
                      <w:sz w:val="21"/>
                      <w:szCs w:val="21"/>
                      <w:lang w:val="en-US" w:eastAsia="zh-CN" w:bidi="ar-SA"/>
                    </w:rPr>
                    <w:t>0</w:t>
                  </w:r>
                </w:p>
              </w:tc>
              <w:tc>
                <w:tcPr>
                  <w:tcW w:w="1008" w:type="pct"/>
                  <w:noWrap w:val="0"/>
                  <w:vAlign w:val="center"/>
                </w:tcPr>
                <w:p w14:paraId="433B305C">
                  <w:pPr>
                    <w:adjustRightInd w:val="0"/>
                    <w:snapToGrid w:val="0"/>
                    <w:jc w:val="center"/>
                    <w:rPr>
                      <w:color w:val="auto"/>
                      <w:szCs w:val="21"/>
                    </w:rPr>
                  </w:pPr>
                  <w:r>
                    <w:rPr>
                      <w:color w:val="auto"/>
                      <w:szCs w:val="21"/>
                    </w:rPr>
                    <w:t>85</w:t>
                  </w:r>
                </w:p>
              </w:tc>
              <w:tc>
                <w:tcPr>
                  <w:tcW w:w="1116" w:type="pct"/>
                  <w:vMerge w:val="continue"/>
                  <w:noWrap w:val="0"/>
                  <w:vAlign w:val="center"/>
                </w:tcPr>
                <w:p w14:paraId="5B7EAC86">
                  <w:pPr>
                    <w:adjustRightInd w:val="0"/>
                    <w:snapToGrid w:val="0"/>
                    <w:jc w:val="center"/>
                    <w:rPr>
                      <w:color w:val="auto"/>
                      <w:szCs w:val="21"/>
                    </w:rPr>
                  </w:pPr>
                </w:p>
              </w:tc>
              <w:tc>
                <w:tcPr>
                  <w:tcW w:w="419" w:type="pct"/>
                  <w:vMerge w:val="continue"/>
                  <w:noWrap w:val="0"/>
                  <w:vAlign w:val="center"/>
                </w:tcPr>
                <w:p w14:paraId="30C3C66C">
                  <w:pPr>
                    <w:adjustRightInd w:val="0"/>
                    <w:snapToGrid w:val="0"/>
                    <w:jc w:val="center"/>
                    <w:rPr>
                      <w:rFonts w:hint="eastAsia"/>
                      <w:color w:val="auto"/>
                      <w:szCs w:val="21"/>
                    </w:rPr>
                  </w:pPr>
                </w:p>
              </w:tc>
            </w:tr>
            <w:tr w14:paraId="7DF9E7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000" w:type="pct"/>
                  <w:gridSpan w:val="9"/>
                  <w:noWrap w:val="0"/>
                  <w:vAlign w:val="center"/>
                </w:tcPr>
                <w:p w14:paraId="74326CE6">
                  <w:pPr>
                    <w:widowControl/>
                    <w:adjustRightInd w:val="0"/>
                    <w:snapToGrid w:val="0"/>
                    <w:jc w:val="left"/>
                    <w:textAlignment w:val="center"/>
                    <w:rPr>
                      <w:rFonts w:hint="eastAsia"/>
                      <w:color w:val="auto"/>
                      <w:kern w:val="0"/>
                      <w:szCs w:val="21"/>
                      <w:lang w:bidi="ar"/>
                    </w:rPr>
                  </w:pPr>
                  <w:r>
                    <w:rPr>
                      <w:rFonts w:hint="eastAsia"/>
                      <w:color w:val="auto"/>
                      <w:kern w:val="0"/>
                      <w:szCs w:val="21"/>
                      <w:lang w:bidi="ar"/>
                    </w:rPr>
                    <w:t>注：空间相对位置中以厂区西南角为原点（0，0），Z轴以地面高度为0点。</w:t>
                  </w:r>
                </w:p>
              </w:tc>
            </w:tr>
          </w:tbl>
          <w:p w14:paraId="65A991A7">
            <w:pPr>
              <w:adjustRightInd w:val="0"/>
              <w:snapToGrid w:val="0"/>
              <w:spacing w:before="120" w:beforeLines="50" w:line="360" w:lineRule="auto"/>
              <w:ind w:firstLine="422" w:firstLineChars="200"/>
              <w:jc w:val="left"/>
              <w:rPr>
                <w:b/>
                <w:bCs/>
                <w:color w:val="auto"/>
                <w:szCs w:val="21"/>
              </w:rPr>
            </w:pPr>
            <w:r>
              <w:rPr>
                <w:b/>
                <w:bCs/>
                <w:color w:val="auto"/>
                <w:szCs w:val="21"/>
              </w:rPr>
              <w:t>2、</w:t>
            </w:r>
            <w:r>
              <w:rPr>
                <w:b/>
                <w:color w:val="auto"/>
                <w:kern w:val="0"/>
                <w:szCs w:val="21"/>
              </w:rPr>
              <w:t>达标排放</w:t>
            </w:r>
          </w:p>
          <w:p w14:paraId="52509DC1">
            <w:pPr>
              <w:adjustRightInd w:val="0"/>
              <w:snapToGrid w:val="0"/>
              <w:spacing w:line="360" w:lineRule="auto"/>
              <w:ind w:firstLine="420" w:firstLineChars="200"/>
              <w:jc w:val="left"/>
              <w:rPr>
                <w:color w:val="auto"/>
                <w:szCs w:val="21"/>
              </w:rPr>
            </w:pPr>
            <w:r>
              <w:rPr>
                <w:color w:val="auto"/>
                <w:szCs w:val="21"/>
              </w:rPr>
              <w:t>项目周边无敏感点，因此项目运营期噪声影响选择各厂界作为关心点进行影响预测。根据《环境影响评价技术导则 声环境（HJ2.4-2021）的规定，选取预测模式，应用过程中将根据具体情况作必要简化，考虑噪声距离衰减和隔声措施，预测其受到的影响，厂界噪声预测结果见</w:t>
            </w:r>
            <w:r>
              <w:rPr>
                <w:rFonts w:hint="eastAsia"/>
                <w:color w:val="auto"/>
                <w:szCs w:val="21"/>
                <w:lang w:val="en-US" w:eastAsia="zh-CN"/>
              </w:rPr>
              <w:t>下表</w:t>
            </w:r>
            <w:r>
              <w:rPr>
                <w:color w:val="auto"/>
                <w:szCs w:val="21"/>
              </w:rPr>
              <w:t>。</w:t>
            </w:r>
          </w:p>
          <w:p w14:paraId="51AED3C6">
            <w:pPr>
              <w:keepNext w:val="0"/>
              <w:keepLines w:val="0"/>
              <w:pageBreakBefore w:val="0"/>
              <w:widowControl w:val="0"/>
              <w:kinsoku/>
              <w:wordWrap/>
              <w:overflowPunct/>
              <w:topLinePunct w:val="0"/>
              <w:autoSpaceDE/>
              <w:autoSpaceDN/>
              <w:bidi w:val="0"/>
              <w:adjustRightInd w:val="0"/>
              <w:snapToGrid w:val="0"/>
              <w:jc w:val="center"/>
              <w:textAlignment w:val="auto"/>
              <w:rPr>
                <w:b/>
                <w:bCs/>
                <w:color w:val="auto"/>
                <w:szCs w:val="21"/>
              </w:rPr>
            </w:pPr>
            <w:r>
              <w:rPr>
                <w:b/>
                <w:bCs/>
                <w:color w:val="auto"/>
                <w:szCs w:val="21"/>
              </w:rPr>
              <w:t>表4-</w:t>
            </w:r>
            <w:r>
              <w:rPr>
                <w:rFonts w:hint="eastAsia"/>
                <w:b/>
                <w:bCs/>
                <w:color w:val="auto"/>
                <w:szCs w:val="21"/>
                <w:lang w:val="en-US" w:eastAsia="zh-CN"/>
              </w:rPr>
              <w:t>22</w:t>
            </w:r>
            <w:r>
              <w:rPr>
                <w:rFonts w:hint="eastAsia"/>
                <w:b/>
                <w:bCs/>
                <w:color w:val="auto"/>
                <w:szCs w:val="21"/>
              </w:rPr>
              <w:t xml:space="preserve"> </w:t>
            </w:r>
            <w:r>
              <w:rPr>
                <w:b/>
                <w:bCs/>
                <w:color w:val="auto"/>
                <w:szCs w:val="21"/>
              </w:rPr>
              <w:t>噪声影响预测结果表  单位：dB（A）</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07"/>
              <w:gridCol w:w="1741"/>
              <w:gridCol w:w="1741"/>
              <w:gridCol w:w="1741"/>
              <w:gridCol w:w="1746"/>
            </w:tblGrid>
            <w:tr w14:paraId="283651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pct"/>
                  <w:vMerge w:val="restart"/>
                  <w:noWrap w:val="0"/>
                  <w:tcMar>
                    <w:top w:w="0" w:type="dxa"/>
                    <w:left w:w="0" w:type="dxa"/>
                    <w:bottom w:w="0" w:type="dxa"/>
                    <w:right w:w="0" w:type="dxa"/>
                  </w:tcMar>
                  <w:vAlign w:val="center"/>
                </w:tcPr>
                <w:p w14:paraId="675C2EEB">
                  <w:pPr>
                    <w:autoSpaceDE w:val="0"/>
                    <w:autoSpaceDN w:val="0"/>
                    <w:jc w:val="center"/>
                    <w:rPr>
                      <w:b/>
                      <w:bCs/>
                      <w:color w:val="auto"/>
                      <w:szCs w:val="21"/>
                    </w:rPr>
                  </w:pPr>
                  <w:r>
                    <w:rPr>
                      <w:b/>
                      <w:bCs/>
                      <w:color w:val="auto"/>
                      <w:szCs w:val="21"/>
                    </w:rPr>
                    <w:t>噪声值</w:t>
                  </w:r>
                </w:p>
              </w:tc>
              <w:tc>
                <w:tcPr>
                  <w:tcW w:w="4159" w:type="pct"/>
                  <w:gridSpan w:val="4"/>
                  <w:noWrap w:val="0"/>
                  <w:tcMar>
                    <w:top w:w="0" w:type="dxa"/>
                    <w:left w:w="0" w:type="dxa"/>
                    <w:bottom w:w="0" w:type="dxa"/>
                    <w:right w:w="0" w:type="dxa"/>
                  </w:tcMar>
                  <w:vAlign w:val="center"/>
                </w:tcPr>
                <w:p w14:paraId="10549400">
                  <w:pPr>
                    <w:autoSpaceDE w:val="0"/>
                    <w:autoSpaceDN w:val="0"/>
                    <w:jc w:val="center"/>
                    <w:rPr>
                      <w:b/>
                      <w:bCs/>
                      <w:color w:val="auto"/>
                      <w:szCs w:val="21"/>
                    </w:rPr>
                  </w:pPr>
                  <w:r>
                    <w:rPr>
                      <w:b/>
                      <w:bCs/>
                      <w:color w:val="auto"/>
                      <w:szCs w:val="21"/>
                    </w:rPr>
                    <w:t>厂界</w:t>
                  </w:r>
                </w:p>
              </w:tc>
            </w:tr>
            <w:tr w14:paraId="7F5EF9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pct"/>
                  <w:vMerge w:val="continue"/>
                  <w:noWrap w:val="0"/>
                  <w:tcMar>
                    <w:top w:w="0" w:type="dxa"/>
                    <w:left w:w="0" w:type="dxa"/>
                    <w:bottom w:w="0" w:type="dxa"/>
                    <w:right w:w="0" w:type="dxa"/>
                  </w:tcMar>
                  <w:vAlign w:val="center"/>
                </w:tcPr>
                <w:p w14:paraId="200E6C54">
                  <w:pPr>
                    <w:autoSpaceDE w:val="0"/>
                    <w:autoSpaceDN w:val="0"/>
                    <w:jc w:val="center"/>
                    <w:rPr>
                      <w:b/>
                      <w:bCs/>
                      <w:color w:val="auto"/>
                      <w:szCs w:val="21"/>
                    </w:rPr>
                  </w:pPr>
                </w:p>
              </w:tc>
              <w:tc>
                <w:tcPr>
                  <w:tcW w:w="1039" w:type="pct"/>
                  <w:noWrap w:val="0"/>
                  <w:tcMar>
                    <w:top w:w="0" w:type="dxa"/>
                    <w:left w:w="0" w:type="dxa"/>
                    <w:bottom w:w="0" w:type="dxa"/>
                    <w:right w:w="0" w:type="dxa"/>
                  </w:tcMar>
                  <w:vAlign w:val="center"/>
                </w:tcPr>
                <w:p w14:paraId="488F6A9E">
                  <w:pPr>
                    <w:autoSpaceDE w:val="0"/>
                    <w:autoSpaceDN w:val="0"/>
                    <w:jc w:val="center"/>
                    <w:rPr>
                      <w:b/>
                      <w:bCs/>
                      <w:color w:val="auto"/>
                      <w:szCs w:val="21"/>
                    </w:rPr>
                  </w:pPr>
                  <w:r>
                    <w:rPr>
                      <w:b/>
                      <w:bCs/>
                      <w:color w:val="auto"/>
                      <w:szCs w:val="21"/>
                    </w:rPr>
                    <w:t>东厂界</w:t>
                  </w:r>
                </w:p>
              </w:tc>
              <w:tc>
                <w:tcPr>
                  <w:tcW w:w="1039" w:type="pct"/>
                  <w:noWrap w:val="0"/>
                  <w:tcMar>
                    <w:top w:w="0" w:type="dxa"/>
                    <w:left w:w="0" w:type="dxa"/>
                    <w:bottom w:w="0" w:type="dxa"/>
                    <w:right w:w="0" w:type="dxa"/>
                  </w:tcMar>
                  <w:vAlign w:val="center"/>
                </w:tcPr>
                <w:p w14:paraId="2BF664AE">
                  <w:pPr>
                    <w:adjustRightInd w:val="0"/>
                    <w:snapToGrid w:val="0"/>
                    <w:jc w:val="center"/>
                    <w:rPr>
                      <w:b/>
                      <w:bCs/>
                      <w:color w:val="auto"/>
                      <w:szCs w:val="21"/>
                    </w:rPr>
                  </w:pPr>
                  <w:r>
                    <w:rPr>
                      <w:b/>
                      <w:bCs/>
                      <w:color w:val="auto"/>
                      <w:szCs w:val="21"/>
                    </w:rPr>
                    <w:t>南厂界</w:t>
                  </w:r>
                </w:p>
              </w:tc>
              <w:tc>
                <w:tcPr>
                  <w:tcW w:w="1039" w:type="pct"/>
                  <w:noWrap w:val="0"/>
                  <w:tcMar>
                    <w:top w:w="0" w:type="dxa"/>
                    <w:left w:w="0" w:type="dxa"/>
                    <w:bottom w:w="0" w:type="dxa"/>
                    <w:right w:w="0" w:type="dxa"/>
                  </w:tcMar>
                  <w:vAlign w:val="center"/>
                </w:tcPr>
                <w:p w14:paraId="73FC70B9">
                  <w:pPr>
                    <w:adjustRightInd w:val="0"/>
                    <w:snapToGrid w:val="0"/>
                    <w:jc w:val="center"/>
                    <w:rPr>
                      <w:b/>
                      <w:bCs/>
                      <w:color w:val="auto"/>
                      <w:szCs w:val="21"/>
                    </w:rPr>
                  </w:pPr>
                  <w:r>
                    <w:rPr>
                      <w:b/>
                      <w:bCs/>
                      <w:color w:val="auto"/>
                      <w:szCs w:val="21"/>
                    </w:rPr>
                    <w:t>西厂界</w:t>
                  </w:r>
                </w:p>
              </w:tc>
              <w:tc>
                <w:tcPr>
                  <w:tcW w:w="1040" w:type="pct"/>
                  <w:noWrap w:val="0"/>
                  <w:tcMar>
                    <w:top w:w="0" w:type="dxa"/>
                    <w:left w:w="0" w:type="dxa"/>
                    <w:bottom w:w="0" w:type="dxa"/>
                    <w:right w:w="0" w:type="dxa"/>
                  </w:tcMar>
                  <w:vAlign w:val="center"/>
                </w:tcPr>
                <w:p w14:paraId="0B165D47">
                  <w:pPr>
                    <w:adjustRightInd w:val="0"/>
                    <w:snapToGrid w:val="0"/>
                    <w:jc w:val="center"/>
                    <w:rPr>
                      <w:b/>
                      <w:bCs/>
                      <w:color w:val="auto"/>
                      <w:szCs w:val="21"/>
                    </w:rPr>
                  </w:pPr>
                  <w:r>
                    <w:rPr>
                      <w:b/>
                      <w:bCs/>
                      <w:color w:val="auto"/>
                      <w:szCs w:val="21"/>
                    </w:rPr>
                    <w:t>北厂界</w:t>
                  </w:r>
                </w:p>
              </w:tc>
            </w:tr>
            <w:tr w14:paraId="2A8825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pct"/>
                  <w:noWrap w:val="0"/>
                  <w:tcMar>
                    <w:top w:w="0" w:type="dxa"/>
                    <w:left w:w="0" w:type="dxa"/>
                    <w:bottom w:w="0" w:type="dxa"/>
                    <w:right w:w="0" w:type="dxa"/>
                  </w:tcMar>
                  <w:vAlign w:val="center"/>
                </w:tcPr>
                <w:p w14:paraId="57311BFF">
                  <w:pPr>
                    <w:autoSpaceDE w:val="0"/>
                    <w:autoSpaceDN w:val="0"/>
                    <w:jc w:val="center"/>
                    <w:rPr>
                      <w:color w:val="auto"/>
                      <w:szCs w:val="21"/>
                    </w:rPr>
                  </w:pPr>
                  <w:r>
                    <w:rPr>
                      <w:color w:val="auto"/>
                      <w:szCs w:val="21"/>
                    </w:rPr>
                    <w:t>贡献值</w:t>
                  </w:r>
                </w:p>
              </w:tc>
              <w:tc>
                <w:tcPr>
                  <w:tcW w:w="1039" w:type="pct"/>
                  <w:noWrap w:val="0"/>
                  <w:tcMar>
                    <w:top w:w="0" w:type="dxa"/>
                    <w:left w:w="0" w:type="dxa"/>
                    <w:bottom w:w="0" w:type="dxa"/>
                    <w:right w:w="0" w:type="dxa"/>
                  </w:tcMar>
                  <w:vAlign w:val="center"/>
                </w:tcPr>
                <w:p w14:paraId="24FDDF1F">
                  <w:pPr>
                    <w:adjustRightInd w:val="0"/>
                    <w:snapToGrid w:val="0"/>
                    <w:jc w:val="center"/>
                    <w:rPr>
                      <w:rFonts w:hint="default" w:eastAsia="宋体"/>
                      <w:bCs/>
                      <w:color w:val="auto"/>
                      <w:szCs w:val="21"/>
                      <w:lang w:val="en-US" w:eastAsia="zh-CN"/>
                    </w:rPr>
                  </w:pPr>
                  <w:r>
                    <w:rPr>
                      <w:rFonts w:hint="eastAsia" w:eastAsia="宋体"/>
                      <w:bCs/>
                      <w:color w:val="auto"/>
                      <w:szCs w:val="21"/>
                      <w:lang w:val="en-US" w:eastAsia="zh-CN"/>
                    </w:rPr>
                    <w:t>31.86</w:t>
                  </w:r>
                </w:p>
              </w:tc>
              <w:tc>
                <w:tcPr>
                  <w:tcW w:w="1039" w:type="pct"/>
                  <w:noWrap w:val="0"/>
                  <w:tcMar>
                    <w:top w:w="0" w:type="dxa"/>
                    <w:left w:w="0" w:type="dxa"/>
                    <w:bottom w:w="0" w:type="dxa"/>
                    <w:right w:w="0" w:type="dxa"/>
                  </w:tcMar>
                  <w:vAlign w:val="center"/>
                </w:tcPr>
                <w:p w14:paraId="6FDF138A">
                  <w:pPr>
                    <w:adjustRightInd w:val="0"/>
                    <w:snapToGrid w:val="0"/>
                    <w:jc w:val="center"/>
                    <w:rPr>
                      <w:rFonts w:hint="default" w:eastAsia="宋体"/>
                      <w:bCs/>
                      <w:color w:val="auto"/>
                      <w:szCs w:val="21"/>
                      <w:lang w:val="en-US" w:eastAsia="zh-CN"/>
                    </w:rPr>
                  </w:pPr>
                  <w:r>
                    <w:rPr>
                      <w:rFonts w:hint="eastAsia" w:eastAsia="宋体"/>
                      <w:bCs/>
                      <w:color w:val="auto"/>
                      <w:szCs w:val="21"/>
                      <w:lang w:val="en-US" w:eastAsia="zh-CN"/>
                    </w:rPr>
                    <w:t>43.14</w:t>
                  </w:r>
                </w:p>
              </w:tc>
              <w:tc>
                <w:tcPr>
                  <w:tcW w:w="1039" w:type="pct"/>
                  <w:noWrap w:val="0"/>
                  <w:tcMar>
                    <w:top w:w="0" w:type="dxa"/>
                    <w:left w:w="0" w:type="dxa"/>
                    <w:bottom w:w="0" w:type="dxa"/>
                    <w:right w:w="0" w:type="dxa"/>
                  </w:tcMar>
                  <w:vAlign w:val="center"/>
                </w:tcPr>
                <w:p w14:paraId="4509F809">
                  <w:pPr>
                    <w:adjustRightInd w:val="0"/>
                    <w:snapToGrid w:val="0"/>
                    <w:jc w:val="center"/>
                    <w:rPr>
                      <w:rFonts w:hint="default" w:eastAsia="宋体"/>
                      <w:bCs/>
                      <w:color w:val="auto"/>
                      <w:szCs w:val="21"/>
                      <w:lang w:val="en-US" w:eastAsia="zh-CN"/>
                    </w:rPr>
                  </w:pPr>
                  <w:r>
                    <w:rPr>
                      <w:rFonts w:hint="eastAsia" w:eastAsia="宋体"/>
                      <w:bCs/>
                      <w:color w:val="auto"/>
                      <w:szCs w:val="21"/>
                      <w:lang w:val="en-US" w:eastAsia="zh-CN"/>
                    </w:rPr>
                    <w:t>52.68</w:t>
                  </w:r>
                </w:p>
              </w:tc>
              <w:tc>
                <w:tcPr>
                  <w:tcW w:w="1041" w:type="pct"/>
                  <w:noWrap w:val="0"/>
                  <w:tcMar>
                    <w:top w:w="0" w:type="dxa"/>
                    <w:left w:w="0" w:type="dxa"/>
                    <w:bottom w:w="0" w:type="dxa"/>
                    <w:right w:w="0" w:type="dxa"/>
                  </w:tcMar>
                  <w:vAlign w:val="center"/>
                </w:tcPr>
                <w:p w14:paraId="72D6CA83">
                  <w:pPr>
                    <w:adjustRightInd w:val="0"/>
                    <w:snapToGrid w:val="0"/>
                    <w:jc w:val="center"/>
                    <w:rPr>
                      <w:rFonts w:hint="default" w:eastAsia="宋体"/>
                      <w:bCs/>
                      <w:color w:val="auto"/>
                      <w:szCs w:val="21"/>
                      <w:lang w:val="en-US" w:eastAsia="zh-CN"/>
                    </w:rPr>
                  </w:pPr>
                  <w:r>
                    <w:rPr>
                      <w:rFonts w:hint="eastAsia" w:eastAsia="宋体"/>
                      <w:bCs/>
                      <w:color w:val="auto"/>
                      <w:szCs w:val="21"/>
                      <w:lang w:val="en-US" w:eastAsia="zh-CN"/>
                    </w:rPr>
                    <w:t>38.7</w:t>
                  </w:r>
                </w:p>
              </w:tc>
            </w:tr>
            <w:tr w14:paraId="7C0F11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pct"/>
                  <w:noWrap w:val="0"/>
                  <w:tcMar>
                    <w:top w:w="0" w:type="dxa"/>
                    <w:left w:w="0" w:type="dxa"/>
                    <w:bottom w:w="0" w:type="dxa"/>
                    <w:right w:w="0" w:type="dxa"/>
                  </w:tcMar>
                  <w:vAlign w:val="center"/>
                </w:tcPr>
                <w:p w14:paraId="100AF33F">
                  <w:pPr>
                    <w:autoSpaceDE w:val="0"/>
                    <w:autoSpaceDN w:val="0"/>
                    <w:jc w:val="center"/>
                    <w:rPr>
                      <w:color w:val="auto"/>
                      <w:szCs w:val="21"/>
                    </w:rPr>
                  </w:pPr>
                  <w:r>
                    <w:rPr>
                      <w:color w:val="auto"/>
                      <w:szCs w:val="21"/>
                    </w:rPr>
                    <w:t>标准值</w:t>
                  </w:r>
                </w:p>
              </w:tc>
              <w:tc>
                <w:tcPr>
                  <w:tcW w:w="4159" w:type="pct"/>
                  <w:gridSpan w:val="4"/>
                  <w:noWrap w:val="0"/>
                  <w:tcMar>
                    <w:top w:w="0" w:type="dxa"/>
                    <w:left w:w="0" w:type="dxa"/>
                    <w:bottom w:w="0" w:type="dxa"/>
                    <w:right w:w="0" w:type="dxa"/>
                  </w:tcMar>
                  <w:vAlign w:val="center"/>
                </w:tcPr>
                <w:p w14:paraId="61D65ED9">
                  <w:pPr>
                    <w:adjustRightInd w:val="0"/>
                    <w:snapToGrid w:val="0"/>
                    <w:jc w:val="center"/>
                    <w:rPr>
                      <w:rFonts w:hint="default" w:eastAsia="宋体"/>
                      <w:color w:val="auto"/>
                      <w:szCs w:val="21"/>
                      <w:lang w:val="en-US" w:eastAsia="zh-CN"/>
                    </w:rPr>
                  </w:pPr>
                  <w:r>
                    <w:rPr>
                      <w:color w:val="auto"/>
                      <w:szCs w:val="21"/>
                    </w:rPr>
                    <w:t>昼间≤</w:t>
                  </w:r>
                  <w:r>
                    <w:rPr>
                      <w:rFonts w:hint="eastAsia"/>
                      <w:color w:val="auto"/>
                      <w:szCs w:val="21"/>
                    </w:rPr>
                    <w:t>6</w:t>
                  </w:r>
                  <w:r>
                    <w:rPr>
                      <w:rFonts w:hint="eastAsia"/>
                      <w:color w:val="auto"/>
                      <w:szCs w:val="21"/>
                      <w:lang w:val="en-US" w:eastAsia="zh-CN"/>
                    </w:rPr>
                    <w:t>0</w:t>
                  </w:r>
                  <w:r>
                    <w:rPr>
                      <w:color w:val="auto"/>
                      <w:szCs w:val="21"/>
                    </w:rPr>
                    <w:t>dB(A)</w:t>
                  </w:r>
                </w:p>
              </w:tc>
            </w:tr>
          </w:tbl>
          <w:p w14:paraId="074F95D9">
            <w:pPr>
              <w:keepNext w:val="0"/>
              <w:keepLines w:val="0"/>
              <w:pageBreakBefore w:val="0"/>
              <w:widowControl w:val="0"/>
              <w:shd w:val="clear" w:color="auto" w:fill="auto"/>
              <w:kinsoku/>
              <w:wordWrap/>
              <w:overflowPunct/>
              <w:topLinePunct w:val="0"/>
              <w:autoSpaceDE/>
              <w:autoSpaceDN/>
              <w:bidi w:val="0"/>
              <w:adjustRightInd w:val="0"/>
              <w:snapToGrid w:val="0"/>
              <w:spacing w:before="157" w:beforeLines="50" w:line="360" w:lineRule="auto"/>
              <w:ind w:firstLine="422" w:firstLineChars="200"/>
              <w:jc w:val="both"/>
              <w:textAlignment w:val="auto"/>
              <w:rPr>
                <w:b/>
                <w:color w:val="auto"/>
                <w:szCs w:val="21"/>
              </w:rPr>
            </w:pPr>
            <w:r>
              <w:rPr>
                <w:b/>
                <w:color w:val="auto"/>
                <w:szCs w:val="21"/>
              </w:rPr>
              <w:t>3、</w:t>
            </w:r>
            <w:r>
              <w:rPr>
                <w:rFonts w:hint="eastAsia"/>
                <w:b/>
                <w:color w:val="auto"/>
                <w:szCs w:val="21"/>
              </w:rPr>
              <w:t>声环境影响分析结论</w:t>
            </w:r>
          </w:p>
          <w:p w14:paraId="31CA3C7A">
            <w:pPr>
              <w:keepNext w:val="0"/>
              <w:keepLines w:val="0"/>
              <w:pageBreakBefore w:val="0"/>
              <w:widowControl w:val="0"/>
              <w:shd w:val="clear" w:color="auto" w:fill="auto"/>
              <w:kinsoku/>
              <w:wordWrap/>
              <w:overflowPunct/>
              <w:topLinePunct w:val="0"/>
              <w:autoSpaceDE/>
              <w:autoSpaceDN/>
              <w:bidi w:val="0"/>
              <w:adjustRightInd w:val="0"/>
              <w:snapToGrid w:val="0"/>
              <w:spacing w:line="360" w:lineRule="auto"/>
              <w:ind w:firstLine="420" w:firstLineChars="200"/>
              <w:jc w:val="both"/>
              <w:textAlignment w:val="auto"/>
              <w:rPr>
                <w:color w:val="auto"/>
                <w:szCs w:val="21"/>
              </w:rPr>
            </w:pPr>
            <w:r>
              <w:rPr>
                <w:color w:val="auto"/>
                <w:szCs w:val="21"/>
              </w:rPr>
              <w:t>由预测结果可见，本项目高噪声设备经合理布局、消声、减振、厂房隔声及距离衰减后，东、南、西、北四个厂界噪声达到《工业企业厂界环境噪声排放标准》（GB12348-2008）表1中</w:t>
            </w:r>
            <w:r>
              <w:rPr>
                <w:rFonts w:hint="eastAsia"/>
                <w:color w:val="auto"/>
                <w:szCs w:val="21"/>
                <w:lang w:val="en-US" w:eastAsia="zh-CN"/>
              </w:rPr>
              <w:t>2</w:t>
            </w:r>
            <w:r>
              <w:rPr>
                <w:color w:val="auto"/>
                <w:szCs w:val="21"/>
              </w:rPr>
              <w:t>类声环境功能区环境噪声限值，即：昼间噪声值≤</w:t>
            </w:r>
            <w:r>
              <w:rPr>
                <w:rFonts w:hint="eastAsia"/>
                <w:color w:val="auto"/>
                <w:szCs w:val="21"/>
                <w:lang w:val="en-US" w:eastAsia="zh-CN"/>
              </w:rPr>
              <w:t>60</w:t>
            </w:r>
            <w:r>
              <w:rPr>
                <w:color w:val="auto"/>
                <w:szCs w:val="21"/>
              </w:rPr>
              <w:t>dB（A）</w:t>
            </w:r>
            <w:r>
              <w:rPr>
                <w:rFonts w:hint="eastAsia"/>
                <w:color w:val="auto"/>
                <w:szCs w:val="21"/>
                <w:lang w:eastAsia="zh-CN"/>
              </w:rPr>
              <w:t>、</w:t>
            </w:r>
            <w:r>
              <w:rPr>
                <w:rFonts w:hint="eastAsia"/>
                <w:color w:val="auto"/>
                <w:szCs w:val="21"/>
                <w:lang w:val="en-US" w:eastAsia="zh-CN"/>
              </w:rPr>
              <w:t>夜间噪声值</w:t>
            </w:r>
            <w:r>
              <w:rPr>
                <w:color w:val="auto"/>
                <w:szCs w:val="21"/>
              </w:rPr>
              <w:t>≤</w:t>
            </w:r>
            <w:r>
              <w:rPr>
                <w:rFonts w:hint="eastAsia"/>
                <w:color w:val="auto"/>
                <w:szCs w:val="21"/>
                <w:lang w:val="en-US" w:eastAsia="zh-CN"/>
              </w:rPr>
              <w:t>50</w:t>
            </w:r>
            <w:r>
              <w:rPr>
                <w:color w:val="auto"/>
                <w:szCs w:val="21"/>
              </w:rPr>
              <w:t>dB（A），对周围环境影响较小。</w:t>
            </w:r>
          </w:p>
          <w:p w14:paraId="24B61647">
            <w:pPr>
              <w:keepNext w:val="0"/>
              <w:keepLines w:val="0"/>
              <w:pageBreakBefore w:val="0"/>
              <w:widowControl w:val="0"/>
              <w:shd w:val="clear" w:color="auto" w:fill="auto"/>
              <w:tabs>
                <w:tab w:val="left" w:pos="6920"/>
              </w:tabs>
              <w:kinsoku/>
              <w:wordWrap/>
              <w:overflowPunct/>
              <w:topLinePunct w:val="0"/>
              <w:autoSpaceDE/>
              <w:autoSpaceDN/>
              <w:bidi w:val="0"/>
              <w:adjustRightInd w:val="0"/>
              <w:snapToGrid w:val="0"/>
              <w:spacing w:line="360" w:lineRule="auto"/>
              <w:ind w:firstLine="482"/>
              <w:jc w:val="both"/>
              <w:textAlignment w:val="auto"/>
              <w:rPr>
                <w:b/>
                <w:bCs/>
                <w:color w:val="auto"/>
              </w:rPr>
            </w:pPr>
            <w:r>
              <w:rPr>
                <w:rFonts w:hint="eastAsia"/>
                <w:b/>
                <w:bCs/>
                <w:color w:val="auto"/>
              </w:rPr>
              <w:t>4、噪声监测计划</w:t>
            </w:r>
          </w:p>
          <w:p w14:paraId="1F7076E9">
            <w:pPr>
              <w:keepNext w:val="0"/>
              <w:keepLines w:val="0"/>
              <w:pageBreakBefore w:val="0"/>
              <w:widowControl w:val="0"/>
              <w:kinsoku/>
              <w:wordWrap/>
              <w:overflowPunct/>
              <w:topLinePunct w:val="0"/>
              <w:autoSpaceDE/>
              <w:autoSpaceDN/>
              <w:bidi w:val="0"/>
              <w:adjustRightInd w:val="0"/>
              <w:snapToGrid w:val="0"/>
              <w:jc w:val="center"/>
              <w:textAlignment w:val="auto"/>
              <w:rPr>
                <w:b/>
                <w:bCs/>
                <w:color w:val="auto"/>
                <w:szCs w:val="21"/>
              </w:rPr>
            </w:pPr>
            <w:r>
              <w:rPr>
                <w:b/>
                <w:bCs/>
                <w:color w:val="auto"/>
                <w:szCs w:val="21"/>
              </w:rPr>
              <w:t>表4-</w:t>
            </w:r>
            <w:r>
              <w:rPr>
                <w:rFonts w:hint="eastAsia"/>
                <w:b/>
                <w:bCs/>
                <w:color w:val="auto"/>
                <w:szCs w:val="21"/>
                <w:lang w:val="en-US" w:eastAsia="zh-CN"/>
              </w:rPr>
              <w:t>23</w:t>
            </w:r>
            <w:r>
              <w:rPr>
                <w:b/>
                <w:bCs/>
                <w:color w:val="auto"/>
                <w:szCs w:val="21"/>
              </w:rPr>
              <w:t xml:space="preserve"> 噪声污染源监测计划</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1125"/>
              <w:gridCol w:w="1763"/>
              <w:gridCol w:w="1678"/>
              <w:gridCol w:w="1742"/>
              <w:gridCol w:w="2069"/>
            </w:tblGrid>
            <w:tr w14:paraId="18D3E0CE">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PrEx>
              <w:trPr>
                <w:trHeight w:val="340" w:hRule="atLeast"/>
                <w:jc w:val="center"/>
              </w:trPr>
              <w:tc>
                <w:tcPr>
                  <w:tcW w:w="1125" w:type="dxa"/>
                  <w:noWrap w:val="0"/>
                  <w:tcMar>
                    <w:top w:w="0" w:type="dxa"/>
                    <w:left w:w="0" w:type="dxa"/>
                    <w:bottom w:w="0" w:type="dxa"/>
                    <w:right w:w="0" w:type="dxa"/>
                  </w:tcMar>
                  <w:vAlign w:val="center"/>
                </w:tcPr>
                <w:p w14:paraId="6AB1E2CE">
                  <w:pPr>
                    <w:adjustRightInd w:val="0"/>
                    <w:snapToGrid w:val="0"/>
                    <w:jc w:val="center"/>
                    <w:rPr>
                      <w:b/>
                      <w:bCs/>
                      <w:color w:val="auto"/>
                      <w:szCs w:val="21"/>
                    </w:rPr>
                  </w:pPr>
                  <w:r>
                    <w:rPr>
                      <w:b/>
                      <w:color w:val="auto"/>
                      <w:szCs w:val="21"/>
                    </w:rPr>
                    <w:t>时段</w:t>
                  </w:r>
                </w:p>
              </w:tc>
              <w:tc>
                <w:tcPr>
                  <w:tcW w:w="1763" w:type="dxa"/>
                  <w:noWrap w:val="0"/>
                  <w:tcMar>
                    <w:top w:w="0" w:type="dxa"/>
                    <w:left w:w="0" w:type="dxa"/>
                    <w:bottom w:w="0" w:type="dxa"/>
                    <w:right w:w="0" w:type="dxa"/>
                  </w:tcMar>
                  <w:vAlign w:val="center"/>
                </w:tcPr>
                <w:p w14:paraId="408151D0">
                  <w:pPr>
                    <w:jc w:val="center"/>
                    <w:rPr>
                      <w:b/>
                      <w:bCs/>
                      <w:color w:val="auto"/>
                      <w:szCs w:val="21"/>
                    </w:rPr>
                  </w:pPr>
                  <w:r>
                    <w:rPr>
                      <w:b/>
                      <w:bCs/>
                      <w:color w:val="auto"/>
                      <w:szCs w:val="21"/>
                    </w:rPr>
                    <w:t>监测点位</w:t>
                  </w:r>
                </w:p>
              </w:tc>
              <w:tc>
                <w:tcPr>
                  <w:tcW w:w="1678" w:type="dxa"/>
                  <w:noWrap w:val="0"/>
                  <w:tcMar>
                    <w:top w:w="0" w:type="dxa"/>
                    <w:left w:w="0" w:type="dxa"/>
                    <w:bottom w:w="0" w:type="dxa"/>
                    <w:right w:w="0" w:type="dxa"/>
                  </w:tcMar>
                  <w:vAlign w:val="center"/>
                </w:tcPr>
                <w:p w14:paraId="51BF06DA">
                  <w:pPr>
                    <w:jc w:val="center"/>
                    <w:rPr>
                      <w:b/>
                      <w:bCs/>
                      <w:color w:val="auto"/>
                      <w:szCs w:val="21"/>
                    </w:rPr>
                  </w:pPr>
                  <w:r>
                    <w:rPr>
                      <w:b/>
                      <w:bCs/>
                      <w:color w:val="auto"/>
                      <w:szCs w:val="21"/>
                    </w:rPr>
                    <w:t>监测项目</w:t>
                  </w:r>
                </w:p>
              </w:tc>
              <w:tc>
                <w:tcPr>
                  <w:tcW w:w="1742" w:type="dxa"/>
                  <w:noWrap w:val="0"/>
                  <w:tcMar>
                    <w:top w:w="0" w:type="dxa"/>
                    <w:left w:w="0" w:type="dxa"/>
                    <w:bottom w:w="0" w:type="dxa"/>
                    <w:right w:w="0" w:type="dxa"/>
                  </w:tcMar>
                  <w:vAlign w:val="center"/>
                </w:tcPr>
                <w:p w14:paraId="73A81615">
                  <w:pPr>
                    <w:jc w:val="center"/>
                    <w:rPr>
                      <w:b/>
                      <w:bCs/>
                      <w:color w:val="auto"/>
                      <w:szCs w:val="21"/>
                    </w:rPr>
                  </w:pPr>
                  <w:r>
                    <w:rPr>
                      <w:b/>
                      <w:bCs/>
                      <w:color w:val="auto"/>
                      <w:szCs w:val="21"/>
                    </w:rPr>
                    <w:t>监测频率</w:t>
                  </w:r>
                </w:p>
              </w:tc>
              <w:tc>
                <w:tcPr>
                  <w:tcW w:w="2069" w:type="dxa"/>
                  <w:noWrap w:val="0"/>
                  <w:tcMar>
                    <w:top w:w="0" w:type="dxa"/>
                    <w:left w:w="0" w:type="dxa"/>
                    <w:bottom w:w="0" w:type="dxa"/>
                    <w:right w:w="0" w:type="dxa"/>
                  </w:tcMar>
                  <w:vAlign w:val="center"/>
                </w:tcPr>
                <w:p w14:paraId="57065456">
                  <w:pPr>
                    <w:jc w:val="center"/>
                    <w:rPr>
                      <w:b/>
                      <w:bCs/>
                      <w:color w:val="auto"/>
                      <w:szCs w:val="21"/>
                    </w:rPr>
                  </w:pPr>
                  <w:r>
                    <w:rPr>
                      <w:b/>
                      <w:bCs/>
                      <w:color w:val="auto"/>
                      <w:szCs w:val="21"/>
                    </w:rPr>
                    <w:t>执行排放标准</w:t>
                  </w:r>
                </w:p>
              </w:tc>
            </w:tr>
            <w:tr w14:paraId="7763DE99">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125" w:type="dxa"/>
                  <w:shd w:val="clear" w:color="auto" w:fill="auto"/>
                  <w:noWrap w:val="0"/>
                  <w:tcMar>
                    <w:top w:w="0" w:type="dxa"/>
                    <w:left w:w="0" w:type="dxa"/>
                    <w:bottom w:w="0" w:type="dxa"/>
                    <w:right w:w="0" w:type="dxa"/>
                  </w:tcMar>
                  <w:vAlign w:val="center"/>
                </w:tcPr>
                <w:p w14:paraId="5AC2D9C5">
                  <w:pPr>
                    <w:widowControl/>
                    <w:jc w:val="center"/>
                    <w:rPr>
                      <w:rFonts w:hint="eastAsia" w:ascii="Times New Roman" w:hAnsi="Times New Roman" w:eastAsia="宋体" w:cs="Times New Roman"/>
                      <w:color w:val="auto"/>
                      <w:kern w:val="2"/>
                      <w:sz w:val="21"/>
                      <w:szCs w:val="21"/>
                      <w:lang w:val="en-US" w:eastAsia="zh-CN" w:bidi="ar-SA"/>
                    </w:rPr>
                  </w:pPr>
                  <w:r>
                    <w:rPr>
                      <w:color w:val="auto"/>
                      <w:szCs w:val="21"/>
                    </w:rPr>
                    <w:t>日常监测</w:t>
                  </w:r>
                </w:p>
              </w:tc>
              <w:tc>
                <w:tcPr>
                  <w:tcW w:w="1763" w:type="dxa"/>
                  <w:shd w:val="clear" w:color="auto" w:fill="auto"/>
                  <w:noWrap w:val="0"/>
                  <w:tcMar>
                    <w:top w:w="0" w:type="dxa"/>
                    <w:left w:w="0" w:type="dxa"/>
                    <w:bottom w:w="0" w:type="dxa"/>
                    <w:right w:w="0" w:type="dxa"/>
                  </w:tcMar>
                  <w:vAlign w:val="center"/>
                </w:tcPr>
                <w:p w14:paraId="010217AC">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东、南、西、北</w:t>
                  </w:r>
                  <w:r>
                    <w:rPr>
                      <w:color w:val="auto"/>
                      <w:szCs w:val="21"/>
                    </w:rPr>
                    <w:t>厂界外1m处</w:t>
                  </w:r>
                </w:p>
              </w:tc>
              <w:tc>
                <w:tcPr>
                  <w:tcW w:w="1678" w:type="dxa"/>
                  <w:shd w:val="clear" w:color="auto" w:fill="auto"/>
                  <w:noWrap w:val="0"/>
                  <w:tcMar>
                    <w:top w:w="0" w:type="dxa"/>
                    <w:left w:w="0" w:type="dxa"/>
                    <w:bottom w:w="0" w:type="dxa"/>
                    <w:right w:w="0" w:type="dxa"/>
                  </w:tcMar>
                  <w:vAlign w:val="center"/>
                </w:tcPr>
                <w:p w14:paraId="35E9193C">
                  <w:pPr>
                    <w:jc w:val="center"/>
                    <w:rPr>
                      <w:rFonts w:ascii="Times New Roman" w:hAnsi="Times New Roman" w:eastAsia="宋体" w:cs="Times New Roman"/>
                      <w:color w:val="auto"/>
                      <w:kern w:val="2"/>
                      <w:sz w:val="21"/>
                      <w:szCs w:val="21"/>
                      <w:lang w:val="en-US" w:eastAsia="zh-CN" w:bidi="ar-SA"/>
                    </w:rPr>
                  </w:pPr>
                  <w:r>
                    <w:rPr>
                      <w:color w:val="auto"/>
                      <w:szCs w:val="21"/>
                    </w:rPr>
                    <w:t>等效连续A声级</w:t>
                  </w:r>
                </w:p>
              </w:tc>
              <w:tc>
                <w:tcPr>
                  <w:tcW w:w="1742" w:type="dxa"/>
                  <w:shd w:val="clear" w:color="auto" w:fill="auto"/>
                  <w:noWrap w:val="0"/>
                  <w:tcMar>
                    <w:top w:w="0" w:type="dxa"/>
                    <w:left w:w="0" w:type="dxa"/>
                    <w:bottom w:w="0" w:type="dxa"/>
                    <w:right w:w="0" w:type="dxa"/>
                  </w:tcMar>
                  <w:vAlign w:val="center"/>
                </w:tcPr>
                <w:p w14:paraId="6C7ADB70">
                  <w:pPr>
                    <w:jc w:val="center"/>
                    <w:rPr>
                      <w:rFonts w:ascii="Times New Roman" w:hAnsi="Times New Roman" w:eastAsia="宋体" w:cs="Times New Roman"/>
                      <w:color w:val="auto"/>
                      <w:kern w:val="2"/>
                      <w:sz w:val="21"/>
                      <w:szCs w:val="21"/>
                      <w:lang w:val="en-US" w:eastAsia="zh-CN" w:bidi="ar-SA"/>
                    </w:rPr>
                  </w:pPr>
                  <w:r>
                    <w:rPr>
                      <w:color w:val="auto"/>
                      <w:szCs w:val="21"/>
                    </w:rPr>
                    <w:t>一次/季度（昼、夜间各一次）</w:t>
                  </w:r>
                </w:p>
              </w:tc>
              <w:tc>
                <w:tcPr>
                  <w:tcW w:w="2069" w:type="dxa"/>
                  <w:noWrap w:val="0"/>
                  <w:tcMar>
                    <w:top w:w="0" w:type="dxa"/>
                    <w:left w:w="0" w:type="dxa"/>
                    <w:bottom w:w="0" w:type="dxa"/>
                    <w:right w:w="0" w:type="dxa"/>
                  </w:tcMar>
                  <w:vAlign w:val="center"/>
                </w:tcPr>
                <w:p w14:paraId="6A7B0D9D">
                  <w:pPr>
                    <w:jc w:val="center"/>
                    <w:rPr>
                      <w:rFonts w:hint="eastAsia"/>
                      <w:color w:val="auto"/>
                      <w:szCs w:val="21"/>
                    </w:rPr>
                  </w:pPr>
                  <w:r>
                    <w:rPr>
                      <w:color w:val="auto"/>
                      <w:szCs w:val="21"/>
                    </w:rPr>
                    <w:t>《工业企业厂界环境噪声排放标准》（GB12348-2008）</w:t>
                  </w:r>
                  <w:r>
                    <w:rPr>
                      <w:rFonts w:hint="eastAsia"/>
                      <w:color w:val="auto"/>
                      <w:szCs w:val="21"/>
                    </w:rPr>
                    <w:t>2</w:t>
                  </w:r>
                  <w:r>
                    <w:rPr>
                      <w:color w:val="auto"/>
                      <w:szCs w:val="21"/>
                    </w:rPr>
                    <w:t>类</w:t>
                  </w:r>
                </w:p>
              </w:tc>
            </w:tr>
          </w:tbl>
          <w:p w14:paraId="02077F86">
            <w:pPr>
              <w:spacing w:before="120" w:beforeLines="50" w:line="360" w:lineRule="auto"/>
              <w:ind w:firstLine="422" w:firstLineChars="200"/>
              <w:rPr>
                <w:b/>
                <w:color w:val="auto"/>
                <w:szCs w:val="21"/>
              </w:rPr>
            </w:pPr>
            <w:r>
              <w:rPr>
                <w:b/>
                <w:color w:val="auto"/>
                <w:szCs w:val="21"/>
              </w:rPr>
              <w:t>四、固废影响分析</w:t>
            </w:r>
          </w:p>
          <w:p w14:paraId="2E8E3CD1">
            <w:pPr>
              <w:adjustRightInd w:val="0"/>
              <w:snapToGrid w:val="0"/>
              <w:spacing w:line="360" w:lineRule="auto"/>
              <w:ind w:firstLine="422" w:firstLineChars="200"/>
              <w:jc w:val="left"/>
              <w:rPr>
                <w:b/>
                <w:bCs/>
                <w:color w:val="auto"/>
                <w:szCs w:val="21"/>
              </w:rPr>
            </w:pPr>
            <w:r>
              <w:rPr>
                <w:b/>
                <w:bCs/>
                <w:color w:val="auto"/>
                <w:szCs w:val="21"/>
              </w:rPr>
              <w:t>1、固废产生源强</w:t>
            </w:r>
          </w:p>
          <w:p w14:paraId="2DBFA3A5">
            <w:pPr>
              <w:adjustRightInd w:val="0"/>
              <w:snapToGrid w:val="0"/>
              <w:spacing w:line="360" w:lineRule="auto"/>
              <w:ind w:firstLine="420" w:firstLineChars="200"/>
              <w:rPr>
                <w:color w:val="auto"/>
                <w:szCs w:val="21"/>
              </w:rPr>
            </w:pPr>
            <w:r>
              <w:rPr>
                <w:color w:val="auto"/>
                <w:szCs w:val="21"/>
              </w:rPr>
              <w:t>运行期的固体废弃物主要为</w:t>
            </w:r>
            <w:r>
              <w:rPr>
                <w:rFonts w:hint="eastAsia" w:ascii="Times New Roman" w:hAnsi="Times New Roman" w:eastAsia="宋体" w:cs="Times New Roman"/>
                <w:bCs/>
                <w:color w:val="auto"/>
                <w:kern w:val="2"/>
                <w:sz w:val="21"/>
                <w:szCs w:val="21"/>
                <w:lang w:val="en-US" w:eastAsia="zh-CN" w:bidi="ar-SA"/>
              </w:rPr>
              <w:t>废包装袋、</w:t>
            </w:r>
            <w:r>
              <w:rPr>
                <w:rFonts w:hint="default" w:ascii="Times New Roman" w:hAnsi="Times New Roman" w:eastAsia="宋体" w:cs="Times New Roman"/>
                <w:color w:val="auto"/>
                <w:sz w:val="21"/>
                <w:szCs w:val="21"/>
              </w:rPr>
              <w:t>废</w:t>
            </w:r>
            <w:r>
              <w:rPr>
                <w:rFonts w:hint="eastAsia" w:ascii="Times New Roman" w:hAnsi="Times New Roman" w:eastAsia="宋体" w:cs="Times New Roman"/>
                <w:color w:val="auto"/>
                <w:sz w:val="21"/>
                <w:szCs w:val="21"/>
                <w:lang w:val="en-US" w:eastAsia="zh-CN"/>
              </w:rPr>
              <w:t>边角料、布袋捕集物、沉渣、</w:t>
            </w:r>
            <w:r>
              <w:rPr>
                <w:rFonts w:hint="eastAsia"/>
                <w:color w:val="auto"/>
                <w:szCs w:val="21"/>
                <w:lang w:val="en-US" w:eastAsia="zh-CN"/>
              </w:rPr>
              <w:t>喷淋塔废液</w:t>
            </w:r>
            <w:r>
              <w:rPr>
                <w:rFonts w:hint="eastAsia" w:ascii="Times New Roman" w:hAnsi="Times New Roman" w:eastAsia="宋体" w:cs="Times New Roman"/>
                <w:color w:val="auto"/>
                <w:sz w:val="21"/>
                <w:szCs w:val="21"/>
                <w:lang w:val="en-US" w:eastAsia="zh-CN"/>
              </w:rPr>
              <w:t>、废活性炭、废润滑油、废油桶、废包装桶、废含油抹布</w:t>
            </w:r>
            <w:r>
              <w:rPr>
                <w:rFonts w:hint="eastAsia"/>
                <w:color w:val="auto"/>
                <w:szCs w:val="21"/>
                <w:lang w:val="en-US" w:eastAsia="zh-CN"/>
              </w:rPr>
              <w:t>、</w:t>
            </w:r>
            <w:r>
              <w:rPr>
                <w:color w:val="auto"/>
                <w:szCs w:val="21"/>
              </w:rPr>
              <w:t>生活垃圾。</w:t>
            </w:r>
          </w:p>
          <w:p w14:paraId="317339E0">
            <w:pPr>
              <w:adjustRightInd w:val="0"/>
              <w:snapToGrid w:val="0"/>
              <w:spacing w:line="360" w:lineRule="auto"/>
              <w:ind w:firstLine="420" w:firstLineChars="200"/>
              <w:rPr>
                <w:color w:val="auto"/>
                <w:szCs w:val="21"/>
              </w:rPr>
            </w:pPr>
            <w:r>
              <w:rPr>
                <w:color w:val="auto"/>
                <w:szCs w:val="21"/>
              </w:rPr>
              <w:t>（1）一般工业固废：</w:t>
            </w:r>
          </w:p>
          <w:p w14:paraId="266C5FA0">
            <w:pPr>
              <w:tabs>
                <w:tab w:val="left" w:pos="0"/>
              </w:tabs>
              <w:adjustRightInd w:val="0"/>
              <w:snapToGrid w:val="0"/>
              <w:spacing w:line="360" w:lineRule="auto"/>
              <w:ind w:firstLine="420" w:firstLineChars="200"/>
              <w:rPr>
                <w:rFonts w:hint="default"/>
                <w:color w:val="auto"/>
                <w:szCs w:val="21"/>
                <w:lang w:val="en-US" w:eastAsia="zh-CN"/>
              </w:rPr>
            </w:pPr>
            <w:r>
              <w:rPr>
                <w:rFonts w:hint="eastAsia" w:ascii="Times New Roman" w:hAnsi="Times New Roman" w:eastAsia="宋体" w:cs="Times New Roman"/>
                <w:bCs/>
                <w:color w:val="auto"/>
                <w:kern w:val="2"/>
                <w:sz w:val="21"/>
                <w:szCs w:val="21"/>
                <w:lang w:val="en-US" w:eastAsia="zh-CN" w:bidi="ar-SA"/>
              </w:rPr>
              <w:t>废包装袋：本项目聚丙烯、三元乙丙橡胶、滑石粉、色母粒均为袋装，产生73800个袋子，袋子重量约0.05kg/个，则废包装袋产生量约3.69t/a。</w:t>
            </w:r>
          </w:p>
          <w:p w14:paraId="3C143930">
            <w:pPr>
              <w:tabs>
                <w:tab w:val="left" w:pos="0"/>
              </w:tabs>
              <w:adjustRightInd w:val="0"/>
              <w:snapToGrid w:val="0"/>
              <w:spacing w:line="360" w:lineRule="auto"/>
              <w:ind w:firstLine="420" w:firstLineChars="200"/>
              <w:rPr>
                <w:rFonts w:hint="default"/>
                <w:color w:val="auto"/>
                <w:szCs w:val="21"/>
                <w:lang w:val="en-US" w:eastAsia="zh-CN"/>
              </w:rPr>
            </w:pPr>
            <w:r>
              <w:rPr>
                <w:rFonts w:hint="eastAsia"/>
                <w:color w:val="auto"/>
                <w:szCs w:val="21"/>
                <w:lang w:val="en-US" w:eastAsia="zh-CN"/>
              </w:rPr>
              <w:t>废边角料：本项目生产等过程产生废边角料及不合格品，经破碎机破碎后一部分回用，一部分外售，年外售量约20t/a。</w:t>
            </w:r>
          </w:p>
          <w:p w14:paraId="574C43D3">
            <w:pPr>
              <w:tabs>
                <w:tab w:val="left" w:pos="0"/>
              </w:tabs>
              <w:adjustRightInd w:val="0"/>
              <w:snapToGrid w:val="0"/>
              <w:spacing w:line="360" w:lineRule="auto"/>
              <w:ind w:firstLine="420" w:firstLineChars="200"/>
              <w:rPr>
                <w:rFonts w:hint="default"/>
                <w:color w:val="auto"/>
                <w:szCs w:val="21"/>
                <w:lang w:val="en-US" w:eastAsia="zh-CN"/>
              </w:rPr>
            </w:pPr>
            <w:r>
              <w:rPr>
                <w:rFonts w:hint="eastAsia" w:ascii="Times New Roman" w:hAnsi="Times New Roman" w:eastAsia="宋体" w:cs="Times New Roman"/>
                <w:color w:val="auto"/>
                <w:sz w:val="21"/>
                <w:szCs w:val="21"/>
                <w:lang w:val="en-US" w:eastAsia="zh-CN"/>
              </w:rPr>
              <w:t>布袋捕集物、沉渣：本项目布袋除尘器捕集的粉尘0.16t，以及切粒、粉筛水槽过滤的沉渣，产生量约0.14t/a，年产生布袋捕集物、沉渣0.32t/a。</w:t>
            </w:r>
          </w:p>
          <w:p w14:paraId="5AB47328">
            <w:pPr>
              <w:tabs>
                <w:tab w:val="left" w:pos="0"/>
              </w:tabs>
              <w:adjustRightInd w:val="0"/>
              <w:snapToGrid w:val="0"/>
              <w:spacing w:line="360" w:lineRule="auto"/>
              <w:ind w:firstLine="420" w:firstLineChars="200"/>
              <w:rPr>
                <w:color w:val="auto"/>
                <w:szCs w:val="21"/>
              </w:rPr>
            </w:pPr>
            <w:r>
              <w:rPr>
                <w:rFonts w:hint="eastAsia"/>
                <w:color w:val="auto"/>
                <w:szCs w:val="21"/>
              </w:rPr>
              <w:t>（2）</w:t>
            </w:r>
            <w:r>
              <w:rPr>
                <w:color w:val="auto"/>
                <w:szCs w:val="21"/>
              </w:rPr>
              <w:t>危险废物：</w:t>
            </w:r>
          </w:p>
          <w:p w14:paraId="217651C9">
            <w:pPr>
              <w:spacing w:line="360" w:lineRule="auto"/>
              <w:ind w:firstLine="420" w:firstLineChars="200"/>
              <w:rPr>
                <w:rFonts w:hint="eastAsia"/>
                <w:color w:val="auto"/>
                <w:szCs w:val="21"/>
                <w:lang w:val="en-US" w:eastAsia="zh-CN"/>
              </w:rPr>
            </w:pPr>
            <w:r>
              <w:rPr>
                <w:rFonts w:hint="eastAsia"/>
                <w:color w:val="auto"/>
                <w:szCs w:val="21"/>
                <w:lang w:val="en-US" w:eastAsia="zh-CN"/>
              </w:rPr>
              <w:t>喷淋塔废液：本项目设置水喷淋装置用于去除油雾，水喷淋用水循环使用，每年更换一次废液，则更换量为1t/a</w:t>
            </w:r>
            <w:r>
              <w:rPr>
                <w:rFonts w:hint="eastAsia"/>
                <w:color w:val="auto"/>
                <w:szCs w:val="21"/>
              </w:rPr>
              <w:t>，委托有资质单位处置</w:t>
            </w:r>
            <w:r>
              <w:rPr>
                <w:rFonts w:hint="eastAsia"/>
                <w:color w:val="auto"/>
                <w:szCs w:val="21"/>
                <w:lang w:val="en-US" w:eastAsia="zh-CN"/>
              </w:rPr>
              <w:t>。</w:t>
            </w:r>
          </w:p>
          <w:p w14:paraId="5F9C5BDE">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eastAsia" w:eastAsia="宋体"/>
                <w:color w:val="auto"/>
                <w:szCs w:val="21"/>
                <w:lang w:val="en-US" w:eastAsia="zh-CN"/>
              </w:rPr>
            </w:pPr>
            <w:r>
              <w:rPr>
                <w:rFonts w:hint="eastAsia"/>
                <w:color w:val="auto"/>
                <w:szCs w:val="21"/>
                <w:lang w:val="en-US" w:eastAsia="zh-CN"/>
              </w:rPr>
              <w:t>废活性炭：</w:t>
            </w:r>
            <w:r>
              <w:rPr>
                <w:rFonts w:hint="eastAsia"/>
                <w:color w:val="auto"/>
                <w:szCs w:val="21"/>
              </w:rPr>
              <w:t>项目采用“</w:t>
            </w:r>
            <w:r>
              <w:rPr>
                <w:rFonts w:hint="eastAsia"/>
                <w:color w:val="auto"/>
                <w:szCs w:val="21"/>
                <w:lang w:val="en-US" w:eastAsia="zh-CN"/>
              </w:rPr>
              <w:t>二级</w:t>
            </w:r>
            <w:r>
              <w:rPr>
                <w:rFonts w:hint="eastAsia"/>
                <w:color w:val="auto"/>
                <w:szCs w:val="21"/>
              </w:rPr>
              <w:t>活性炭装置”对</w:t>
            </w:r>
            <w:r>
              <w:rPr>
                <w:rFonts w:hint="eastAsia"/>
                <w:color w:val="auto"/>
                <w:szCs w:val="21"/>
                <w:lang w:val="en-US" w:eastAsia="zh-CN"/>
              </w:rPr>
              <w:t>挤出等有机</w:t>
            </w:r>
            <w:r>
              <w:rPr>
                <w:rFonts w:hint="eastAsia"/>
                <w:color w:val="auto"/>
                <w:szCs w:val="21"/>
              </w:rPr>
              <w:t>废气进行处理，根据废气源强核算，活性炭吸附有机废气量为</w:t>
            </w:r>
            <w:r>
              <w:rPr>
                <w:rFonts w:hint="eastAsia"/>
                <w:color w:val="auto"/>
                <w:szCs w:val="21"/>
                <w:lang w:val="en-US" w:eastAsia="zh-CN"/>
              </w:rPr>
              <w:t>0.2596</w:t>
            </w:r>
            <w:r>
              <w:rPr>
                <w:rFonts w:hint="eastAsia"/>
                <w:color w:val="auto"/>
                <w:szCs w:val="21"/>
              </w:rPr>
              <w:t>t/a。根据“《省生态环境厅关于深入开展涉VOCs治理重点工作核查的通知》（苏环办[2022]218号），采用活性炭处理VOCs废气，年活性炭使用量不应低于VOCs产生量的5倍，即1吨VOCs产生量，需5吨活性炭用于吸附。活性炭更换周期一般不应超过累计运行500小时或3个月”。因此，本项目活性炭最低用量取废气吸附量的5倍计算，即活性炭最低用量为</w:t>
            </w:r>
            <w:r>
              <w:rPr>
                <w:rFonts w:hint="eastAsia"/>
                <w:color w:val="auto"/>
                <w:szCs w:val="21"/>
                <w:lang w:val="en-US" w:eastAsia="zh-CN"/>
              </w:rPr>
              <w:t>1.298</w:t>
            </w:r>
            <w:r>
              <w:rPr>
                <w:rFonts w:hint="eastAsia"/>
                <w:color w:val="auto"/>
                <w:szCs w:val="21"/>
              </w:rPr>
              <w:t>t/a。考虑到实际情况，活性炭箱填装量为</w:t>
            </w:r>
            <w:r>
              <w:rPr>
                <w:rFonts w:hint="eastAsia"/>
                <w:color w:val="auto"/>
                <w:szCs w:val="21"/>
                <w:lang w:val="en-US" w:eastAsia="zh-CN"/>
              </w:rPr>
              <w:t>0.33</w:t>
            </w:r>
            <w:r>
              <w:rPr>
                <w:rFonts w:hint="eastAsia"/>
                <w:color w:val="auto"/>
                <w:szCs w:val="21"/>
              </w:rPr>
              <w:t>t，活性炭则年更换</w:t>
            </w:r>
            <w:r>
              <w:rPr>
                <w:rFonts w:hint="eastAsia"/>
                <w:color w:val="auto"/>
                <w:szCs w:val="21"/>
                <w:lang w:val="en-US" w:eastAsia="zh-CN"/>
              </w:rPr>
              <w:t>4</w:t>
            </w:r>
            <w:r>
              <w:rPr>
                <w:rFonts w:hint="eastAsia"/>
                <w:color w:val="auto"/>
                <w:szCs w:val="21"/>
              </w:rPr>
              <w:t>次，则废活性炭产生量约为</w:t>
            </w:r>
            <w:r>
              <w:rPr>
                <w:rFonts w:hint="eastAsia"/>
                <w:color w:val="auto"/>
                <w:szCs w:val="21"/>
                <w:lang w:val="en-US" w:eastAsia="zh-CN"/>
              </w:rPr>
              <w:t>1.58</w:t>
            </w:r>
            <w:r>
              <w:rPr>
                <w:rFonts w:hint="eastAsia"/>
                <w:color w:val="auto"/>
                <w:szCs w:val="21"/>
              </w:rPr>
              <w:t>t/a，委托有资质单位处置</w:t>
            </w:r>
            <w:r>
              <w:rPr>
                <w:rFonts w:hint="eastAsia"/>
                <w:color w:val="auto"/>
                <w:szCs w:val="21"/>
                <w:lang w:eastAsia="zh-CN"/>
              </w:rPr>
              <w:t>。</w:t>
            </w:r>
          </w:p>
          <w:p w14:paraId="4433F702">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eastAsia" w:eastAsia="宋体"/>
                <w:color w:val="auto"/>
                <w:szCs w:val="21"/>
                <w:lang w:val="en-US" w:eastAsia="zh-CN"/>
              </w:rPr>
            </w:pPr>
            <w:r>
              <w:rPr>
                <w:rFonts w:hint="eastAsia" w:ascii="Times New Roman" w:hAnsi="Times New Roman" w:eastAsia="宋体" w:cs="Times New Roman"/>
                <w:color w:val="auto"/>
                <w:sz w:val="21"/>
                <w:szCs w:val="21"/>
                <w:lang w:val="en-US" w:eastAsia="zh-CN"/>
              </w:rPr>
              <w:t>废润滑油：本项目设备维护润滑油使用量为1t/a，废润滑油产生量约为0.4t/a，</w:t>
            </w:r>
            <w:r>
              <w:rPr>
                <w:rFonts w:hint="eastAsia"/>
                <w:color w:val="auto"/>
                <w:szCs w:val="21"/>
              </w:rPr>
              <w:t>委托有资质单位处置</w:t>
            </w:r>
            <w:r>
              <w:rPr>
                <w:rFonts w:hint="eastAsia"/>
                <w:color w:val="auto"/>
                <w:szCs w:val="21"/>
                <w:lang w:eastAsia="zh-CN"/>
              </w:rPr>
              <w:t>。</w:t>
            </w:r>
          </w:p>
          <w:p w14:paraId="7F2AFC71">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废油桶：本项目使用环保增塑剂、润滑油产生废油桶。使用环保增塑剂产生废油桶1171个/a，约11.71t/a，使用润滑油产生废油桶50个/a，约0.05t/a，委托有资质单位处置。</w:t>
            </w:r>
          </w:p>
          <w:p w14:paraId="182EEE7A">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废包装桶：本项目使用抗氧剂产生废包装桶，使用抗氧化剂产生废包装桶80个/年，约0.08t/a，委托有资质单位处置。</w:t>
            </w:r>
          </w:p>
          <w:p w14:paraId="06EAEA29">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废含油抹布：本项目在清理、维护设备工序会使用抹布，会产生沾染润滑油的废含油抹布，产生量约为0.01t/a，委托有资质单位处置。</w:t>
            </w:r>
          </w:p>
          <w:p w14:paraId="1C92F427">
            <w:pPr>
              <w:adjustRightInd w:val="0"/>
              <w:snapToGrid w:val="0"/>
              <w:spacing w:line="360" w:lineRule="auto"/>
              <w:ind w:firstLine="420" w:firstLineChars="200"/>
              <w:rPr>
                <w:rFonts w:hint="eastAsia" w:eastAsia="宋体"/>
                <w:color w:val="auto"/>
                <w:szCs w:val="21"/>
                <w:lang w:eastAsia="zh-CN"/>
              </w:rPr>
            </w:pPr>
            <w:r>
              <w:rPr>
                <w:rFonts w:hint="eastAsia"/>
                <w:color w:val="auto"/>
                <w:szCs w:val="21"/>
                <w:lang w:eastAsia="zh-CN"/>
              </w:rPr>
              <w:t>（</w:t>
            </w:r>
            <w:r>
              <w:rPr>
                <w:rFonts w:hint="eastAsia"/>
                <w:color w:val="auto"/>
                <w:szCs w:val="21"/>
                <w:lang w:val="en-US" w:eastAsia="zh-CN"/>
              </w:rPr>
              <w:t>3</w:t>
            </w:r>
            <w:r>
              <w:rPr>
                <w:rFonts w:hint="eastAsia"/>
                <w:color w:val="auto"/>
                <w:szCs w:val="21"/>
                <w:lang w:eastAsia="zh-CN"/>
              </w:rPr>
              <w:t>）</w:t>
            </w:r>
            <w:r>
              <w:rPr>
                <w:color w:val="auto"/>
                <w:szCs w:val="21"/>
              </w:rPr>
              <w:t>生活垃圾</w:t>
            </w:r>
          </w:p>
          <w:p w14:paraId="56655ABE">
            <w:pPr>
              <w:adjustRightInd w:val="0"/>
              <w:snapToGrid w:val="0"/>
              <w:spacing w:line="360" w:lineRule="auto"/>
              <w:ind w:firstLine="420" w:firstLineChars="200"/>
              <w:rPr>
                <w:bCs/>
                <w:color w:val="auto"/>
                <w:szCs w:val="21"/>
              </w:rPr>
            </w:pPr>
            <w:r>
              <w:rPr>
                <w:color w:val="auto"/>
                <w:szCs w:val="21"/>
              </w:rPr>
              <w:t>员工办公生活产生的生活垃圾按每人</w:t>
            </w:r>
            <w:r>
              <w:rPr>
                <w:rFonts w:hint="eastAsia"/>
                <w:color w:val="auto"/>
                <w:szCs w:val="21"/>
              </w:rPr>
              <w:t>0.5</w:t>
            </w:r>
            <w:r>
              <w:rPr>
                <w:color w:val="auto"/>
                <w:szCs w:val="21"/>
              </w:rPr>
              <w:t>kg/人•d计，本项目</w:t>
            </w:r>
            <w:r>
              <w:rPr>
                <w:rFonts w:hint="eastAsia"/>
                <w:color w:val="auto"/>
                <w:szCs w:val="21"/>
              </w:rPr>
              <w:t>新增</w:t>
            </w:r>
            <w:r>
              <w:rPr>
                <w:rFonts w:hint="eastAsia"/>
                <w:color w:val="auto"/>
                <w:szCs w:val="21"/>
                <w:lang w:val="en-US" w:eastAsia="zh-CN"/>
              </w:rPr>
              <w:t>6</w:t>
            </w:r>
            <w:r>
              <w:rPr>
                <w:color w:val="auto"/>
                <w:szCs w:val="21"/>
              </w:rPr>
              <w:t>人，</w:t>
            </w:r>
            <w:r>
              <w:rPr>
                <w:rFonts w:hint="eastAsia"/>
                <w:color w:val="auto"/>
                <w:szCs w:val="21"/>
              </w:rPr>
              <w:t>年产生生活垃圾</w:t>
            </w:r>
            <w:r>
              <w:rPr>
                <w:rFonts w:hint="eastAsia"/>
                <w:color w:val="auto"/>
                <w:szCs w:val="21"/>
                <w:lang w:val="en-US" w:eastAsia="zh-CN"/>
              </w:rPr>
              <w:t>0.9</w:t>
            </w:r>
            <w:r>
              <w:rPr>
                <w:rFonts w:hint="eastAsia"/>
                <w:color w:val="auto"/>
                <w:szCs w:val="21"/>
              </w:rPr>
              <w:t>t/a，</w:t>
            </w:r>
            <w:r>
              <w:rPr>
                <w:color w:val="auto"/>
                <w:szCs w:val="21"/>
              </w:rPr>
              <w:t>委托环卫部门定期清运。</w:t>
            </w:r>
          </w:p>
          <w:p w14:paraId="6D24A80A">
            <w:pPr>
              <w:adjustRightInd w:val="0"/>
              <w:snapToGrid w:val="0"/>
              <w:spacing w:line="360" w:lineRule="auto"/>
              <w:ind w:firstLine="422" w:firstLineChars="200"/>
              <w:rPr>
                <w:color w:val="auto"/>
                <w:szCs w:val="21"/>
              </w:rPr>
            </w:pPr>
            <w:r>
              <w:rPr>
                <w:b/>
                <w:color w:val="auto"/>
                <w:szCs w:val="21"/>
              </w:rPr>
              <w:t>2、固体废物属性判定</w:t>
            </w:r>
          </w:p>
          <w:p w14:paraId="53B7808D">
            <w:pPr>
              <w:adjustRightInd w:val="0"/>
              <w:snapToGrid w:val="0"/>
              <w:spacing w:line="360" w:lineRule="auto"/>
              <w:ind w:firstLine="420" w:firstLineChars="200"/>
              <w:rPr>
                <w:b/>
                <w:color w:val="auto"/>
                <w:szCs w:val="21"/>
              </w:rPr>
            </w:pPr>
            <w:r>
              <w:rPr>
                <w:bCs/>
                <w:color w:val="auto"/>
                <w:szCs w:val="21"/>
              </w:rPr>
              <w:t>根据《中华人民共和国固体废物污染环境防治法》《固体废物鉴别标准 通则》（GB34330-2017）、《建设项目危险废物环境影响评价指南》（公告2017年第43号）和《关于贯彻落实建设项目危险废物环境影响评价指南要求的通知》（苏环办[2018]18号）的规定，判断项目生产过程中产生的副产物是否属于固体废物，判定依据及结果见下表</w:t>
            </w:r>
            <w:r>
              <w:rPr>
                <w:color w:val="auto"/>
                <w:szCs w:val="21"/>
              </w:rPr>
              <w:t>4-</w:t>
            </w:r>
            <w:r>
              <w:rPr>
                <w:rFonts w:hint="eastAsia"/>
                <w:color w:val="auto"/>
                <w:szCs w:val="21"/>
                <w:lang w:val="en-US" w:eastAsia="zh-CN"/>
              </w:rPr>
              <w:t>17</w:t>
            </w:r>
            <w:r>
              <w:rPr>
                <w:color w:val="auto"/>
                <w:szCs w:val="21"/>
              </w:rPr>
              <w:t>。</w:t>
            </w:r>
          </w:p>
          <w:p w14:paraId="147F25B5">
            <w:pPr>
              <w:jc w:val="center"/>
              <w:rPr>
                <w:b/>
                <w:color w:val="auto"/>
                <w:szCs w:val="21"/>
              </w:rPr>
            </w:pPr>
          </w:p>
          <w:p w14:paraId="1FEA18CC">
            <w:pPr>
              <w:jc w:val="center"/>
              <w:rPr>
                <w:b/>
                <w:color w:val="auto"/>
                <w:szCs w:val="21"/>
              </w:rPr>
            </w:pPr>
          </w:p>
          <w:p w14:paraId="3C9B0968">
            <w:pPr>
              <w:jc w:val="center"/>
              <w:rPr>
                <w:b/>
                <w:color w:val="auto"/>
                <w:szCs w:val="21"/>
              </w:rPr>
            </w:pPr>
            <w:r>
              <w:rPr>
                <w:b/>
                <w:color w:val="auto"/>
                <w:szCs w:val="21"/>
              </w:rPr>
              <w:t>表4-</w:t>
            </w:r>
            <w:r>
              <w:rPr>
                <w:rFonts w:hint="eastAsia"/>
                <w:b/>
                <w:color w:val="auto"/>
                <w:szCs w:val="21"/>
                <w:lang w:val="en-US" w:eastAsia="zh-CN"/>
              </w:rPr>
              <w:t>24</w:t>
            </w:r>
            <w:r>
              <w:rPr>
                <w:b/>
                <w:color w:val="auto"/>
                <w:szCs w:val="21"/>
              </w:rPr>
              <w:t xml:space="preserve"> 本项目固废产生情况汇总表</w:t>
            </w:r>
          </w:p>
          <w:tbl>
            <w:tblPr>
              <w:tblStyle w:val="28"/>
              <w:tblW w:w="499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72"/>
              <w:gridCol w:w="1112"/>
              <w:gridCol w:w="1067"/>
              <w:gridCol w:w="436"/>
              <w:gridCol w:w="1593"/>
              <w:gridCol w:w="938"/>
              <w:gridCol w:w="941"/>
              <w:gridCol w:w="801"/>
              <w:gridCol w:w="1012"/>
            </w:tblGrid>
            <w:tr w14:paraId="572DF4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1" w:type="pct"/>
                  <w:vMerge w:val="restart"/>
                  <w:noWrap w:val="0"/>
                  <w:tcMar>
                    <w:top w:w="0" w:type="dxa"/>
                    <w:left w:w="0" w:type="dxa"/>
                    <w:bottom w:w="0" w:type="dxa"/>
                    <w:right w:w="0" w:type="dxa"/>
                  </w:tcMar>
                  <w:vAlign w:val="center"/>
                </w:tcPr>
                <w:p w14:paraId="12A0BC6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r>
                    <w:rPr>
                      <w:b/>
                      <w:color w:val="auto"/>
                      <w:szCs w:val="21"/>
                    </w:rPr>
                    <w:t>序号</w:t>
                  </w:r>
                </w:p>
              </w:tc>
              <w:tc>
                <w:tcPr>
                  <w:tcW w:w="664" w:type="pct"/>
                  <w:vMerge w:val="restart"/>
                  <w:noWrap w:val="0"/>
                  <w:tcMar>
                    <w:top w:w="0" w:type="dxa"/>
                    <w:left w:w="0" w:type="dxa"/>
                    <w:bottom w:w="0" w:type="dxa"/>
                    <w:right w:w="0" w:type="dxa"/>
                  </w:tcMar>
                  <w:vAlign w:val="center"/>
                </w:tcPr>
                <w:p w14:paraId="3E63E779">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r>
                    <w:rPr>
                      <w:b/>
                      <w:color w:val="auto"/>
                      <w:szCs w:val="21"/>
                    </w:rPr>
                    <w:t>副产物</w:t>
                  </w:r>
                </w:p>
                <w:p w14:paraId="38274A94">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r>
                    <w:rPr>
                      <w:b/>
                      <w:color w:val="auto"/>
                      <w:szCs w:val="21"/>
                    </w:rPr>
                    <w:t>名称</w:t>
                  </w:r>
                </w:p>
              </w:tc>
              <w:tc>
                <w:tcPr>
                  <w:tcW w:w="637" w:type="pct"/>
                  <w:vMerge w:val="restart"/>
                  <w:noWrap w:val="0"/>
                  <w:tcMar>
                    <w:top w:w="0" w:type="dxa"/>
                    <w:left w:w="0" w:type="dxa"/>
                    <w:bottom w:w="0" w:type="dxa"/>
                    <w:right w:w="0" w:type="dxa"/>
                  </w:tcMar>
                  <w:vAlign w:val="center"/>
                </w:tcPr>
                <w:p w14:paraId="7496AF92">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r>
                    <w:rPr>
                      <w:b/>
                      <w:color w:val="auto"/>
                      <w:szCs w:val="21"/>
                    </w:rPr>
                    <w:t>产生工序</w:t>
                  </w:r>
                </w:p>
              </w:tc>
              <w:tc>
                <w:tcPr>
                  <w:tcW w:w="260" w:type="pct"/>
                  <w:vMerge w:val="restart"/>
                  <w:noWrap w:val="0"/>
                  <w:tcMar>
                    <w:top w:w="0" w:type="dxa"/>
                    <w:left w:w="0" w:type="dxa"/>
                    <w:bottom w:w="0" w:type="dxa"/>
                    <w:right w:w="0" w:type="dxa"/>
                  </w:tcMar>
                  <w:vAlign w:val="center"/>
                </w:tcPr>
                <w:p w14:paraId="1E270DA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r>
                    <w:rPr>
                      <w:b/>
                      <w:color w:val="auto"/>
                      <w:szCs w:val="21"/>
                    </w:rPr>
                    <w:t>形态</w:t>
                  </w:r>
                </w:p>
              </w:tc>
              <w:tc>
                <w:tcPr>
                  <w:tcW w:w="951" w:type="pct"/>
                  <w:vMerge w:val="restart"/>
                  <w:noWrap w:val="0"/>
                  <w:tcMar>
                    <w:top w:w="0" w:type="dxa"/>
                    <w:left w:w="0" w:type="dxa"/>
                    <w:bottom w:w="0" w:type="dxa"/>
                    <w:right w:w="0" w:type="dxa"/>
                  </w:tcMar>
                  <w:vAlign w:val="center"/>
                </w:tcPr>
                <w:p w14:paraId="2FF42B85">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r>
                    <w:rPr>
                      <w:b/>
                      <w:color w:val="auto"/>
                      <w:szCs w:val="21"/>
                    </w:rPr>
                    <w:t>主要成分</w:t>
                  </w:r>
                </w:p>
              </w:tc>
              <w:tc>
                <w:tcPr>
                  <w:tcW w:w="560" w:type="pct"/>
                  <w:vMerge w:val="restart"/>
                  <w:noWrap w:val="0"/>
                  <w:tcMar>
                    <w:top w:w="0" w:type="dxa"/>
                    <w:left w:w="0" w:type="dxa"/>
                    <w:bottom w:w="0" w:type="dxa"/>
                    <w:right w:w="0" w:type="dxa"/>
                  </w:tcMar>
                  <w:vAlign w:val="center"/>
                </w:tcPr>
                <w:p w14:paraId="5DE52100">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r>
                    <w:rPr>
                      <w:b/>
                      <w:color w:val="auto"/>
                      <w:szCs w:val="21"/>
                    </w:rPr>
                    <w:t>预测产生量（</w:t>
                  </w:r>
                  <w:r>
                    <w:rPr>
                      <w:rFonts w:hint="eastAsia"/>
                      <w:b/>
                      <w:color w:val="auto"/>
                      <w:szCs w:val="21"/>
                    </w:rPr>
                    <w:t>t</w:t>
                  </w:r>
                  <w:r>
                    <w:rPr>
                      <w:b/>
                      <w:color w:val="auto"/>
                      <w:szCs w:val="21"/>
                    </w:rPr>
                    <w:t>/年）</w:t>
                  </w:r>
                </w:p>
              </w:tc>
              <w:tc>
                <w:tcPr>
                  <w:tcW w:w="1644" w:type="pct"/>
                  <w:gridSpan w:val="3"/>
                  <w:noWrap w:val="0"/>
                  <w:tcMar>
                    <w:top w:w="0" w:type="dxa"/>
                    <w:left w:w="0" w:type="dxa"/>
                    <w:bottom w:w="0" w:type="dxa"/>
                    <w:right w:w="0" w:type="dxa"/>
                  </w:tcMar>
                  <w:vAlign w:val="center"/>
                </w:tcPr>
                <w:p w14:paraId="68DE9E27">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r>
                    <w:rPr>
                      <w:b/>
                      <w:color w:val="auto"/>
                      <w:szCs w:val="21"/>
                    </w:rPr>
                    <w:t>种类判断</w:t>
                  </w:r>
                </w:p>
              </w:tc>
            </w:tr>
            <w:tr w14:paraId="6A71EC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1" w:type="pct"/>
                  <w:vMerge w:val="continue"/>
                  <w:noWrap w:val="0"/>
                  <w:tcMar>
                    <w:top w:w="0" w:type="dxa"/>
                    <w:left w:w="0" w:type="dxa"/>
                    <w:bottom w:w="0" w:type="dxa"/>
                    <w:right w:w="0" w:type="dxa"/>
                  </w:tcMar>
                  <w:vAlign w:val="center"/>
                </w:tcPr>
                <w:p w14:paraId="1065FCC6">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p>
              </w:tc>
              <w:tc>
                <w:tcPr>
                  <w:tcW w:w="664" w:type="pct"/>
                  <w:vMerge w:val="continue"/>
                  <w:noWrap w:val="0"/>
                  <w:tcMar>
                    <w:top w:w="0" w:type="dxa"/>
                    <w:left w:w="0" w:type="dxa"/>
                    <w:bottom w:w="0" w:type="dxa"/>
                    <w:right w:w="0" w:type="dxa"/>
                  </w:tcMar>
                  <w:vAlign w:val="center"/>
                </w:tcPr>
                <w:p w14:paraId="1A260BBE">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p>
              </w:tc>
              <w:tc>
                <w:tcPr>
                  <w:tcW w:w="637" w:type="pct"/>
                  <w:vMerge w:val="continue"/>
                  <w:noWrap w:val="0"/>
                  <w:tcMar>
                    <w:top w:w="0" w:type="dxa"/>
                    <w:left w:w="0" w:type="dxa"/>
                    <w:bottom w:w="0" w:type="dxa"/>
                    <w:right w:w="0" w:type="dxa"/>
                  </w:tcMar>
                  <w:vAlign w:val="center"/>
                </w:tcPr>
                <w:p w14:paraId="1AA730D1">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p>
              </w:tc>
              <w:tc>
                <w:tcPr>
                  <w:tcW w:w="260" w:type="pct"/>
                  <w:vMerge w:val="continue"/>
                  <w:noWrap w:val="0"/>
                  <w:tcMar>
                    <w:top w:w="0" w:type="dxa"/>
                    <w:left w:w="0" w:type="dxa"/>
                    <w:bottom w:w="0" w:type="dxa"/>
                    <w:right w:w="0" w:type="dxa"/>
                  </w:tcMar>
                  <w:vAlign w:val="center"/>
                </w:tcPr>
                <w:p w14:paraId="6DF8994B">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p>
              </w:tc>
              <w:tc>
                <w:tcPr>
                  <w:tcW w:w="951" w:type="pct"/>
                  <w:vMerge w:val="continue"/>
                  <w:noWrap w:val="0"/>
                  <w:tcMar>
                    <w:top w:w="0" w:type="dxa"/>
                    <w:left w:w="0" w:type="dxa"/>
                    <w:bottom w:w="0" w:type="dxa"/>
                    <w:right w:w="0" w:type="dxa"/>
                  </w:tcMar>
                  <w:vAlign w:val="center"/>
                </w:tcPr>
                <w:p w14:paraId="07B9EC30">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p>
              </w:tc>
              <w:tc>
                <w:tcPr>
                  <w:tcW w:w="560" w:type="pct"/>
                  <w:vMerge w:val="continue"/>
                  <w:noWrap w:val="0"/>
                  <w:tcMar>
                    <w:top w:w="0" w:type="dxa"/>
                    <w:left w:w="0" w:type="dxa"/>
                    <w:bottom w:w="0" w:type="dxa"/>
                    <w:right w:w="0" w:type="dxa"/>
                  </w:tcMar>
                  <w:vAlign w:val="center"/>
                </w:tcPr>
                <w:p w14:paraId="582B81DC">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p>
              </w:tc>
              <w:tc>
                <w:tcPr>
                  <w:tcW w:w="561" w:type="pct"/>
                  <w:noWrap w:val="0"/>
                  <w:tcMar>
                    <w:top w:w="0" w:type="dxa"/>
                    <w:left w:w="0" w:type="dxa"/>
                    <w:bottom w:w="0" w:type="dxa"/>
                    <w:right w:w="0" w:type="dxa"/>
                  </w:tcMar>
                  <w:vAlign w:val="center"/>
                </w:tcPr>
                <w:p w14:paraId="1E57ED14">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r>
                    <w:rPr>
                      <w:b/>
                      <w:color w:val="auto"/>
                      <w:szCs w:val="21"/>
                    </w:rPr>
                    <w:t>固体废物</w:t>
                  </w:r>
                </w:p>
              </w:tc>
              <w:tc>
                <w:tcPr>
                  <w:tcW w:w="478" w:type="pct"/>
                  <w:noWrap w:val="0"/>
                  <w:tcMar>
                    <w:top w:w="0" w:type="dxa"/>
                    <w:left w:w="0" w:type="dxa"/>
                    <w:bottom w:w="0" w:type="dxa"/>
                    <w:right w:w="0" w:type="dxa"/>
                  </w:tcMar>
                  <w:vAlign w:val="center"/>
                </w:tcPr>
                <w:p w14:paraId="160EFCBF">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r>
                    <w:rPr>
                      <w:b/>
                      <w:color w:val="auto"/>
                      <w:szCs w:val="21"/>
                    </w:rPr>
                    <w:t>副产品</w:t>
                  </w:r>
                </w:p>
              </w:tc>
              <w:tc>
                <w:tcPr>
                  <w:tcW w:w="604" w:type="pct"/>
                  <w:noWrap w:val="0"/>
                  <w:tcMar>
                    <w:top w:w="0" w:type="dxa"/>
                    <w:left w:w="0" w:type="dxa"/>
                    <w:bottom w:w="0" w:type="dxa"/>
                    <w:right w:w="0" w:type="dxa"/>
                  </w:tcMar>
                  <w:vAlign w:val="center"/>
                </w:tcPr>
                <w:p w14:paraId="3D78F8F7">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b/>
                      <w:color w:val="auto"/>
                      <w:szCs w:val="21"/>
                    </w:rPr>
                  </w:pPr>
                  <w:r>
                    <w:rPr>
                      <w:b/>
                      <w:color w:val="auto"/>
                      <w:szCs w:val="21"/>
                    </w:rPr>
                    <w:t>判定依据</w:t>
                  </w:r>
                </w:p>
              </w:tc>
            </w:tr>
            <w:tr w14:paraId="0AB6FA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1" w:type="pct"/>
                  <w:noWrap w:val="0"/>
                  <w:tcMar>
                    <w:top w:w="0" w:type="dxa"/>
                    <w:left w:w="0" w:type="dxa"/>
                    <w:bottom w:w="0" w:type="dxa"/>
                    <w:right w:w="0" w:type="dxa"/>
                  </w:tcMar>
                  <w:vAlign w:val="center"/>
                </w:tcPr>
                <w:p w14:paraId="364DC150">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kern w:val="2"/>
                      <w:sz w:val="21"/>
                      <w:szCs w:val="21"/>
                      <w:lang w:val="en-US" w:eastAsia="zh-CN" w:bidi="ar-SA"/>
                    </w:rPr>
                  </w:pPr>
                  <w:r>
                    <w:rPr>
                      <w:color w:val="auto"/>
                      <w:szCs w:val="21"/>
                    </w:rPr>
                    <w:t>1</w:t>
                  </w:r>
                </w:p>
              </w:tc>
              <w:tc>
                <w:tcPr>
                  <w:tcW w:w="664" w:type="pct"/>
                  <w:noWrap w:val="0"/>
                  <w:tcMar>
                    <w:top w:w="0" w:type="dxa"/>
                    <w:left w:w="0" w:type="dxa"/>
                    <w:bottom w:w="0" w:type="dxa"/>
                    <w:right w:w="0" w:type="dxa"/>
                  </w:tcMar>
                  <w:vAlign w:val="center"/>
                </w:tcPr>
                <w:p w14:paraId="4398C4CC">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color w:val="auto"/>
                      <w:lang w:val="en-US" w:eastAsia="zh-CN"/>
                    </w:rPr>
                  </w:pPr>
                  <w:r>
                    <w:rPr>
                      <w:rFonts w:hint="eastAsia" w:ascii="Times New Roman" w:hAnsi="Times New Roman" w:eastAsia="宋体" w:cs="Times New Roman"/>
                      <w:bCs/>
                      <w:color w:val="auto"/>
                      <w:kern w:val="2"/>
                      <w:sz w:val="21"/>
                      <w:szCs w:val="21"/>
                      <w:lang w:val="en-US" w:eastAsia="zh-CN" w:bidi="ar-SA"/>
                    </w:rPr>
                    <w:t>废包装袋</w:t>
                  </w:r>
                </w:p>
              </w:tc>
              <w:tc>
                <w:tcPr>
                  <w:tcW w:w="637" w:type="pct"/>
                  <w:noWrap w:val="0"/>
                  <w:tcMar>
                    <w:top w:w="0" w:type="dxa"/>
                    <w:left w:w="0" w:type="dxa"/>
                    <w:bottom w:w="0" w:type="dxa"/>
                    <w:right w:w="0" w:type="dxa"/>
                  </w:tcMar>
                  <w:vAlign w:val="center"/>
                </w:tcPr>
                <w:p w14:paraId="18F0DACB">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szCs w:val="21"/>
                      <w:highlight w:val="none"/>
                      <w:lang w:val="en-US" w:eastAsia="zh-CN"/>
                    </w:rPr>
                  </w:pPr>
                  <w:r>
                    <w:rPr>
                      <w:rFonts w:hint="eastAsia"/>
                      <w:color w:val="auto"/>
                      <w:lang w:val="en-US" w:eastAsia="zh-CN"/>
                    </w:rPr>
                    <w:t>原料包装</w:t>
                  </w:r>
                </w:p>
              </w:tc>
              <w:tc>
                <w:tcPr>
                  <w:tcW w:w="260" w:type="pct"/>
                  <w:noWrap w:val="0"/>
                  <w:tcMar>
                    <w:top w:w="0" w:type="dxa"/>
                    <w:left w:w="0" w:type="dxa"/>
                    <w:bottom w:w="0" w:type="dxa"/>
                    <w:right w:w="0" w:type="dxa"/>
                  </w:tcMar>
                  <w:vAlign w:val="center"/>
                </w:tcPr>
                <w:p w14:paraId="754855FC">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eastAsia="宋体"/>
                      <w:color w:val="auto"/>
                      <w:szCs w:val="21"/>
                      <w:lang w:val="en-US" w:eastAsia="zh-CN"/>
                    </w:rPr>
                  </w:pPr>
                  <w:r>
                    <w:rPr>
                      <w:rFonts w:hint="eastAsia"/>
                      <w:color w:val="auto"/>
                      <w:szCs w:val="21"/>
                      <w:lang w:val="en-US" w:eastAsia="zh-CN"/>
                    </w:rPr>
                    <w:t>固</w:t>
                  </w:r>
                </w:p>
              </w:tc>
              <w:tc>
                <w:tcPr>
                  <w:tcW w:w="951" w:type="pct"/>
                  <w:noWrap w:val="0"/>
                  <w:tcMar>
                    <w:top w:w="0" w:type="dxa"/>
                    <w:left w:w="0" w:type="dxa"/>
                    <w:bottom w:w="0" w:type="dxa"/>
                    <w:right w:w="0" w:type="dxa"/>
                  </w:tcMar>
                  <w:vAlign w:val="center"/>
                </w:tcPr>
                <w:p w14:paraId="05AE03A3">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eastAsia="宋体"/>
                      <w:color w:val="auto"/>
                      <w:kern w:val="18"/>
                      <w:sz w:val="21"/>
                      <w:szCs w:val="21"/>
                      <w:lang w:val="en-US" w:eastAsia="zh-CN" w:bidi="ar-SA"/>
                    </w:rPr>
                  </w:pPr>
                  <w:r>
                    <w:rPr>
                      <w:rFonts w:hint="eastAsia"/>
                      <w:color w:val="auto"/>
                      <w:lang w:val="en-US" w:eastAsia="zh-CN"/>
                    </w:rPr>
                    <w:t>塑料</w:t>
                  </w:r>
                </w:p>
              </w:tc>
              <w:tc>
                <w:tcPr>
                  <w:tcW w:w="560" w:type="pct"/>
                  <w:noWrap w:val="0"/>
                  <w:tcMar>
                    <w:top w:w="0" w:type="dxa"/>
                    <w:left w:w="0" w:type="dxa"/>
                    <w:bottom w:w="0" w:type="dxa"/>
                    <w:right w:w="0" w:type="dxa"/>
                  </w:tcMar>
                  <w:vAlign w:val="center"/>
                </w:tcPr>
                <w:p w14:paraId="702CD54C">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color w:val="auto"/>
                      <w:szCs w:val="21"/>
                      <w:lang w:val="en-US" w:eastAsia="zh-CN"/>
                    </w:rPr>
                  </w:pPr>
                  <w:r>
                    <w:rPr>
                      <w:rFonts w:hint="eastAsia" w:ascii="Times New Roman" w:hAnsi="Times New Roman" w:eastAsia="宋体" w:cs="Times New Roman"/>
                      <w:bCs/>
                      <w:color w:val="auto"/>
                      <w:kern w:val="2"/>
                      <w:sz w:val="21"/>
                      <w:szCs w:val="21"/>
                      <w:lang w:val="en-US" w:eastAsia="zh-CN" w:bidi="ar-SA"/>
                    </w:rPr>
                    <w:t>3.69</w:t>
                  </w:r>
                </w:p>
              </w:tc>
              <w:tc>
                <w:tcPr>
                  <w:tcW w:w="561" w:type="pct"/>
                  <w:noWrap w:val="0"/>
                  <w:tcMar>
                    <w:top w:w="0" w:type="dxa"/>
                    <w:left w:w="0" w:type="dxa"/>
                    <w:bottom w:w="0" w:type="dxa"/>
                    <w:right w:w="0" w:type="dxa"/>
                  </w:tcMar>
                  <w:vAlign w:val="center"/>
                </w:tcPr>
                <w:p w14:paraId="5E64D691">
                  <w:pPr>
                    <w:keepNext w:val="0"/>
                    <w:keepLines w:val="0"/>
                    <w:pageBreakBefore w:val="0"/>
                    <w:widowControl w:val="0"/>
                    <w:kinsoku/>
                    <w:wordWrap/>
                    <w:overflowPunct/>
                    <w:topLinePunct w:val="0"/>
                    <w:autoSpaceDE/>
                    <w:autoSpaceDN/>
                    <w:bidi w:val="0"/>
                    <w:adjustRightInd w:val="0"/>
                    <w:snapToGrid w:val="0"/>
                    <w:ind w:left="0" w:leftChars="0" w:right="0" w:rightChars="0"/>
                    <w:contextualSpacing/>
                    <w:jc w:val="center"/>
                    <w:textAlignment w:val="auto"/>
                    <w:rPr>
                      <w:color w:val="auto"/>
                      <w:kern w:val="18"/>
                      <w:sz w:val="21"/>
                      <w:szCs w:val="21"/>
                      <w:lang w:val="en-US" w:eastAsia="zh-CN" w:bidi="ar-SA"/>
                    </w:rPr>
                  </w:pPr>
                  <w:r>
                    <w:rPr>
                      <w:color w:val="auto"/>
                      <w:kern w:val="18"/>
                      <w:szCs w:val="21"/>
                    </w:rPr>
                    <w:t>√</w:t>
                  </w:r>
                </w:p>
              </w:tc>
              <w:tc>
                <w:tcPr>
                  <w:tcW w:w="478" w:type="pct"/>
                  <w:noWrap w:val="0"/>
                  <w:tcMar>
                    <w:top w:w="0" w:type="dxa"/>
                    <w:left w:w="0" w:type="dxa"/>
                    <w:bottom w:w="0" w:type="dxa"/>
                    <w:right w:w="0" w:type="dxa"/>
                  </w:tcMar>
                  <w:vAlign w:val="center"/>
                </w:tcPr>
                <w:p w14:paraId="04EAF835">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kern w:val="2"/>
                      <w:sz w:val="21"/>
                      <w:szCs w:val="21"/>
                      <w:lang w:val="en-US" w:eastAsia="zh-CN" w:bidi="ar-SA"/>
                    </w:rPr>
                  </w:pPr>
                  <w:r>
                    <w:rPr>
                      <w:color w:val="auto"/>
                      <w:szCs w:val="21"/>
                    </w:rPr>
                    <w:t>/</w:t>
                  </w:r>
                </w:p>
              </w:tc>
              <w:tc>
                <w:tcPr>
                  <w:tcW w:w="604" w:type="pct"/>
                  <w:vMerge w:val="restart"/>
                  <w:noWrap w:val="0"/>
                  <w:tcMar>
                    <w:top w:w="0" w:type="dxa"/>
                    <w:left w:w="0" w:type="dxa"/>
                    <w:bottom w:w="0" w:type="dxa"/>
                    <w:right w:w="0" w:type="dxa"/>
                  </w:tcMar>
                  <w:vAlign w:val="center"/>
                </w:tcPr>
                <w:p w14:paraId="1AE62389">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r>
                    <w:rPr>
                      <w:color w:val="auto"/>
                      <w:szCs w:val="21"/>
                    </w:rPr>
                    <w:t>《固体废物鉴别标准 通则》（GB34330 -2017）</w:t>
                  </w:r>
                </w:p>
              </w:tc>
            </w:tr>
            <w:tr w14:paraId="5F50E4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1" w:type="pct"/>
                  <w:noWrap w:val="0"/>
                  <w:tcMar>
                    <w:top w:w="0" w:type="dxa"/>
                    <w:left w:w="0" w:type="dxa"/>
                    <w:bottom w:w="0" w:type="dxa"/>
                    <w:right w:w="0" w:type="dxa"/>
                  </w:tcMar>
                  <w:vAlign w:val="center"/>
                </w:tcPr>
                <w:p w14:paraId="6CBE4FD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eastAsia="宋体"/>
                      <w:color w:val="auto"/>
                      <w:kern w:val="2"/>
                      <w:sz w:val="21"/>
                      <w:szCs w:val="21"/>
                      <w:lang w:val="en-US" w:eastAsia="zh-CN" w:bidi="ar-SA"/>
                    </w:rPr>
                  </w:pPr>
                  <w:r>
                    <w:rPr>
                      <w:rFonts w:hint="eastAsia"/>
                      <w:color w:val="auto"/>
                      <w:szCs w:val="21"/>
                      <w:lang w:val="en-US" w:eastAsia="zh-CN"/>
                    </w:rPr>
                    <w:t>2</w:t>
                  </w:r>
                </w:p>
              </w:tc>
              <w:tc>
                <w:tcPr>
                  <w:tcW w:w="664" w:type="pct"/>
                  <w:noWrap w:val="0"/>
                  <w:tcMar>
                    <w:top w:w="0" w:type="dxa"/>
                    <w:left w:w="0" w:type="dxa"/>
                    <w:bottom w:w="0" w:type="dxa"/>
                    <w:right w:w="0" w:type="dxa"/>
                  </w:tcMar>
                  <w:vAlign w:val="center"/>
                </w:tcPr>
                <w:p w14:paraId="4DDE8D12">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eastAsia="宋体"/>
                      <w:color w:val="auto"/>
                      <w:lang w:val="en-US" w:eastAsia="zh-CN"/>
                    </w:rPr>
                  </w:pPr>
                  <w:r>
                    <w:rPr>
                      <w:rFonts w:hint="eastAsia"/>
                      <w:color w:val="auto"/>
                      <w:lang w:val="en-US" w:eastAsia="zh-CN"/>
                    </w:rPr>
                    <w:t>废边角料</w:t>
                  </w:r>
                </w:p>
              </w:tc>
              <w:tc>
                <w:tcPr>
                  <w:tcW w:w="637" w:type="pct"/>
                  <w:noWrap w:val="0"/>
                  <w:tcMar>
                    <w:top w:w="0" w:type="dxa"/>
                    <w:left w:w="0" w:type="dxa"/>
                    <w:bottom w:w="0" w:type="dxa"/>
                    <w:right w:w="0" w:type="dxa"/>
                  </w:tcMar>
                  <w:vAlign w:val="center"/>
                </w:tcPr>
                <w:p w14:paraId="00675C4A">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eastAsia="宋体"/>
                      <w:color w:val="auto"/>
                      <w:lang w:val="en-US" w:eastAsia="zh-CN"/>
                    </w:rPr>
                  </w:pPr>
                  <w:r>
                    <w:rPr>
                      <w:rFonts w:hint="eastAsia"/>
                      <w:color w:val="auto"/>
                      <w:lang w:val="en-US" w:eastAsia="zh-CN"/>
                    </w:rPr>
                    <w:t>生产</w:t>
                  </w:r>
                </w:p>
              </w:tc>
              <w:tc>
                <w:tcPr>
                  <w:tcW w:w="260" w:type="pct"/>
                  <w:noWrap w:val="0"/>
                  <w:tcMar>
                    <w:top w:w="0" w:type="dxa"/>
                    <w:left w:w="0" w:type="dxa"/>
                    <w:bottom w:w="0" w:type="dxa"/>
                    <w:right w:w="0" w:type="dxa"/>
                  </w:tcMar>
                  <w:vAlign w:val="center"/>
                </w:tcPr>
                <w:p w14:paraId="1DB07782">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r>
                    <w:rPr>
                      <w:color w:val="auto"/>
                      <w:szCs w:val="21"/>
                    </w:rPr>
                    <w:t>固</w:t>
                  </w:r>
                </w:p>
              </w:tc>
              <w:tc>
                <w:tcPr>
                  <w:tcW w:w="951" w:type="pct"/>
                  <w:noWrap w:val="0"/>
                  <w:tcMar>
                    <w:top w:w="0" w:type="dxa"/>
                    <w:left w:w="0" w:type="dxa"/>
                    <w:bottom w:w="0" w:type="dxa"/>
                    <w:right w:w="0" w:type="dxa"/>
                  </w:tcMar>
                  <w:vAlign w:val="center"/>
                </w:tcPr>
                <w:p w14:paraId="67DD9853">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eastAsia="宋体"/>
                      <w:color w:val="auto"/>
                      <w:lang w:val="en-US" w:eastAsia="zh-CN"/>
                    </w:rPr>
                  </w:pPr>
                  <w:r>
                    <w:rPr>
                      <w:rFonts w:hint="eastAsia"/>
                      <w:color w:val="auto"/>
                      <w:lang w:val="en-US" w:eastAsia="zh-CN"/>
                    </w:rPr>
                    <w:t>塑料</w:t>
                  </w:r>
                </w:p>
              </w:tc>
              <w:tc>
                <w:tcPr>
                  <w:tcW w:w="560" w:type="pct"/>
                  <w:noWrap w:val="0"/>
                  <w:tcMar>
                    <w:top w:w="0" w:type="dxa"/>
                    <w:left w:w="0" w:type="dxa"/>
                    <w:bottom w:w="0" w:type="dxa"/>
                    <w:right w:w="0" w:type="dxa"/>
                  </w:tcMar>
                  <w:vAlign w:val="center"/>
                </w:tcPr>
                <w:p w14:paraId="7F44686E">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eastAsia="宋体"/>
                      <w:color w:val="auto"/>
                      <w:lang w:val="en-US" w:eastAsia="zh-CN"/>
                    </w:rPr>
                  </w:pPr>
                  <w:r>
                    <w:rPr>
                      <w:rFonts w:hint="eastAsia"/>
                      <w:color w:val="auto"/>
                      <w:szCs w:val="21"/>
                      <w:lang w:val="en-US" w:eastAsia="zh-CN"/>
                    </w:rPr>
                    <w:t>20</w:t>
                  </w:r>
                </w:p>
              </w:tc>
              <w:tc>
                <w:tcPr>
                  <w:tcW w:w="561" w:type="pct"/>
                  <w:noWrap w:val="0"/>
                  <w:tcMar>
                    <w:top w:w="0" w:type="dxa"/>
                    <w:left w:w="0" w:type="dxa"/>
                    <w:bottom w:w="0" w:type="dxa"/>
                    <w:right w:w="0" w:type="dxa"/>
                  </w:tcMar>
                  <w:vAlign w:val="center"/>
                </w:tcPr>
                <w:p w14:paraId="040E75B8">
                  <w:pPr>
                    <w:keepNext w:val="0"/>
                    <w:keepLines w:val="0"/>
                    <w:pageBreakBefore w:val="0"/>
                    <w:widowControl w:val="0"/>
                    <w:kinsoku/>
                    <w:wordWrap/>
                    <w:overflowPunct/>
                    <w:topLinePunct w:val="0"/>
                    <w:autoSpaceDE/>
                    <w:autoSpaceDN/>
                    <w:bidi w:val="0"/>
                    <w:adjustRightInd w:val="0"/>
                    <w:snapToGrid w:val="0"/>
                    <w:ind w:left="0" w:leftChars="0" w:right="0" w:rightChars="0"/>
                    <w:contextualSpacing/>
                    <w:jc w:val="center"/>
                    <w:textAlignment w:val="auto"/>
                    <w:rPr>
                      <w:color w:val="auto"/>
                      <w:kern w:val="18"/>
                      <w:szCs w:val="21"/>
                    </w:rPr>
                  </w:pPr>
                  <w:r>
                    <w:rPr>
                      <w:color w:val="auto"/>
                      <w:kern w:val="18"/>
                      <w:szCs w:val="21"/>
                    </w:rPr>
                    <w:t>√</w:t>
                  </w:r>
                </w:p>
              </w:tc>
              <w:tc>
                <w:tcPr>
                  <w:tcW w:w="478" w:type="pct"/>
                  <w:noWrap w:val="0"/>
                  <w:tcMar>
                    <w:top w:w="0" w:type="dxa"/>
                    <w:left w:w="0" w:type="dxa"/>
                    <w:bottom w:w="0" w:type="dxa"/>
                    <w:right w:w="0" w:type="dxa"/>
                  </w:tcMar>
                  <w:vAlign w:val="center"/>
                </w:tcPr>
                <w:p w14:paraId="0846CD73">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r>
                    <w:rPr>
                      <w:color w:val="auto"/>
                      <w:szCs w:val="21"/>
                    </w:rPr>
                    <w:t>/</w:t>
                  </w:r>
                </w:p>
              </w:tc>
              <w:tc>
                <w:tcPr>
                  <w:tcW w:w="604" w:type="pct"/>
                  <w:vMerge w:val="continue"/>
                  <w:noWrap w:val="0"/>
                  <w:tcMar>
                    <w:top w:w="0" w:type="dxa"/>
                    <w:left w:w="0" w:type="dxa"/>
                    <w:bottom w:w="0" w:type="dxa"/>
                    <w:right w:w="0" w:type="dxa"/>
                  </w:tcMar>
                  <w:vAlign w:val="center"/>
                </w:tcPr>
                <w:p w14:paraId="2EC0F2DE">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p>
              </w:tc>
            </w:tr>
            <w:tr w14:paraId="5662ED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1" w:type="pct"/>
                  <w:noWrap w:val="0"/>
                  <w:tcMar>
                    <w:top w:w="0" w:type="dxa"/>
                    <w:left w:w="0" w:type="dxa"/>
                    <w:bottom w:w="0" w:type="dxa"/>
                    <w:right w:w="0" w:type="dxa"/>
                  </w:tcMar>
                  <w:vAlign w:val="center"/>
                </w:tcPr>
                <w:p w14:paraId="4183F109">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eastAsia="宋体"/>
                      <w:color w:val="auto"/>
                      <w:kern w:val="2"/>
                      <w:sz w:val="21"/>
                      <w:szCs w:val="21"/>
                      <w:lang w:val="en-US" w:eastAsia="zh-CN" w:bidi="ar-SA"/>
                    </w:rPr>
                  </w:pPr>
                  <w:r>
                    <w:rPr>
                      <w:rFonts w:hint="eastAsia"/>
                      <w:color w:val="auto"/>
                      <w:szCs w:val="21"/>
                      <w:lang w:val="en-US" w:eastAsia="zh-CN"/>
                    </w:rPr>
                    <w:t>3</w:t>
                  </w:r>
                </w:p>
              </w:tc>
              <w:tc>
                <w:tcPr>
                  <w:tcW w:w="664" w:type="pct"/>
                  <w:noWrap w:val="0"/>
                  <w:tcMar>
                    <w:top w:w="0" w:type="dxa"/>
                    <w:left w:w="0" w:type="dxa"/>
                    <w:bottom w:w="0" w:type="dxa"/>
                    <w:right w:w="0" w:type="dxa"/>
                  </w:tcMar>
                  <w:vAlign w:val="center"/>
                </w:tcPr>
                <w:p w14:paraId="74552B25">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color w:val="auto"/>
                      <w:lang w:val="en-US" w:eastAsia="zh-CN"/>
                    </w:rPr>
                  </w:pPr>
                  <w:r>
                    <w:rPr>
                      <w:rFonts w:hint="eastAsia" w:ascii="Times New Roman" w:hAnsi="Times New Roman" w:eastAsia="宋体" w:cs="Times New Roman"/>
                      <w:color w:val="auto"/>
                      <w:sz w:val="21"/>
                      <w:szCs w:val="21"/>
                      <w:lang w:val="en-US" w:eastAsia="zh-CN"/>
                    </w:rPr>
                    <w:t>布袋捕集物、沉渣</w:t>
                  </w:r>
                </w:p>
              </w:tc>
              <w:tc>
                <w:tcPr>
                  <w:tcW w:w="637" w:type="pct"/>
                  <w:noWrap w:val="0"/>
                  <w:tcMar>
                    <w:top w:w="0" w:type="dxa"/>
                    <w:left w:w="0" w:type="dxa"/>
                    <w:bottom w:w="0" w:type="dxa"/>
                    <w:right w:w="0" w:type="dxa"/>
                  </w:tcMar>
                  <w:vAlign w:val="center"/>
                </w:tcPr>
                <w:p w14:paraId="576F446E">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color w:val="auto"/>
                      <w:lang w:val="en-US" w:eastAsia="zh-CN"/>
                    </w:rPr>
                  </w:pPr>
                  <w:r>
                    <w:rPr>
                      <w:rFonts w:hint="eastAsia"/>
                      <w:color w:val="auto"/>
                      <w:lang w:val="en-US" w:eastAsia="zh-CN"/>
                    </w:rPr>
                    <w:t>废气处理、筛分</w:t>
                  </w:r>
                </w:p>
              </w:tc>
              <w:tc>
                <w:tcPr>
                  <w:tcW w:w="260" w:type="pct"/>
                  <w:noWrap w:val="0"/>
                  <w:tcMar>
                    <w:top w:w="0" w:type="dxa"/>
                    <w:left w:w="0" w:type="dxa"/>
                    <w:bottom w:w="0" w:type="dxa"/>
                    <w:right w:w="0" w:type="dxa"/>
                  </w:tcMar>
                  <w:vAlign w:val="center"/>
                </w:tcPr>
                <w:p w14:paraId="546F063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r>
                    <w:rPr>
                      <w:color w:val="auto"/>
                      <w:szCs w:val="21"/>
                    </w:rPr>
                    <w:t>固</w:t>
                  </w:r>
                </w:p>
              </w:tc>
              <w:tc>
                <w:tcPr>
                  <w:tcW w:w="951" w:type="pct"/>
                  <w:noWrap w:val="0"/>
                  <w:tcMar>
                    <w:top w:w="0" w:type="dxa"/>
                    <w:left w:w="0" w:type="dxa"/>
                    <w:bottom w:w="0" w:type="dxa"/>
                    <w:right w:w="0" w:type="dxa"/>
                  </w:tcMar>
                  <w:vAlign w:val="center"/>
                </w:tcPr>
                <w:p w14:paraId="658A5368">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color w:val="auto"/>
                      <w:lang w:val="en-US" w:eastAsia="zh-CN"/>
                    </w:rPr>
                  </w:pPr>
                  <w:r>
                    <w:rPr>
                      <w:rFonts w:hint="eastAsia"/>
                      <w:color w:val="auto"/>
                      <w:lang w:val="en-US" w:eastAsia="zh-CN"/>
                    </w:rPr>
                    <w:t>塑料</w:t>
                  </w:r>
                </w:p>
              </w:tc>
              <w:tc>
                <w:tcPr>
                  <w:tcW w:w="560" w:type="pct"/>
                  <w:noWrap w:val="0"/>
                  <w:tcMar>
                    <w:top w:w="0" w:type="dxa"/>
                    <w:left w:w="0" w:type="dxa"/>
                    <w:bottom w:w="0" w:type="dxa"/>
                    <w:right w:w="0" w:type="dxa"/>
                  </w:tcMar>
                  <w:vAlign w:val="center"/>
                </w:tcPr>
                <w:p w14:paraId="7B7A0918">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color w:val="auto"/>
                      <w:lang w:val="en-US" w:eastAsia="zh-CN"/>
                    </w:rPr>
                  </w:pPr>
                  <w:r>
                    <w:rPr>
                      <w:rFonts w:hint="eastAsia" w:ascii="Times New Roman" w:hAnsi="Times New Roman" w:eastAsia="宋体" w:cs="Times New Roman"/>
                      <w:color w:val="auto"/>
                      <w:sz w:val="21"/>
                      <w:szCs w:val="21"/>
                      <w:lang w:val="en-US" w:eastAsia="zh-CN"/>
                    </w:rPr>
                    <w:t>0.32</w:t>
                  </w:r>
                </w:p>
              </w:tc>
              <w:tc>
                <w:tcPr>
                  <w:tcW w:w="561" w:type="pct"/>
                  <w:noWrap w:val="0"/>
                  <w:tcMar>
                    <w:top w:w="0" w:type="dxa"/>
                    <w:left w:w="0" w:type="dxa"/>
                    <w:bottom w:w="0" w:type="dxa"/>
                    <w:right w:w="0" w:type="dxa"/>
                  </w:tcMar>
                  <w:vAlign w:val="center"/>
                </w:tcPr>
                <w:p w14:paraId="09589E46">
                  <w:pPr>
                    <w:keepNext w:val="0"/>
                    <w:keepLines w:val="0"/>
                    <w:pageBreakBefore w:val="0"/>
                    <w:widowControl w:val="0"/>
                    <w:kinsoku/>
                    <w:wordWrap/>
                    <w:overflowPunct/>
                    <w:topLinePunct w:val="0"/>
                    <w:autoSpaceDE/>
                    <w:autoSpaceDN/>
                    <w:bidi w:val="0"/>
                    <w:adjustRightInd w:val="0"/>
                    <w:snapToGrid w:val="0"/>
                    <w:ind w:left="0" w:leftChars="0" w:right="0" w:rightChars="0"/>
                    <w:contextualSpacing/>
                    <w:jc w:val="center"/>
                    <w:textAlignment w:val="auto"/>
                    <w:rPr>
                      <w:color w:val="auto"/>
                      <w:kern w:val="18"/>
                      <w:sz w:val="21"/>
                      <w:szCs w:val="21"/>
                      <w:lang w:val="en-US" w:eastAsia="zh-CN" w:bidi="ar-SA"/>
                    </w:rPr>
                  </w:pPr>
                  <w:r>
                    <w:rPr>
                      <w:color w:val="auto"/>
                      <w:kern w:val="18"/>
                      <w:szCs w:val="21"/>
                    </w:rPr>
                    <w:t>√</w:t>
                  </w:r>
                </w:p>
              </w:tc>
              <w:tc>
                <w:tcPr>
                  <w:tcW w:w="478" w:type="pct"/>
                  <w:noWrap w:val="0"/>
                  <w:tcMar>
                    <w:top w:w="0" w:type="dxa"/>
                    <w:left w:w="0" w:type="dxa"/>
                    <w:bottom w:w="0" w:type="dxa"/>
                    <w:right w:w="0" w:type="dxa"/>
                  </w:tcMar>
                  <w:vAlign w:val="center"/>
                </w:tcPr>
                <w:p w14:paraId="4C09073F">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kern w:val="2"/>
                      <w:sz w:val="21"/>
                      <w:szCs w:val="21"/>
                      <w:lang w:val="en-US" w:eastAsia="zh-CN" w:bidi="ar-SA"/>
                    </w:rPr>
                  </w:pPr>
                  <w:r>
                    <w:rPr>
                      <w:color w:val="auto"/>
                      <w:szCs w:val="21"/>
                    </w:rPr>
                    <w:t>/</w:t>
                  </w:r>
                </w:p>
              </w:tc>
              <w:tc>
                <w:tcPr>
                  <w:tcW w:w="604" w:type="pct"/>
                  <w:vMerge w:val="continue"/>
                  <w:noWrap w:val="0"/>
                  <w:tcMar>
                    <w:top w:w="0" w:type="dxa"/>
                    <w:left w:w="0" w:type="dxa"/>
                    <w:bottom w:w="0" w:type="dxa"/>
                    <w:right w:w="0" w:type="dxa"/>
                  </w:tcMar>
                  <w:vAlign w:val="center"/>
                </w:tcPr>
                <w:p w14:paraId="4954F7E1">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p>
              </w:tc>
            </w:tr>
            <w:tr w14:paraId="4A8F30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1" w:type="pct"/>
                  <w:noWrap w:val="0"/>
                  <w:tcMar>
                    <w:top w:w="0" w:type="dxa"/>
                    <w:left w:w="0" w:type="dxa"/>
                    <w:bottom w:w="0" w:type="dxa"/>
                    <w:right w:w="0" w:type="dxa"/>
                  </w:tcMar>
                  <w:vAlign w:val="center"/>
                </w:tcPr>
                <w:p w14:paraId="1959F267">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color w:val="auto"/>
                      <w:kern w:val="2"/>
                      <w:sz w:val="21"/>
                      <w:szCs w:val="21"/>
                      <w:lang w:val="en-US" w:eastAsia="zh-CN" w:bidi="ar-SA"/>
                    </w:rPr>
                  </w:pPr>
                  <w:r>
                    <w:rPr>
                      <w:rFonts w:hint="eastAsia"/>
                      <w:color w:val="auto"/>
                      <w:szCs w:val="21"/>
                    </w:rPr>
                    <w:t>4</w:t>
                  </w:r>
                </w:p>
              </w:tc>
              <w:tc>
                <w:tcPr>
                  <w:tcW w:w="664" w:type="pct"/>
                  <w:noWrap w:val="0"/>
                  <w:tcMar>
                    <w:top w:w="0" w:type="dxa"/>
                    <w:left w:w="0" w:type="dxa"/>
                    <w:bottom w:w="0" w:type="dxa"/>
                    <w:right w:w="0" w:type="dxa"/>
                  </w:tcMar>
                  <w:vAlign w:val="center"/>
                </w:tcPr>
                <w:p w14:paraId="2E6BDEAE">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color w:val="auto"/>
                      <w:kern w:val="2"/>
                      <w:sz w:val="21"/>
                      <w:szCs w:val="21"/>
                      <w:lang w:val="en-US" w:eastAsia="zh-CN" w:bidi="ar-SA"/>
                    </w:rPr>
                  </w:pPr>
                  <w:r>
                    <w:rPr>
                      <w:rFonts w:hint="eastAsia"/>
                      <w:color w:val="auto"/>
                      <w:szCs w:val="21"/>
                      <w:lang w:val="en-US" w:eastAsia="zh-CN"/>
                    </w:rPr>
                    <w:t>喷淋塔废液</w:t>
                  </w:r>
                </w:p>
              </w:tc>
              <w:tc>
                <w:tcPr>
                  <w:tcW w:w="637" w:type="pct"/>
                  <w:noWrap w:val="0"/>
                  <w:tcMar>
                    <w:top w:w="0" w:type="dxa"/>
                    <w:left w:w="0" w:type="dxa"/>
                    <w:bottom w:w="0" w:type="dxa"/>
                    <w:right w:w="0" w:type="dxa"/>
                  </w:tcMar>
                  <w:vAlign w:val="center"/>
                </w:tcPr>
                <w:p w14:paraId="5EF50E97">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color w:val="auto"/>
                      <w:kern w:val="2"/>
                      <w:sz w:val="21"/>
                      <w:szCs w:val="21"/>
                      <w:lang w:val="en-US" w:eastAsia="zh-CN" w:bidi="ar-SA"/>
                    </w:rPr>
                  </w:pPr>
                  <w:r>
                    <w:rPr>
                      <w:rFonts w:hint="eastAsia"/>
                      <w:color w:val="auto"/>
                      <w:kern w:val="2"/>
                      <w:sz w:val="21"/>
                      <w:szCs w:val="21"/>
                      <w:lang w:val="en-US" w:eastAsia="zh-CN" w:bidi="ar-SA"/>
                    </w:rPr>
                    <w:t>废气处理</w:t>
                  </w:r>
                </w:p>
              </w:tc>
              <w:tc>
                <w:tcPr>
                  <w:tcW w:w="260" w:type="pct"/>
                  <w:noWrap w:val="0"/>
                  <w:tcMar>
                    <w:top w:w="0" w:type="dxa"/>
                    <w:left w:w="0" w:type="dxa"/>
                    <w:bottom w:w="0" w:type="dxa"/>
                    <w:right w:w="0" w:type="dxa"/>
                  </w:tcMar>
                  <w:vAlign w:val="center"/>
                </w:tcPr>
                <w:p w14:paraId="5ECDC854">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color w:val="auto"/>
                      <w:kern w:val="2"/>
                      <w:sz w:val="21"/>
                      <w:szCs w:val="21"/>
                      <w:lang w:val="en-US" w:eastAsia="zh-CN" w:bidi="ar-SA"/>
                    </w:rPr>
                  </w:pPr>
                  <w:r>
                    <w:rPr>
                      <w:rFonts w:hint="eastAsia"/>
                      <w:color w:val="auto"/>
                      <w:kern w:val="2"/>
                      <w:sz w:val="21"/>
                      <w:szCs w:val="21"/>
                      <w:lang w:val="en-US" w:eastAsia="zh-CN" w:bidi="ar-SA"/>
                    </w:rPr>
                    <w:t>液</w:t>
                  </w:r>
                </w:p>
              </w:tc>
              <w:tc>
                <w:tcPr>
                  <w:tcW w:w="951" w:type="pct"/>
                  <w:noWrap w:val="0"/>
                  <w:tcMar>
                    <w:top w:w="0" w:type="dxa"/>
                    <w:left w:w="0" w:type="dxa"/>
                    <w:bottom w:w="0" w:type="dxa"/>
                    <w:right w:w="0" w:type="dxa"/>
                  </w:tcMar>
                  <w:vAlign w:val="center"/>
                </w:tcPr>
                <w:p w14:paraId="6CB000BF">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eastAsia="宋体"/>
                      <w:color w:val="auto"/>
                      <w:kern w:val="18"/>
                      <w:sz w:val="21"/>
                      <w:szCs w:val="21"/>
                      <w:lang w:val="en-US" w:eastAsia="zh-CN" w:bidi="ar-SA"/>
                    </w:rPr>
                  </w:pPr>
                  <w:r>
                    <w:rPr>
                      <w:rFonts w:hint="eastAsia"/>
                      <w:color w:val="auto"/>
                      <w:kern w:val="18"/>
                      <w:sz w:val="21"/>
                      <w:szCs w:val="21"/>
                      <w:lang w:val="en-US" w:eastAsia="zh-CN" w:bidi="ar-SA"/>
                    </w:rPr>
                    <w:t>水油烃混合物</w:t>
                  </w:r>
                </w:p>
              </w:tc>
              <w:tc>
                <w:tcPr>
                  <w:tcW w:w="560" w:type="pct"/>
                  <w:noWrap w:val="0"/>
                  <w:tcMar>
                    <w:top w:w="0" w:type="dxa"/>
                    <w:left w:w="0" w:type="dxa"/>
                    <w:bottom w:w="0" w:type="dxa"/>
                    <w:right w:w="0" w:type="dxa"/>
                  </w:tcMar>
                  <w:vAlign w:val="center"/>
                </w:tcPr>
                <w:p w14:paraId="1D7B89FC">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color w:val="auto"/>
                      <w:kern w:val="2"/>
                      <w:sz w:val="21"/>
                      <w:szCs w:val="21"/>
                      <w:lang w:val="en-US" w:eastAsia="zh-CN" w:bidi="ar-SA"/>
                    </w:rPr>
                  </w:pPr>
                  <w:r>
                    <w:rPr>
                      <w:rFonts w:hint="eastAsia"/>
                      <w:color w:val="auto"/>
                      <w:kern w:val="2"/>
                      <w:sz w:val="21"/>
                      <w:szCs w:val="21"/>
                      <w:lang w:val="en-US" w:eastAsia="zh-CN" w:bidi="ar-SA"/>
                    </w:rPr>
                    <w:t>1</w:t>
                  </w:r>
                </w:p>
              </w:tc>
              <w:tc>
                <w:tcPr>
                  <w:tcW w:w="561" w:type="pct"/>
                  <w:shd w:val="clear" w:color="auto" w:fill="auto"/>
                  <w:noWrap w:val="0"/>
                  <w:tcMar>
                    <w:top w:w="0" w:type="dxa"/>
                    <w:left w:w="0" w:type="dxa"/>
                    <w:bottom w:w="0" w:type="dxa"/>
                    <w:right w:w="0" w:type="dxa"/>
                  </w:tcMar>
                  <w:vAlign w:val="center"/>
                </w:tcPr>
                <w:p w14:paraId="4DC49499">
                  <w:pPr>
                    <w:keepNext w:val="0"/>
                    <w:keepLines w:val="0"/>
                    <w:pageBreakBefore w:val="0"/>
                    <w:widowControl w:val="0"/>
                    <w:kinsoku/>
                    <w:wordWrap/>
                    <w:overflowPunct/>
                    <w:topLinePunct w:val="0"/>
                    <w:autoSpaceDE/>
                    <w:autoSpaceDN/>
                    <w:bidi w:val="0"/>
                    <w:adjustRightInd w:val="0"/>
                    <w:snapToGrid w:val="0"/>
                    <w:ind w:left="0" w:leftChars="0" w:right="0" w:rightChars="0"/>
                    <w:contextualSpacing/>
                    <w:jc w:val="center"/>
                    <w:textAlignment w:val="auto"/>
                    <w:rPr>
                      <w:rFonts w:ascii="Times New Roman" w:hAnsi="Times New Roman" w:eastAsia="宋体" w:cs="Times New Roman"/>
                      <w:color w:val="auto"/>
                      <w:kern w:val="18"/>
                      <w:sz w:val="21"/>
                      <w:szCs w:val="21"/>
                      <w:lang w:val="en-US" w:eastAsia="zh-CN" w:bidi="ar-SA"/>
                    </w:rPr>
                  </w:pPr>
                  <w:r>
                    <w:rPr>
                      <w:color w:val="auto"/>
                      <w:kern w:val="18"/>
                      <w:szCs w:val="21"/>
                    </w:rPr>
                    <w:t>√</w:t>
                  </w:r>
                </w:p>
              </w:tc>
              <w:tc>
                <w:tcPr>
                  <w:tcW w:w="478" w:type="pct"/>
                  <w:shd w:val="clear" w:color="auto" w:fill="auto"/>
                  <w:noWrap w:val="0"/>
                  <w:tcMar>
                    <w:top w:w="0" w:type="dxa"/>
                    <w:left w:w="0" w:type="dxa"/>
                    <w:bottom w:w="0" w:type="dxa"/>
                    <w:right w:w="0" w:type="dxa"/>
                  </w:tcMar>
                  <w:vAlign w:val="center"/>
                </w:tcPr>
                <w:p w14:paraId="4EAB7C76">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ascii="Times New Roman" w:hAnsi="Times New Roman" w:eastAsia="宋体" w:cs="Times New Roman"/>
                      <w:color w:val="auto"/>
                      <w:kern w:val="2"/>
                      <w:sz w:val="21"/>
                      <w:szCs w:val="21"/>
                      <w:lang w:val="en-US" w:eastAsia="zh-CN" w:bidi="ar-SA"/>
                    </w:rPr>
                  </w:pPr>
                  <w:r>
                    <w:rPr>
                      <w:color w:val="auto"/>
                      <w:szCs w:val="21"/>
                    </w:rPr>
                    <w:t>/</w:t>
                  </w:r>
                </w:p>
              </w:tc>
              <w:tc>
                <w:tcPr>
                  <w:tcW w:w="604" w:type="pct"/>
                  <w:vMerge w:val="continue"/>
                  <w:noWrap w:val="0"/>
                  <w:tcMar>
                    <w:top w:w="0" w:type="dxa"/>
                    <w:left w:w="0" w:type="dxa"/>
                    <w:bottom w:w="0" w:type="dxa"/>
                    <w:right w:w="0" w:type="dxa"/>
                  </w:tcMar>
                  <w:vAlign w:val="center"/>
                </w:tcPr>
                <w:p w14:paraId="21D1392F">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p>
              </w:tc>
            </w:tr>
            <w:tr w14:paraId="41C768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1" w:type="pct"/>
                  <w:noWrap w:val="0"/>
                  <w:tcMar>
                    <w:top w:w="0" w:type="dxa"/>
                    <w:left w:w="0" w:type="dxa"/>
                    <w:bottom w:w="0" w:type="dxa"/>
                    <w:right w:w="0" w:type="dxa"/>
                  </w:tcMar>
                  <w:vAlign w:val="center"/>
                </w:tcPr>
                <w:p w14:paraId="4FEF887F">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color w:val="auto"/>
                      <w:kern w:val="2"/>
                      <w:sz w:val="21"/>
                      <w:szCs w:val="21"/>
                      <w:lang w:val="en-US" w:eastAsia="zh-CN" w:bidi="ar-SA"/>
                    </w:rPr>
                  </w:pPr>
                  <w:r>
                    <w:rPr>
                      <w:rFonts w:hint="eastAsia"/>
                      <w:color w:val="auto"/>
                      <w:kern w:val="2"/>
                      <w:sz w:val="21"/>
                      <w:szCs w:val="21"/>
                      <w:lang w:val="en-US" w:eastAsia="zh-CN" w:bidi="ar-SA"/>
                    </w:rPr>
                    <w:t>5</w:t>
                  </w:r>
                </w:p>
              </w:tc>
              <w:tc>
                <w:tcPr>
                  <w:tcW w:w="664" w:type="pct"/>
                  <w:noWrap w:val="0"/>
                  <w:tcMar>
                    <w:top w:w="0" w:type="dxa"/>
                    <w:left w:w="0" w:type="dxa"/>
                    <w:bottom w:w="0" w:type="dxa"/>
                    <w:right w:w="0" w:type="dxa"/>
                  </w:tcMar>
                  <w:vAlign w:val="center"/>
                </w:tcPr>
                <w:p w14:paraId="5F415297">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b w:val="0"/>
                      <w:bCs w:val="0"/>
                      <w:color w:val="auto"/>
                      <w:szCs w:val="21"/>
                      <w:lang w:val="en-US" w:eastAsia="zh-CN"/>
                    </w:rPr>
                  </w:pPr>
                  <w:r>
                    <w:rPr>
                      <w:rFonts w:hint="eastAsia"/>
                      <w:b w:val="0"/>
                      <w:bCs w:val="0"/>
                      <w:color w:val="auto"/>
                      <w:szCs w:val="21"/>
                      <w:lang w:val="en-US" w:eastAsia="zh-CN"/>
                    </w:rPr>
                    <w:t>废润滑油</w:t>
                  </w:r>
                </w:p>
              </w:tc>
              <w:tc>
                <w:tcPr>
                  <w:tcW w:w="637" w:type="pct"/>
                  <w:noWrap w:val="0"/>
                  <w:tcMar>
                    <w:top w:w="0" w:type="dxa"/>
                    <w:left w:w="0" w:type="dxa"/>
                    <w:bottom w:w="0" w:type="dxa"/>
                    <w:right w:w="0" w:type="dxa"/>
                  </w:tcMar>
                  <w:vAlign w:val="center"/>
                </w:tcPr>
                <w:p w14:paraId="5B00E687">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设备保养</w:t>
                  </w:r>
                </w:p>
              </w:tc>
              <w:tc>
                <w:tcPr>
                  <w:tcW w:w="260" w:type="pct"/>
                  <w:noWrap w:val="0"/>
                  <w:tcMar>
                    <w:top w:w="0" w:type="dxa"/>
                    <w:left w:w="0" w:type="dxa"/>
                    <w:bottom w:w="0" w:type="dxa"/>
                    <w:right w:w="0" w:type="dxa"/>
                  </w:tcMar>
                  <w:vAlign w:val="center"/>
                </w:tcPr>
                <w:p w14:paraId="6A9679C7">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color w:val="auto"/>
                      <w:kern w:val="2"/>
                      <w:sz w:val="21"/>
                      <w:szCs w:val="21"/>
                      <w:lang w:val="en-US" w:eastAsia="zh-CN" w:bidi="ar-SA"/>
                    </w:rPr>
                  </w:pPr>
                  <w:r>
                    <w:rPr>
                      <w:rFonts w:hint="eastAsia"/>
                      <w:color w:val="auto"/>
                      <w:kern w:val="2"/>
                      <w:sz w:val="21"/>
                      <w:szCs w:val="21"/>
                      <w:lang w:val="en-US" w:eastAsia="zh-CN" w:bidi="ar-SA"/>
                    </w:rPr>
                    <w:t>液</w:t>
                  </w:r>
                </w:p>
              </w:tc>
              <w:tc>
                <w:tcPr>
                  <w:tcW w:w="951" w:type="pct"/>
                  <w:noWrap w:val="0"/>
                  <w:tcMar>
                    <w:top w:w="0" w:type="dxa"/>
                    <w:left w:w="0" w:type="dxa"/>
                    <w:bottom w:w="0" w:type="dxa"/>
                    <w:right w:w="0" w:type="dxa"/>
                  </w:tcMar>
                  <w:vAlign w:val="center"/>
                </w:tcPr>
                <w:p w14:paraId="3C477EEB">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eastAsia="宋体"/>
                      <w:color w:val="auto"/>
                      <w:lang w:val="en-US" w:eastAsia="zh-CN"/>
                    </w:rPr>
                  </w:pPr>
                  <w:r>
                    <w:rPr>
                      <w:rFonts w:hint="eastAsia"/>
                      <w:color w:val="auto"/>
                      <w:lang w:val="en-US" w:eastAsia="zh-CN"/>
                    </w:rPr>
                    <w:t>矿物油</w:t>
                  </w:r>
                </w:p>
              </w:tc>
              <w:tc>
                <w:tcPr>
                  <w:tcW w:w="560" w:type="pct"/>
                  <w:noWrap w:val="0"/>
                  <w:tcMar>
                    <w:top w:w="0" w:type="dxa"/>
                    <w:left w:w="0" w:type="dxa"/>
                    <w:bottom w:w="0" w:type="dxa"/>
                    <w:right w:w="0" w:type="dxa"/>
                  </w:tcMar>
                  <w:vAlign w:val="center"/>
                </w:tcPr>
                <w:p w14:paraId="0351F3CB">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0.4</w:t>
                  </w:r>
                </w:p>
              </w:tc>
              <w:tc>
                <w:tcPr>
                  <w:tcW w:w="561" w:type="pct"/>
                  <w:noWrap w:val="0"/>
                  <w:tcMar>
                    <w:top w:w="0" w:type="dxa"/>
                    <w:left w:w="0" w:type="dxa"/>
                    <w:bottom w:w="0" w:type="dxa"/>
                    <w:right w:w="0" w:type="dxa"/>
                  </w:tcMar>
                  <w:vAlign w:val="center"/>
                </w:tcPr>
                <w:p w14:paraId="27F0331E">
                  <w:pPr>
                    <w:keepNext w:val="0"/>
                    <w:keepLines w:val="0"/>
                    <w:pageBreakBefore w:val="0"/>
                    <w:widowControl w:val="0"/>
                    <w:kinsoku/>
                    <w:wordWrap/>
                    <w:overflowPunct/>
                    <w:topLinePunct w:val="0"/>
                    <w:autoSpaceDE/>
                    <w:autoSpaceDN/>
                    <w:bidi w:val="0"/>
                    <w:adjustRightInd w:val="0"/>
                    <w:snapToGrid w:val="0"/>
                    <w:ind w:left="0" w:leftChars="0" w:right="0" w:rightChars="0"/>
                    <w:contextualSpacing/>
                    <w:jc w:val="center"/>
                    <w:textAlignment w:val="auto"/>
                    <w:rPr>
                      <w:color w:val="auto"/>
                      <w:kern w:val="18"/>
                      <w:sz w:val="21"/>
                      <w:szCs w:val="21"/>
                      <w:lang w:val="en-US" w:eastAsia="zh-CN" w:bidi="ar-SA"/>
                    </w:rPr>
                  </w:pPr>
                  <w:r>
                    <w:rPr>
                      <w:color w:val="auto"/>
                      <w:kern w:val="18"/>
                      <w:szCs w:val="21"/>
                    </w:rPr>
                    <w:t>√</w:t>
                  </w:r>
                </w:p>
              </w:tc>
              <w:tc>
                <w:tcPr>
                  <w:tcW w:w="478" w:type="pct"/>
                  <w:noWrap w:val="0"/>
                  <w:tcMar>
                    <w:top w:w="0" w:type="dxa"/>
                    <w:left w:w="0" w:type="dxa"/>
                    <w:bottom w:w="0" w:type="dxa"/>
                    <w:right w:w="0" w:type="dxa"/>
                  </w:tcMar>
                  <w:vAlign w:val="center"/>
                </w:tcPr>
                <w:p w14:paraId="1523C1C6">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kern w:val="2"/>
                      <w:sz w:val="21"/>
                      <w:szCs w:val="21"/>
                      <w:lang w:val="en-US" w:eastAsia="zh-CN" w:bidi="ar-SA"/>
                    </w:rPr>
                  </w:pPr>
                  <w:r>
                    <w:rPr>
                      <w:color w:val="auto"/>
                      <w:szCs w:val="21"/>
                    </w:rPr>
                    <w:t>/</w:t>
                  </w:r>
                </w:p>
              </w:tc>
              <w:tc>
                <w:tcPr>
                  <w:tcW w:w="604" w:type="pct"/>
                  <w:vMerge w:val="continue"/>
                  <w:noWrap w:val="0"/>
                  <w:tcMar>
                    <w:top w:w="0" w:type="dxa"/>
                    <w:left w:w="0" w:type="dxa"/>
                    <w:bottom w:w="0" w:type="dxa"/>
                    <w:right w:w="0" w:type="dxa"/>
                  </w:tcMar>
                  <w:vAlign w:val="center"/>
                </w:tcPr>
                <w:p w14:paraId="683E212B">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p>
              </w:tc>
            </w:tr>
            <w:tr w14:paraId="655AE9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1" w:type="pct"/>
                  <w:shd w:val="clear" w:color="auto" w:fill="auto"/>
                  <w:noWrap w:val="0"/>
                  <w:tcMar>
                    <w:top w:w="0" w:type="dxa"/>
                    <w:left w:w="0" w:type="dxa"/>
                    <w:bottom w:w="0" w:type="dxa"/>
                    <w:right w:w="0" w:type="dxa"/>
                  </w:tcMar>
                  <w:vAlign w:val="center"/>
                </w:tcPr>
                <w:p w14:paraId="19E5F146">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6</w:t>
                  </w:r>
                </w:p>
              </w:tc>
              <w:tc>
                <w:tcPr>
                  <w:tcW w:w="664" w:type="pct"/>
                  <w:shd w:val="clear" w:color="auto" w:fill="auto"/>
                  <w:noWrap w:val="0"/>
                  <w:tcMar>
                    <w:top w:w="0" w:type="dxa"/>
                    <w:left w:w="0" w:type="dxa"/>
                    <w:bottom w:w="0" w:type="dxa"/>
                    <w:right w:w="0" w:type="dxa"/>
                  </w:tcMar>
                  <w:vAlign w:val="center"/>
                </w:tcPr>
                <w:p w14:paraId="24C742C2">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废油桶</w:t>
                  </w:r>
                </w:p>
              </w:tc>
              <w:tc>
                <w:tcPr>
                  <w:tcW w:w="637" w:type="pct"/>
                  <w:shd w:val="clear" w:color="auto" w:fill="auto"/>
                  <w:noWrap w:val="0"/>
                  <w:tcMar>
                    <w:top w:w="0" w:type="dxa"/>
                    <w:left w:w="0" w:type="dxa"/>
                    <w:bottom w:w="0" w:type="dxa"/>
                    <w:right w:w="0" w:type="dxa"/>
                  </w:tcMar>
                  <w:vAlign w:val="center"/>
                </w:tcPr>
                <w:p w14:paraId="396556CD">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原料包装</w:t>
                  </w:r>
                </w:p>
              </w:tc>
              <w:tc>
                <w:tcPr>
                  <w:tcW w:w="260" w:type="pct"/>
                  <w:noWrap w:val="0"/>
                  <w:tcMar>
                    <w:top w:w="0" w:type="dxa"/>
                    <w:left w:w="0" w:type="dxa"/>
                    <w:bottom w:w="0" w:type="dxa"/>
                    <w:right w:w="0" w:type="dxa"/>
                  </w:tcMar>
                  <w:vAlign w:val="center"/>
                </w:tcPr>
                <w:p w14:paraId="5509981F">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color w:val="auto"/>
                      <w:kern w:val="2"/>
                      <w:sz w:val="21"/>
                      <w:szCs w:val="21"/>
                      <w:lang w:val="en-US" w:eastAsia="zh-CN" w:bidi="ar-SA"/>
                    </w:rPr>
                  </w:pPr>
                  <w:r>
                    <w:rPr>
                      <w:rFonts w:hint="eastAsia"/>
                      <w:color w:val="auto"/>
                      <w:szCs w:val="21"/>
                      <w:lang w:val="en-US" w:eastAsia="zh-CN"/>
                    </w:rPr>
                    <w:t>固</w:t>
                  </w:r>
                </w:p>
              </w:tc>
              <w:tc>
                <w:tcPr>
                  <w:tcW w:w="951" w:type="pct"/>
                  <w:noWrap w:val="0"/>
                  <w:tcMar>
                    <w:top w:w="0" w:type="dxa"/>
                    <w:left w:w="0" w:type="dxa"/>
                    <w:bottom w:w="0" w:type="dxa"/>
                    <w:right w:w="0" w:type="dxa"/>
                  </w:tcMar>
                  <w:vAlign w:val="center"/>
                </w:tcPr>
                <w:p w14:paraId="204E01B1">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eastAsia="宋体"/>
                      <w:color w:val="auto"/>
                      <w:lang w:val="en-US" w:eastAsia="zh-CN"/>
                    </w:rPr>
                  </w:pPr>
                  <w:r>
                    <w:rPr>
                      <w:rFonts w:hint="eastAsia"/>
                      <w:color w:val="auto"/>
                      <w:lang w:val="en-US" w:eastAsia="zh-CN"/>
                    </w:rPr>
                    <w:t>桶、矿物油</w:t>
                  </w:r>
                </w:p>
              </w:tc>
              <w:tc>
                <w:tcPr>
                  <w:tcW w:w="560" w:type="pct"/>
                  <w:noWrap w:val="0"/>
                  <w:tcMar>
                    <w:top w:w="0" w:type="dxa"/>
                    <w:left w:w="0" w:type="dxa"/>
                    <w:bottom w:w="0" w:type="dxa"/>
                    <w:right w:w="0" w:type="dxa"/>
                  </w:tcMar>
                  <w:vAlign w:val="center"/>
                </w:tcPr>
                <w:p w14:paraId="676D2483">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11.76</w:t>
                  </w:r>
                </w:p>
              </w:tc>
              <w:tc>
                <w:tcPr>
                  <w:tcW w:w="561" w:type="pct"/>
                  <w:shd w:val="clear" w:color="auto" w:fill="auto"/>
                  <w:noWrap w:val="0"/>
                  <w:tcMar>
                    <w:top w:w="0" w:type="dxa"/>
                    <w:left w:w="0" w:type="dxa"/>
                    <w:bottom w:w="0" w:type="dxa"/>
                    <w:right w:w="0" w:type="dxa"/>
                  </w:tcMar>
                  <w:vAlign w:val="center"/>
                </w:tcPr>
                <w:p w14:paraId="77E0A764">
                  <w:pPr>
                    <w:keepNext w:val="0"/>
                    <w:keepLines w:val="0"/>
                    <w:pageBreakBefore w:val="0"/>
                    <w:widowControl w:val="0"/>
                    <w:kinsoku/>
                    <w:wordWrap/>
                    <w:overflowPunct/>
                    <w:topLinePunct w:val="0"/>
                    <w:autoSpaceDE/>
                    <w:autoSpaceDN/>
                    <w:bidi w:val="0"/>
                    <w:adjustRightInd w:val="0"/>
                    <w:snapToGrid w:val="0"/>
                    <w:ind w:left="0" w:leftChars="0" w:right="0" w:rightChars="0"/>
                    <w:contextualSpacing/>
                    <w:jc w:val="center"/>
                    <w:textAlignment w:val="auto"/>
                    <w:rPr>
                      <w:rFonts w:ascii="Times New Roman" w:hAnsi="Times New Roman" w:eastAsia="宋体" w:cs="Times New Roman"/>
                      <w:color w:val="auto"/>
                      <w:kern w:val="18"/>
                      <w:sz w:val="21"/>
                      <w:szCs w:val="21"/>
                      <w:lang w:val="en-US" w:eastAsia="zh-CN" w:bidi="ar-SA"/>
                    </w:rPr>
                  </w:pPr>
                  <w:r>
                    <w:rPr>
                      <w:color w:val="auto"/>
                      <w:kern w:val="18"/>
                      <w:szCs w:val="21"/>
                    </w:rPr>
                    <w:t>√</w:t>
                  </w:r>
                </w:p>
              </w:tc>
              <w:tc>
                <w:tcPr>
                  <w:tcW w:w="478" w:type="pct"/>
                  <w:shd w:val="clear" w:color="auto" w:fill="auto"/>
                  <w:noWrap w:val="0"/>
                  <w:tcMar>
                    <w:top w:w="0" w:type="dxa"/>
                    <w:left w:w="0" w:type="dxa"/>
                    <w:bottom w:w="0" w:type="dxa"/>
                    <w:right w:w="0" w:type="dxa"/>
                  </w:tcMar>
                  <w:vAlign w:val="center"/>
                </w:tcPr>
                <w:p w14:paraId="5D910569">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ascii="Times New Roman" w:hAnsi="Times New Roman" w:eastAsia="宋体" w:cs="Times New Roman"/>
                      <w:color w:val="auto"/>
                      <w:kern w:val="2"/>
                      <w:sz w:val="21"/>
                      <w:szCs w:val="21"/>
                      <w:lang w:val="en-US" w:eastAsia="zh-CN" w:bidi="ar-SA"/>
                    </w:rPr>
                  </w:pPr>
                  <w:r>
                    <w:rPr>
                      <w:color w:val="auto"/>
                      <w:szCs w:val="21"/>
                    </w:rPr>
                    <w:t>/</w:t>
                  </w:r>
                </w:p>
              </w:tc>
              <w:tc>
                <w:tcPr>
                  <w:tcW w:w="604" w:type="pct"/>
                  <w:vMerge w:val="continue"/>
                  <w:noWrap w:val="0"/>
                  <w:tcMar>
                    <w:top w:w="0" w:type="dxa"/>
                    <w:left w:w="0" w:type="dxa"/>
                    <w:bottom w:w="0" w:type="dxa"/>
                    <w:right w:w="0" w:type="dxa"/>
                  </w:tcMar>
                  <w:vAlign w:val="center"/>
                </w:tcPr>
                <w:p w14:paraId="7B30BA96">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p>
              </w:tc>
            </w:tr>
            <w:tr w14:paraId="7B7E8B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1" w:type="pct"/>
                  <w:shd w:val="clear" w:color="auto" w:fill="auto"/>
                  <w:noWrap w:val="0"/>
                  <w:tcMar>
                    <w:top w:w="0" w:type="dxa"/>
                    <w:left w:w="0" w:type="dxa"/>
                    <w:bottom w:w="0" w:type="dxa"/>
                    <w:right w:w="0" w:type="dxa"/>
                  </w:tcMar>
                  <w:vAlign w:val="center"/>
                </w:tcPr>
                <w:p w14:paraId="5AAC3777">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7</w:t>
                  </w:r>
                </w:p>
              </w:tc>
              <w:tc>
                <w:tcPr>
                  <w:tcW w:w="664" w:type="pct"/>
                  <w:noWrap w:val="0"/>
                  <w:tcMar>
                    <w:top w:w="0" w:type="dxa"/>
                    <w:left w:w="0" w:type="dxa"/>
                    <w:bottom w:w="0" w:type="dxa"/>
                    <w:right w:w="0" w:type="dxa"/>
                  </w:tcMar>
                  <w:vAlign w:val="center"/>
                </w:tcPr>
                <w:p w14:paraId="084C607A">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color w:val="auto"/>
                      <w:kern w:val="2"/>
                      <w:sz w:val="21"/>
                      <w:szCs w:val="21"/>
                      <w:lang w:val="en-US" w:eastAsia="zh-CN" w:bidi="ar-SA"/>
                    </w:rPr>
                  </w:pPr>
                  <w:r>
                    <w:rPr>
                      <w:rFonts w:hint="eastAsia"/>
                      <w:color w:val="auto"/>
                      <w:szCs w:val="21"/>
                      <w:lang w:val="en-US" w:eastAsia="zh-CN"/>
                    </w:rPr>
                    <w:t>废包装桶</w:t>
                  </w:r>
                </w:p>
              </w:tc>
              <w:tc>
                <w:tcPr>
                  <w:tcW w:w="637" w:type="pct"/>
                  <w:noWrap w:val="0"/>
                  <w:tcMar>
                    <w:top w:w="0" w:type="dxa"/>
                    <w:left w:w="0" w:type="dxa"/>
                    <w:bottom w:w="0" w:type="dxa"/>
                    <w:right w:w="0" w:type="dxa"/>
                  </w:tcMar>
                  <w:vAlign w:val="center"/>
                </w:tcPr>
                <w:p w14:paraId="2277D3E0">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color w:val="auto"/>
                      <w:kern w:val="18"/>
                      <w:sz w:val="21"/>
                      <w:szCs w:val="21"/>
                      <w:lang w:val="en-US" w:eastAsia="zh-CN" w:bidi="ar-SA"/>
                    </w:rPr>
                  </w:pPr>
                  <w:r>
                    <w:rPr>
                      <w:rFonts w:hint="eastAsia"/>
                      <w:color w:val="auto"/>
                      <w:lang w:val="en-US" w:eastAsia="zh-CN"/>
                    </w:rPr>
                    <w:t>原料包装</w:t>
                  </w:r>
                </w:p>
              </w:tc>
              <w:tc>
                <w:tcPr>
                  <w:tcW w:w="260" w:type="pct"/>
                  <w:noWrap w:val="0"/>
                  <w:tcMar>
                    <w:top w:w="0" w:type="dxa"/>
                    <w:left w:w="0" w:type="dxa"/>
                    <w:bottom w:w="0" w:type="dxa"/>
                    <w:right w:w="0" w:type="dxa"/>
                  </w:tcMar>
                  <w:vAlign w:val="center"/>
                </w:tcPr>
                <w:p w14:paraId="284211CF">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color w:val="auto"/>
                      <w:kern w:val="2"/>
                      <w:sz w:val="21"/>
                      <w:szCs w:val="21"/>
                      <w:lang w:val="en-US" w:eastAsia="zh-CN" w:bidi="ar-SA"/>
                    </w:rPr>
                  </w:pPr>
                  <w:r>
                    <w:rPr>
                      <w:color w:val="auto"/>
                      <w:szCs w:val="21"/>
                    </w:rPr>
                    <w:t>固</w:t>
                  </w:r>
                </w:p>
              </w:tc>
              <w:tc>
                <w:tcPr>
                  <w:tcW w:w="951" w:type="pct"/>
                  <w:noWrap w:val="0"/>
                  <w:tcMar>
                    <w:top w:w="0" w:type="dxa"/>
                    <w:left w:w="0" w:type="dxa"/>
                    <w:bottom w:w="0" w:type="dxa"/>
                    <w:right w:w="0" w:type="dxa"/>
                  </w:tcMar>
                  <w:vAlign w:val="center"/>
                </w:tcPr>
                <w:p w14:paraId="68C968ED">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color w:val="auto"/>
                      <w:kern w:val="18"/>
                      <w:sz w:val="21"/>
                      <w:szCs w:val="21"/>
                      <w:lang w:val="en-US" w:eastAsia="zh-CN" w:bidi="ar-SA"/>
                    </w:rPr>
                  </w:pPr>
                  <w:r>
                    <w:rPr>
                      <w:rFonts w:hint="eastAsia"/>
                      <w:color w:val="auto"/>
                      <w:lang w:val="en-US" w:eastAsia="zh-CN"/>
                    </w:rPr>
                    <w:t>桶、有机物</w:t>
                  </w:r>
                </w:p>
              </w:tc>
              <w:tc>
                <w:tcPr>
                  <w:tcW w:w="560" w:type="pct"/>
                  <w:noWrap w:val="0"/>
                  <w:tcMar>
                    <w:top w:w="0" w:type="dxa"/>
                    <w:left w:w="0" w:type="dxa"/>
                    <w:bottom w:w="0" w:type="dxa"/>
                    <w:right w:w="0" w:type="dxa"/>
                  </w:tcMar>
                  <w:vAlign w:val="center"/>
                </w:tcPr>
                <w:p w14:paraId="5841E830">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color w:val="auto"/>
                      <w:kern w:val="2"/>
                      <w:sz w:val="21"/>
                      <w:szCs w:val="21"/>
                      <w:lang w:val="en-US" w:eastAsia="zh-CN" w:bidi="ar-SA"/>
                    </w:rPr>
                  </w:pPr>
                  <w:r>
                    <w:rPr>
                      <w:rFonts w:hint="eastAsia"/>
                      <w:color w:val="auto"/>
                      <w:szCs w:val="21"/>
                      <w:lang w:val="en-US" w:eastAsia="zh-CN"/>
                    </w:rPr>
                    <w:t>0.08</w:t>
                  </w:r>
                </w:p>
              </w:tc>
              <w:tc>
                <w:tcPr>
                  <w:tcW w:w="561" w:type="pct"/>
                  <w:noWrap w:val="0"/>
                  <w:tcMar>
                    <w:top w:w="0" w:type="dxa"/>
                    <w:left w:w="0" w:type="dxa"/>
                    <w:bottom w:w="0" w:type="dxa"/>
                    <w:right w:w="0" w:type="dxa"/>
                  </w:tcMar>
                  <w:vAlign w:val="center"/>
                </w:tcPr>
                <w:p w14:paraId="07EB4AE4">
                  <w:pPr>
                    <w:keepNext w:val="0"/>
                    <w:keepLines w:val="0"/>
                    <w:pageBreakBefore w:val="0"/>
                    <w:widowControl w:val="0"/>
                    <w:kinsoku/>
                    <w:wordWrap/>
                    <w:overflowPunct/>
                    <w:topLinePunct w:val="0"/>
                    <w:autoSpaceDE/>
                    <w:autoSpaceDN/>
                    <w:bidi w:val="0"/>
                    <w:adjustRightInd w:val="0"/>
                    <w:snapToGrid w:val="0"/>
                    <w:ind w:left="0" w:leftChars="0" w:right="0" w:rightChars="0"/>
                    <w:contextualSpacing/>
                    <w:jc w:val="center"/>
                    <w:textAlignment w:val="auto"/>
                    <w:rPr>
                      <w:color w:val="auto"/>
                      <w:kern w:val="18"/>
                      <w:sz w:val="21"/>
                      <w:szCs w:val="21"/>
                      <w:lang w:val="en-US" w:eastAsia="zh-CN" w:bidi="ar-SA"/>
                    </w:rPr>
                  </w:pPr>
                  <w:r>
                    <w:rPr>
                      <w:color w:val="auto"/>
                      <w:kern w:val="18"/>
                      <w:szCs w:val="21"/>
                    </w:rPr>
                    <w:t>√</w:t>
                  </w:r>
                </w:p>
              </w:tc>
              <w:tc>
                <w:tcPr>
                  <w:tcW w:w="478" w:type="pct"/>
                  <w:noWrap w:val="0"/>
                  <w:tcMar>
                    <w:top w:w="0" w:type="dxa"/>
                    <w:left w:w="0" w:type="dxa"/>
                    <w:bottom w:w="0" w:type="dxa"/>
                    <w:right w:w="0" w:type="dxa"/>
                  </w:tcMar>
                  <w:vAlign w:val="center"/>
                </w:tcPr>
                <w:p w14:paraId="5F5DAFAE">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kern w:val="2"/>
                      <w:sz w:val="21"/>
                      <w:szCs w:val="21"/>
                      <w:lang w:val="en-US" w:eastAsia="zh-CN" w:bidi="ar-SA"/>
                    </w:rPr>
                  </w:pPr>
                  <w:r>
                    <w:rPr>
                      <w:color w:val="auto"/>
                      <w:szCs w:val="21"/>
                    </w:rPr>
                    <w:t>/</w:t>
                  </w:r>
                </w:p>
              </w:tc>
              <w:tc>
                <w:tcPr>
                  <w:tcW w:w="604" w:type="pct"/>
                  <w:vMerge w:val="continue"/>
                  <w:noWrap w:val="0"/>
                  <w:tcMar>
                    <w:top w:w="0" w:type="dxa"/>
                    <w:left w:w="0" w:type="dxa"/>
                    <w:bottom w:w="0" w:type="dxa"/>
                    <w:right w:w="0" w:type="dxa"/>
                  </w:tcMar>
                  <w:vAlign w:val="center"/>
                </w:tcPr>
                <w:p w14:paraId="4F915FE0">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p>
              </w:tc>
            </w:tr>
            <w:tr w14:paraId="682C89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1" w:type="pct"/>
                  <w:shd w:val="clear" w:color="auto" w:fill="auto"/>
                  <w:noWrap w:val="0"/>
                  <w:tcMar>
                    <w:top w:w="0" w:type="dxa"/>
                    <w:left w:w="0" w:type="dxa"/>
                    <w:bottom w:w="0" w:type="dxa"/>
                    <w:right w:w="0" w:type="dxa"/>
                  </w:tcMar>
                  <w:vAlign w:val="center"/>
                </w:tcPr>
                <w:p w14:paraId="0E5B71E5">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8</w:t>
                  </w:r>
                </w:p>
              </w:tc>
              <w:tc>
                <w:tcPr>
                  <w:tcW w:w="664" w:type="pct"/>
                  <w:shd w:val="clear" w:color="auto" w:fill="auto"/>
                  <w:noWrap w:val="0"/>
                  <w:tcMar>
                    <w:top w:w="0" w:type="dxa"/>
                    <w:left w:w="0" w:type="dxa"/>
                    <w:bottom w:w="0" w:type="dxa"/>
                    <w:right w:w="0" w:type="dxa"/>
                  </w:tcMar>
                  <w:vAlign w:val="center"/>
                </w:tcPr>
                <w:p w14:paraId="017B750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废含油抹布</w:t>
                  </w:r>
                </w:p>
              </w:tc>
              <w:tc>
                <w:tcPr>
                  <w:tcW w:w="637" w:type="pct"/>
                  <w:noWrap w:val="0"/>
                  <w:tcMar>
                    <w:top w:w="0" w:type="dxa"/>
                    <w:left w:w="0" w:type="dxa"/>
                    <w:bottom w:w="0" w:type="dxa"/>
                    <w:right w:w="0" w:type="dxa"/>
                  </w:tcMar>
                  <w:vAlign w:val="center"/>
                </w:tcPr>
                <w:p w14:paraId="25A6C888">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color w:val="auto"/>
                      <w:lang w:val="en-US" w:eastAsia="zh-CN"/>
                    </w:rPr>
                  </w:pPr>
                  <w:r>
                    <w:rPr>
                      <w:rFonts w:hint="eastAsia"/>
                      <w:color w:val="auto"/>
                      <w:lang w:val="en-US" w:eastAsia="zh-CN"/>
                    </w:rPr>
                    <w:t>设备擦拭</w:t>
                  </w:r>
                </w:p>
              </w:tc>
              <w:tc>
                <w:tcPr>
                  <w:tcW w:w="260" w:type="pct"/>
                  <w:noWrap w:val="0"/>
                  <w:tcMar>
                    <w:top w:w="0" w:type="dxa"/>
                    <w:left w:w="0" w:type="dxa"/>
                    <w:bottom w:w="0" w:type="dxa"/>
                    <w:right w:w="0" w:type="dxa"/>
                  </w:tcMar>
                  <w:vAlign w:val="center"/>
                </w:tcPr>
                <w:p w14:paraId="00C6C51B">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r>
                    <w:rPr>
                      <w:color w:val="auto"/>
                      <w:szCs w:val="21"/>
                    </w:rPr>
                    <w:t>固</w:t>
                  </w:r>
                </w:p>
              </w:tc>
              <w:tc>
                <w:tcPr>
                  <w:tcW w:w="951" w:type="pct"/>
                  <w:noWrap w:val="0"/>
                  <w:tcMar>
                    <w:top w:w="0" w:type="dxa"/>
                    <w:left w:w="0" w:type="dxa"/>
                    <w:bottom w:w="0" w:type="dxa"/>
                    <w:right w:w="0" w:type="dxa"/>
                  </w:tcMar>
                  <w:vAlign w:val="center"/>
                </w:tcPr>
                <w:p w14:paraId="302E5825">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color w:val="auto"/>
                      <w:lang w:val="en-US" w:eastAsia="zh-CN"/>
                    </w:rPr>
                  </w:pPr>
                  <w:r>
                    <w:rPr>
                      <w:rFonts w:hint="eastAsia"/>
                      <w:color w:val="auto"/>
                      <w:lang w:val="en-US" w:eastAsia="zh-CN"/>
                    </w:rPr>
                    <w:t>纤维、矿物油</w:t>
                  </w:r>
                </w:p>
              </w:tc>
              <w:tc>
                <w:tcPr>
                  <w:tcW w:w="560" w:type="pct"/>
                  <w:noWrap w:val="0"/>
                  <w:tcMar>
                    <w:top w:w="0" w:type="dxa"/>
                    <w:left w:w="0" w:type="dxa"/>
                    <w:bottom w:w="0" w:type="dxa"/>
                    <w:right w:w="0" w:type="dxa"/>
                  </w:tcMar>
                  <w:vAlign w:val="center"/>
                </w:tcPr>
                <w:p w14:paraId="0B3089D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color w:val="auto"/>
                      <w:szCs w:val="21"/>
                      <w:lang w:val="en-US" w:eastAsia="zh-CN"/>
                    </w:rPr>
                  </w:pPr>
                  <w:r>
                    <w:rPr>
                      <w:rFonts w:hint="eastAsia"/>
                      <w:color w:val="auto"/>
                      <w:szCs w:val="21"/>
                      <w:lang w:val="en-US" w:eastAsia="zh-CN"/>
                    </w:rPr>
                    <w:t>0.01</w:t>
                  </w:r>
                </w:p>
              </w:tc>
              <w:tc>
                <w:tcPr>
                  <w:tcW w:w="561" w:type="pct"/>
                  <w:noWrap w:val="0"/>
                  <w:tcMar>
                    <w:top w:w="0" w:type="dxa"/>
                    <w:left w:w="0" w:type="dxa"/>
                    <w:bottom w:w="0" w:type="dxa"/>
                    <w:right w:w="0" w:type="dxa"/>
                  </w:tcMar>
                  <w:vAlign w:val="center"/>
                </w:tcPr>
                <w:p w14:paraId="5AC5A022">
                  <w:pPr>
                    <w:keepNext w:val="0"/>
                    <w:keepLines w:val="0"/>
                    <w:pageBreakBefore w:val="0"/>
                    <w:widowControl w:val="0"/>
                    <w:kinsoku/>
                    <w:wordWrap/>
                    <w:overflowPunct/>
                    <w:topLinePunct w:val="0"/>
                    <w:autoSpaceDE/>
                    <w:autoSpaceDN/>
                    <w:bidi w:val="0"/>
                    <w:adjustRightInd w:val="0"/>
                    <w:snapToGrid w:val="0"/>
                    <w:ind w:left="0" w:leftChars="0" w:right="0" w:rightChars="0"/>
                    <w:contextualSpacing/>
                    <w:jc w:val="center"/>
                    <w:textAlignment w:val="auto"/>
                    <w:rPr>
                      <w:color w:val="auto"/>
                      <w:kern w:val="18"/>
                      <w:sz w:val="21"/>
                      <w:szCs w:val="21"/>
                      <w:lang w:val="en-US" w:eastAsia="zh-CN" w:bidi="ar-SA"/>
                    </w:rPr>
                  </w:pPr>
                  <w:r>
                    <w:rPr>
                      <w:color w:val="auto"/>
                      <w:kern w:val="18"/>
                      <w:szCs w:val="21"/>
                    </w:rPr>
                    <w:t>√</w:t>
                  </w:r>
                </w:p>
              </w:tc>
              <w:tc>
                <w:tcPr>
                  <w:tcW w:w="478" w:type="pct"/>
                  <w:noWrap w:val="0"/>
                  <w:tcMar>
                    <w:top w:w="0" w:type="dxa"/>
                    <w:left w:w="0" w:type="dxa"/>
                    <w:bottom w:w="0" w:type="dxa"/>
                    <w:right w:w="0" w:type="dxa"/>
                  </w:tcMar>
                  <w:vAlign w:val="center"/>
                </w:tcPr>
                <w:p w14:paraId="79A75D33">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kern w:val="2"/>
                      <w:sz w:val="21"/>
                      <w:szCs w:val="21"/>
                      <w:lang w:val="en-US" w:eastAsia="zh-CN" w:bidi="ar-SA"/>
                    </w:rPr>
                  </w:pPr>
                  <w:r>
                    <w:rPr>
                      <w:color w:val="auto"/>
                      <w:szCs w:val="21"/>
                    </w:rPr>
                    <w:t>/</w:t>
                  </w:r>
                </w:p>
              </w:tc>
              <w:tc>
                <w:tcPr>
                  <w:tcW w:w="604" w:type="pct"/>
                  <w:vMerge w:val="continue"/>
                  <w:noWrap w:val="0"/>
                  <w:tcMar>
                    <w:top w:w="0" w:type="dxa"/>
                    <w:left w:w="0" w:type="dxa"/>
                    <w:bottom w:w="0" w:type="dxa"/>
                    <w:right w:w="0" w:type="dxa"/>
                  </w:tcMar>
                  <w:vAlign w:val="center"/>
                </w:tcPr>
                <w:p w14:paraId="40458E21">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p>
              </w:tc>
            </w:tr>
            <w:tr w14:paraId="507C59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1" w:type="pct"/>
                  <w:shd w:val="clear" w:color="auto" w:fill="auto"/>
                  <w:noWrap w:val="0"/>
                  <w:tcMar>
                    <w:top w:w="0" w:type="dxa"/>
                    <w:left w:w="0" w:type="dxa"/>
                    <w:bottom w:w="0" w:type="dxa"/>
                    <w:right w:w="0" w:type="dxa"/>
                  </w:tcMar>
                  <w:vAlign w:val="center"/>
                </w:tcPr>
                <w:p w14:paraId="2EEE78F4">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9</w:t>
                  </w:r>
                </w:p>
              </w:tc>
              <w:tc>
                <w:tcPr>
                  <w:tcW w:w="664" w:type="pct"/>
                  <w:shd w:val="clear" w:color="auto" w:fill="auto"/>
                  <w:noWrap w:val="0"/>
                  <w:tcMar>
                    <w:top w:w="0" w:type="dxa"/>
                    <w:left w:w="0" w:type="dxa"/>
                    <w:bottom w:w="0" w:type="dxa"/>
                    <w:right w:w="0" w:type="dxa"/>
                  </w:tcMar>
                  <w:vAlign w:val="center"/>
                </w:tcPr>
                <w:p w14:paraId="6718877B">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废活性炭</w:t>
                  </w:r>
                </w:p>
              </w:tc>
              <w:tc>
                <w:tcPr>
                  <w:tcW w:w="637" w:type="pct"/>
                  <w:noWrap w:val="0"/>
                  <w:tcMar>
                    <w:top w:w="0" w:type="dxa"/>
                    <w:left w:w="0" w:type="dxa"/>
                    <w:bottom w:w="0" w:type="dxa"/>
                    <w:right w:w="0" w:type="dxa"/>
                  </w:tcMar>
                  <w:vAlign w:val="center"/>
                </w:tcPr>
                <w:p w14:paraId="454F89F6">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color w:val="auto"/>
                      <w:lang w:val="en-US" w:eastAsia="zh-CN"/>
                    </w:rPr>
                  </w:pPr>
                  <w:r>
                    <w:rPr>
                      <w:rFonts w:hint="eastAsia"/>
                      <w:color w:val="auto"/>
                      <w:lang w:val="en-US" w:eastAsia="zh-CN"/>
                    </w:rPr>
                    <w:t>废气处理</w:t>
                  </w:r>
                </w:p>
              </w:tc>
              <w:tc>
                <w:tcPr>
                  <w:tcW w:w="260" w:type="pct"/>
                  <w:noWrap w:val="0"/>
                  <w:tcMar>
                    <w:top w:w="0" w:type="dxa"/>
                    <w:left w:w="0" w:type="dxa"/>
                    <w:bottom w:w="0" w:type="dxa"/>
                    <w:right w:w="0" w:type="dxa"/>
                  </w:tcMar>
                  <w:vAlign w:val="center"/>
                </w:tcPr>
                <w:p w14:paraId="31D330D8">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eastAsia="宋体"/>
                      <w:color w:val="auto"/>
                      <w:szCs w:val="21"/>
                      <w:lang w:val="en-US" w:eastAsia="zh-CN"/>
                    </w:rPr>
                  </w:pPr>
                  <w:r>
                    <w:rPr>
                      <w:rFonts w:hint="eastAsia"/>
                      <w:color w:val="auto"/>
                      <w:szCs w:val="21"/>
                      <w:lang w:val="en-US" w:eastAsia="zh-CN"/>
                    </w:rPr>
                    <w:t>固</w:t>
                  </w:r>
                </w:p>
              </w:tc>
              <w:tc>
                <w:tcPr>
                  <w:tcW w:w="951" w:type="pct"/>
                  <w:noWrap w:val="0"/>
                  <w:tcMar>
                    <w:top w:w="0" w:type="dxa"/>
                    <w:left w:w="0" w:type="dxa"/>
                    <w:bottom w:w="0" w:type="dxa"/>
                    <w:right w:w="0" w:type="dxa"/>
                  </w:tcMar>
                  <w:vAlign w:val="center"/>
                </w:tcPr>
                <w:p w14:paraId="4A7D4770">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color w:val="auto"/>
                      <w:lang w:val="en-US" w:eastAsia="zh-CN"/>
                    </w:rPr>
                  </w:pPr>
                  <w:r>
                    <w:rPr>
                      <w:rFonts w:hint="eastAsia"/>
                      <w:color w:val="auto"/>
                      <w:lang w:val="en-US" w:eastAsia="zh-CN"/>
                    </w:rPr>
                    <w:t>有机物、活性炭</w:t>
                  </w:r>
                </w:p>
              </w:tc>
              <w:tc>
                <w:tcPr>
                  <w:tcW w:w="560" w:type="pct"/>
                  <w:noWrap w:val="0"/>
                  <w:tcMar>
                    <w:top w:w="0" w:type="dxa"/>
                    <w:left w:w="0" w:type="dxa"/>
                    <w:bottom w:w="0" w:type="dxa"/>
                    <w:right w:w="0" w:type="dxa"/>
                  </w:tcMar>
                  <w:vAlign w:val="center"/>
                </w:tcPr>
                <w:p w14:paraId="7D23996A">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color w:val="auto"/>
                      <w:szCs w:val="21"/>
                      <w:lang w:val="en-US" w:eastAsia="zh-CN"/>
                    </w:rPr>
                  </w:pPr>
                  <w:r>
                    <w:rPr>
                      <w:rFonts w:hint="eastAsia"/>
                      <w:color w:val="auto"/>
                      <w:szCs w:val="21"/>
                      <w:lang w:val="en-US" w:eastAsia="zh-CN"/>
                    </w:rPr>
                    <w:t>1.58</w:t>
                  </w:r>
                </w:p>
              </w:tc>
              <w:tc>
                <w:tcPr>
                  <w:tcW w:w="561" w:type="pct"/>
                  <w:noWrap w:val="0"/>
                  <w:tcMar>
                    <w:top w:w="0" w:type="dxa"/>
                    <w:left w:w="0" w:type="dxa"/>
                    <w:bottom w:w="0" w:type="dxa"/>
                    <w:right w:w="0" w:type="dxa"/>
                  </w:tcMar>
                  <w:vAlign w:val="center"/>
                </w:tcPr>
                <w:p w14:paraId="09F4D2A4">
                  <w:pPr>
                    <w:keepNext w:val="0"/>
                    <w:keepLines w:val="0"/>
                    <w:pageBreakBefore w:val="0"/>
                    <w:widowControl w:val="0"/>
                    <w:kinsoku/>
                    <w:wordWrap/>
                    <w:overflowPunct/>
                    <w:topLinePunct w:val="0"/>
                    <w:autoSpaceDE/>
                    <w:autoSpaceDN/>
                    <w:bidi w:val="0"/>
                    <w:adjustRightInd w:val="0"/>
                    <w:snapToGrid w:val="0"/>
                    <w:ind w:left="0" w:leftChars="0" w:right="0" w:rightChars="0"/>
                    <w:contextualSpacing/>
                    <w:jc w:val="center"/>
                    <w:textAlignment w:val="auto"/>
                    <w:rPr>
                      <w:color w:val="auto"/>
                      <w:kern w:val="18"/>
                      <w:sz w:val="21"/>
                      <w:szCs w:val="21"/>
                      <w:lang w:val="en-US" w:eastAsia="zh-CN" w:bidi="ar-SA"/>
                    </w:rPr>
                  </w:pPr>
                  <w:r>
                    <w:rPr>
                      <w:color w:val="auto"/>
                      <w:kern w:val="18"/>
                      <w:szCs w:val="21"/>
                    </w:rPr>
                    <w:t>√</w:t>
                  </w:r>
                </w:p>
              </w:tc>
              <w:tc>
                <w:tcPr>
                  <w:tcW w:w="478" w:type="pct"/>
                  <w:noWrap w:val="0"/>
                  <w:tcMar>
                    <w:top w:w="0" w:type="dxa"/>
                    <w:left w:w="0" w:type="dxa"/>
                    <w:bottom w:w="0" w:type="dxa"/>
                    <w:right w:w="0" w:type="dxa"/>
                  </w:tcMar>
                  <w:vAlign w:val="center"/>
                </w:tcPr>
                <w:p w14:paraId="71572CD6">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kern w:val="2"/>
                      <w:sz w:val="21"/>
                      <w:szCs w:val="21"/>
                      <w:lang w:val="en-US" w:eastAsia="zh-CN" w:bidi="ar-SA"/>
                    </w:rPr>
                  </w:pPr>
                  <w:r>
                    <w:rPr>
                      <w:color w:val="auto"/>
                      <w:szCs w:val="21"/>
                    </w:rPr>
                    <w:t>/</w:t>
                  </w:r>
                </w:p>
              </w:tc>
              <w:tc>
                <w:tcPr>
                  <w:tcW w:w="604" w:type="pct"/>
                  <w:vMerge w:val="continue"/>
                  <w:noWrap w:val="0"/>
                  <w:tcMar>
                    <w:top w:w="0" w:type="dxa"/>
                    <w:left w:w="0" w:type="dxa"/>
                    <w:bottom w:w="0" w:type="dxa"/>
                    <w:right w:w="0" w:type="dxa"/>
                  </w:tcMar>
                  <w:vAlign w:val="center"/>
                </w:tcPr>
                <w:p w14:paraId="03B0F078">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p>
              </w:tc>
            </w:tr>
            <w:tr w14:paraId="345E06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1" w:type="pct"/>
                  <w:noWrap w:val="0"/>
                  <w:tcMar>
                    <w:top w:w="0" w:type="dxa"/>
                    <w:left w:w="0" w:type="dxa"/>
                    <w:bottom w:w="0" w:type="dxa"/>
                    <w:right w:w="0" w:type="dxa"/>
                  </w:tcMar>
                  <w:vAlign w:val="center"/>
                </w:tcPr>
                <w:p w14:paraId="0FDAD2D7">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color w:val="auto"/>
                      <w:kern w:val="2"/>
                      <w:sz w:val="21"/>
                      <w:szCs w:val="21"/>
                      <w:lang w:val="en-US" w:eastAsia="zh-CN" w:bidi="ar-SA"/>
                    </w:rPr>
                  </w:pPr>
                  <w:r>
                    <w:rPr>
                      <w:rFonts w:hint="eastAsia"/>
                      <w:color w:val="auto"/>
                      <w:kern w:val="2"/>
                      <w:sz w:val="21"/>
                      <w:szCs w:val="21"/>
                      <w:lang w:val="en-US" w:eastAsia="zh-CN" w:bidi="ar-SA"/>
                    </w:rPr>
                    <w:t>10</w:t>
                  </w:r>
                </w:p>
              </w:tc>
              <w:tc>
                <w:tcPr>
                  <w:tcW w:w="664" w:type="pct"/>
                  <w:noWrap w:val="0"/>
                  <w:tcMar>
                    <w:top w:w="0" w:type="dxa"/>
                    <w:left w:w="0" w:type="dxa"/>
                    <w:bottom w:w="0" w:type="dxa"/>
                    <w:right w:w="0" w:type="dxa"/>
                  </w:tcMar>
                  <w:vAlign w:val="center"/>
                </w:tcPr>
                <w:p w14:paraId="173263E5">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color w:val="auto"/>
                      <w:kern w:val="18"/>
                      <w:sz w:val="21"/>
                      <w:szCs w:val="21"/>
                      <w:lang w:val="en-US" w:eastAsia="zh-CN" w:bidi="ar-SA"/>
                    </w:rPr>
                  </w:pPr>
                  <w:r>
                    <w:rPr>
                      <w:color w:val="auto"/>
                    </w:rPr>
                    <w:t>生活垃圾</w:t>
                  </w:r>
                </w:p>
              </w:tc>
              <w:tc>
                <w:tcPr>
                  <w:tcW w:w="637" w:type="pct"/>
                  <w:noWrap w:val="0"/>
                  <w:tcMar>
                    <w:top w:w="0" w:type="dxa"/>
                    <w:left w:w="0" w:type="dxa"/>
                    <w:bottom w:w="0" w:type="dxa"/>
                    <w:right w:w="0" w:type="dxa"/>
                  </w:tcMar>
                  <w:vAlign w:val="center"/>
                </w:tcPr>
                <w:p w14:paraId="45D9F3F6">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color w:val="auto"/>
                      <w:kern w:val="18"/>
                      <w:sz w:val="21"/>
                      <w:szCs w:val="21"/>
                      <w:lang w:val="en-US" w:eastAsia="zh-CN" w:bidi="ar-SA"/>
                    </w:rPr>
                  </w:pPr>
                  <w:r>
                    <w:rPr>
                      <w:color w:val="auto"/>
                    </w:rPr>
                    <w:t>员工生活</w:t>
                  </w:r>
                </w:p>
              </w:tc>
              <w:tc>
                <w:tcPr>
                  <w:tcW w:w="260" w:type="pct"/>
                  <w:noWrap w:val="0"/>
                  <w:tcMar>
                    <w:top w:w="0" w:type="dxa"/>
                    <w:left w:w="0" w:type="dxa"/>
                    <w:bottom w:w="0" w:type="dxa"/>
                    <w:right w:w="0" w:type="dxa"/>
                  </w:tcMar>
                  <w:vAlign w:val="center"/>
                </w:tcPr>
                <w:p w14:paraId="7FC734F6">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color w:val="auto"/>
                      <w:kern w:val="18"/>
                      <w:sz w:val="21"/>
                      <w:szCs w:val="21"/>
                      <w:lang w:val="en-US" w:eastAsia="zh-CN" w:bidi="ar-SA"/>
                    </w:rPr>
                  </w:pPr>
                  <w:r>
                    <w:rPr>
                      <w:color w:val="auto"/>
                    </w:rPr>
                    <w:t>固</w:t>
                  </w:r>
                </w:p>
              </w:tc>
              <w:tc>
                <w:tcPr>
                  <w:tcW w:w="951" w:type="pct"/>
                  <w:noWrap w:val="0"/>
                  <w:tcMar>
                    <w:top w:w="0" w:type="dxa"/>
                    <w:left w:w="0" w:type="dxa"/>
                    <w:bottom w:w="0" w:type="dxa"/>
                    <w:right w:w="0" w:type="dxa"/>
                  </w:tcMar>
                  <w:vAlign w:val="center"/>
                </w:tcPr>
                <w:p w14:paraId="64444C44">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color w:val="auto"/>
                      <w:kern w:val="18"/>
                      <w:sz w:val="21"/>
                      <w:szCs w:val="21"/>
                      <w:lang w:val="en-US" w:eastAsia="zh-CN" w:bidi="ar-SA"/>
                    </w:rPr>
                  </w:pPr>
                  <w:r>
                    <w:rPr>
                      <w:color w:val="auto"/>
                    </w:rPr>
                    <w:t>纸屑等生活垃圾</w:t>
                  </w:r>
                </w:p>
              </w:tc>
              <w:tc>
                <w:tcPr>
                  <w:tcW w:w="560" w:type="pct"/>
                  <w:noWrap w:val="0"/>
                  <w:tcMar>
                    <w:top w:w="0" w:type="dxa"/>
                    <w:left w:w="0" w:type="dxa"/>
                    <w:bottom w:w="0" w:type="dxa"/>
                    <w:right w:w="0" w:type="dxa"/>
                  </w:tcMar>
                  <w:vAlign w:val="center"/>
                </w:tcPr>
                <w:p w14:paraId="4CAD90F6">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eastAsia="宋体"/>
                      <w:color w:val="auto"/>
                      <w:kern w:val="18"/>
                      <w:sz w:val="21"/>
                      <w:szCs w:val="21"/>
                      <w:lang w:val="en-US" w:eastAsia="zh-CN" w:bidi="ar-SA"/>
                    </w:rPr>
                  </w:pPr>
                  <w:r>
                    <w:rPr>
                      <w:rFonts w:hint="eastAsia"/>
                      <w:color w:val="auto"/>
                      <w:lang w:val="en-US" w:eastAsia="zh-CN"/>
                    </w:rPr>
                    <w:t>0.9</w:t>
                  </w:r>
                </w:p>
              </w:tc>
              <w:tc>
                <w:tcPr>
                  <w:tcW w:w="561" w:type="pct"/>
                  <w:noWrap w:val="0"/>
                  <w:tcMar>
                    <w:top w:w="0" w:type="dxa"/>
                    <w:left w:w="0" w:type="dxa"/>
                    <w:bottom w:w="0" w:type="dxa"/>
                    <w:right w:w="0" w:type="dxa"/>
                  </w:tcMar>
                  <w:vAlign w:val="center"/>
                </w:tcPr>
                <w:p w14:paraId="42415F1F">
                  <w:pPr>
                    <w:keepNext w:val="0"/>
                    <w:keepLines w:val="0"/>
                    <w:pageBreakBefore w:val="0"/>
                    <w:widowControl w:val="0"/>
                    <w:kinsoku/>
                    <w:wordWrap/>
                    <w:overflowPunct/>
                    <w:topLinePunct w:val="0"/>
                    <w:autoSpaceDE/>
                    <w:autoSpaceDN/>
                    <w:bidi w:val="0"/>
                    <w:adjustRightInd w:val="0"/>
                    <w:snapToGrid w:val="0"/>
                    <w:ind w:left="0" w:leftChars="0" w:right="0" w:rightChars="0"/>
                    <w:contextualSpacing/>
                    <w:jc w:val="center"/>
                    <w:textAlignment w:val="auto"/>
                    <w:rPr>
                      <w:color w:val="auto"/>
                      <w:kern w:val="18"/>
                      <w:sz w:val="21"/>
                      <w:szCs w:val="21"/>
                      <w:lang w:val="en-US" w:eastAsia="zh-CN" w:bidi="ar-SA"/>
                    </w:rPr>
                  </w:pPr>
                  <w:r>
                    <w:rPr>
                      <w:color w:val="auto"/>
                      <w:kern w:val="18"/>
                      <w:szCs w:val="21"/>
                    </w:rPr>
                    <w:t>√</w:t>
                  </w:r>
                </w:p>
              </w:tc>
              <w:tc>
                <w:tcPr>
                  <w:tcW w:w="478" w:type="pct"/>
                  <w:noWrap w:val="0"/>
                  <w:tcMar>
                    <w:top w:w="0" w:type="dxa"/>
                    <w:left w:w="0" w:type="dxa"/>
                    <w:bottom w:w="0" w:type="dxa"/>
                    <w:right w:w="0" w:type="dxa"/>
                  </w:tcMar>
                  <w:vAlign w:val="center"/>
                </w:tcPr>
                <w:p w14:paraId="683DB2BB">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kern w:val="2"/>
                      <w:sz w:val="21"/>
                      <w:szCs w:val="21"/>
                      <w:lang w:val="en-US" w:eastAsia="zh-CN" w:bidi="ar-SA"/>
                    </w:rPr>
                  </w:pPr>
                  <w:r>
                    <w:rPr>
                      <w:color w:val="auto"/>
                      <w:szCs w:val="21"/>
                    </w:rPr>
                    <w:t>/</w:t>
                  </w:r>
                </w:p>
              </w:tc>
              <w:tc>
                <w:tcPr>
                  <w:tcW w:w="604" w:type="pct"/>
                  <w:vMerge w:val="continue"/>
                  <w:noWrap w:val="0"/>
                  <w:tcMar>
                    <w:top w:w="0" w:type="dxa"/>
                    <w:left w:w="0" w:type="dxa"/>
                    <w:bottom w:w="0" w:type="dxa"/>
                    <w:right w:w="0" w:type="dxa"/>
                  </w:tcMar>
                  <w:vAlign w:val="center"/>
                </w:tcPr>
                <w:p w14:paraId="2D119C8E">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color w:val="auto"/>
                      <w:szCs w:val="21"/>
                    </w:rPr>
                  </w:pPr>
                </w:p>
              </w:tc>
            </w:tr>
          </w:tbl>
          <w:p w14:paraId="4B935BE5">
            <w:pPr>
              <w:spacing w:before="120" w:beforeLines="50" w:line="360" w:lineRule="auto"/>
              <w:ind w:firstLine="422" w:firstLineChars="200"/>
              <w:jc w:val="left"/>
              <w:rPr>
                <w:bCs/>
                <w:color w:val="auto"/>
                <w:szCs w:val="21"/>
              </w:rPr>
            </w:pPr>
            <w:r>
              <w:rPr>
                <w:b/>
                <w:color w:val="auto"/>
                <w:szCs w:val="21"/>
              </w:rPr>
              <w:t>3、固废属性判定以及产生量核算</w:t>
            </w:r>
          </w:p>
          <w:p w14:paraId="1B60CE07">
            <w:pPr>
              <w:spacing w:line="360" w:lineRule="auto"/>
              <w:ind w:firstLine="420" w:firstLineChars="200"/>
              <w:jc w:val="left"/>
              <w:rPr>
                <w:bCs/>
                <w:color w:val="auto"/>
                <w:szCs w:val="21"/>
              </w:rPr>
            </w:pPr>
            <w:r>
              <w:rPr>
                <w:bCs/>
                <w:color w:val="auto"/>
                <w:szCs w:val="21"/>
              </w:rPr>
              <w:t>根据副产物产生情况分析和副产物应按照</w:t>
            </w:r>
            <w:r>
              <w:rPr>
                <w:rFonts w:hint="eastAsia"/>
                <w:bCs/>
                <w:color w:val="auto"/>
                <w:szCs w:val="21"/>
                <w:lang w:eastAsia="zh-CN"/>
              </w:rPr>
              <w:t>《国家危险废物名录》（2025年版）</w:t>
            </w:r>
            <w:r>
              <w:rPr>
                <w:bCs/>
                <w:color w:val="auto"/>
                <w:szCs w:val="21"/>
              </w:rPr>
              <w:t>、《危险废物鉴别标准通则》（GB5085.7）等进行属性判属性判定，并采用物料衡算法、类比法、产排污系数法等相结合的方法核算建设项目固体废物的产生量，详情见下表。</w:t>
            </w:r>
          </w:p>
          <w:p w14:paraId="66D1A3AA">
            <w:pPr>
              <w:keepNext w:val="0"/>
              <w:keepLines w:val="0"/>
              <w:pageBreakBefore w:val="0"/>
              <w:widowControl w:val="0"/>
              <w:kinsoku/>
              <w:wordWrap/>
              <w:overflowPunct/>
              <w:topLinePunct w:val="0"/>
              <w:autoSpaceDE/>
              <w:autoSpaceDN/>
              <w:bidi w:val="0"/>
              <w:adjustRightInd w:val="0"/>
              <w:snapToGrid w:val="0"/>
              <w:jc w:val="center"/>
              <w:textAlignment w:val="auto"/>
              <w:rPr>
                <w:b/>
                <w:color w:val="auto"/>
                <w:szCs w:val="21"/>
              </w:rPr>
            </w:pPr>
            <w:r>
              <w:rPr>
                <w:b/>
                <w:color w:val="auto"/>
                <w:szCs w:val="21"/>
              </w:rPr>
              <w:t>表4-</w:t>
            </w:r>
            <w:r>
              <w:rPr>
                <w:rFonts w:hint="eastAsia"/>
                <w:b/>
                <w:color w:val="auto"/>
                <w:szCs w:val="21"/>
                <w:lang w:val="en-US" w:eastAsia="zh-CN"/>
              </w:rPr>
              <w:t>25</w:t>
            </w:r>
            <w:r>
              <w:rPr>
                <w:b/>
                <w:color w:val="auto"/>
                <w:szCs w:val="21"/>
              </w:rPr>
              <w:t xml:space="preserve"> 本项目固体废弃物源强及排放情况</w:t>
            </w:r>
          </w:p>
          <w:tbl>
            <w:tblPr>
              <w:tblStyle w:val="28"/>
              <w:tblW w:w="499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382"/>
              <w:gridCol w:w="1152"/>
              <w:gridCol w:w="686"/>
              <w:gridCol w:w="1275"/>
              <w:gridCol w:w="654"/>
              <w:gridCol w:w="793"/>
              <w:gridCol w:w="1265"/>
              <w:gridCol w:w="1143"/>
              <w:gridCol w:w="1022"/>
            </w:tblGrid>
            <w:tr w14:paraId="0C9AC0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8" w:type="pct"/>
                  <w:noWrap w:val="0"/>
                  <w:vAlign w:val="center"/>
                </w:tcPr>
                <w:p w14:paraId="1E47DAA7">
                  <w:pPr>
                    <w:adjustRightInd w:val="0"/>
                    <w:snapToGrid w:val="0"/>
                    <w:jc w:val="center"/>
                    <w:rPr>
                      <w:color w:val="auto"/>
                      <w:szCs w:val="21"/>
                    </w:rPr>
                  </w:pPr>
                  <w:r>
                    <w:rPr>
                      <w:b/>
                      <w:color w:val="auto"/>
                      <w:szCs w:val="21"/>
                    </w:rPr>
                    <w:t>序号</w:t>
                  </w:r>
                </w:p>
              </w:tc>
              <w:tc>
                <w:tcPr>
                  <w:tcW w:w="688" w:type="pct"/>
                  <w:noWrap w:val="0"/>
                  <w:vAlign w:val="center"/>
                </w:tcPr>
                <w:p w14:paraId="534319D4">
                  <w:pPr>
                    <w:adjustRightInd w:val="0"/>
                    <w:snapToGrid w:val="0"/>
                    <w:jc w:val="center"/>
                    <w:rPr>
                      <w:color w:val="auto"/>
                      <w:szCs w:val="21"/>
                    </w:rPr>
                  </w:pPr>
                  <w:r>
                    <w:rPr>
                      <w:b/>
                      <w:color w:val="auto"/>
                      <w:szCs w:val="21"/>
                    </w:rPr>
                    <w:t>名称</w:t>
                  </w:r>
                </w:p>
              </w:tc>
              <w:tc>
                <w:tcPr>
                  <w:tcW w:w="409" w:type="pct"/>
                  <w:noWrap w:val="0"/>
                  <w:vAlign w:val="center"/>
                </w:tcPr>
                <w:p w14:paraId="6DD0FBF9">
                  <w:pPr>
                    <w:adjustRightInd w:val="0"/>
                    <w:snapToGrid w:val="0"/>
                    <w:jc w:val="center"/>
                    <w:rPr>
                      <w:color w:val="auto"/>
                      <w:szCs w:val="21"/>
                    </w:rPr>
                  </w:pPr>
                  <w:r>
                    <w:rPr>
                      <w:b/>
                      <w:color w:val="auto"/>
                      <w:szCs w:val="21"/>
                    </w:rPr>
                    <w:t>属性</w:t>
                  </w:r>
                </w:p>
              </w:tc>
              <w:tc>
                <w:tcPr>
                  <w:tcW w:w="761" w:type="pct"/>
                  <w:noWrap w:val="0"/>
                  <w:vAlign w:val="center"/>
                </w:tcPr>
                <w:p w14:paraId="14490A57">
                  <w:pPr>
                    <w:adjustRightInd w:val="0"/>
                    <w:snapToGrid w:val="0"/>
                    <w:jc w:val="center"/>
                    <w:rPr>
                      <w:color w:val="auto"/>
                      <w:szCs w:val="21"/>
                    </w:rPr>
                  </w:pPr>
                  <w:r>
                    <w:rPr>
                      <w:b/>
                      <w:color w:val="auto"/>
                      <w:szCs w:val="21"/>
                    </w:rPr>
                    <w:t>危险特性鉴别方法</w:t>
                  </w:r>
                </w:p>
              </w:tc>
              <w:tc>
                <w:tcPr>
                  <w:tcW w:w="390" w:type="pct"/>
                  <w:noWrap w:val="0"/>
                  <w:vAlign w:val="center"/>
                </w:tcPr>
                <w:p w14:paraId="6D4EF2F3">
                  <w:pPr>
                    <w:adjustRightInd w:val="0"/>
                    <w:snapToGrid w:val="0"/>
                    <w:jc w:val="center"/>
                    <w:rPr>
                      <w:b/>
                      <w:color w:val="auto"/>
                      <w:szCs w:val="21"/>
                    </w:rPr>
                  </w:pPr>
                  <w:r>
                    <w:rPr>
                      <w:b/>
                      <w:color w:val="auto"/>
                      <w:szCs w:val="21"/>
                    </w:rPr>
                    <w:t>危险</w:t>
                  </w:r>
                </w:p>
                <w:p w14:paraId="6F3A5E9B">
                  <w:pPr>
                    <w:adjustRightInd w:val="0"/>
                    <w:snapToGrid w:val="0"/>
                    <w:jc w:val="center"/>
                    <w:rPr>
                      <w:color w:val="auto"/>
                      <w:szCs w:val="21"/>
                    </w:rPr>
                  </w:pPr>
                  <w:r>
                    <w:rPr>
                      <w:b/>
                      <w:color w:val="auto"/>
                      <w:szCs w:val="21"/>
                    </w:rPr>
                    <w:t>特性</w:t>
                  </w:r>
                </w:p>
              </w:tc>
              <w:tc>
                <w:tcPr>
                  <w:tcW w:w="473" w:type="pct"/>
                  <w:noWrap w:val="0"/>
                  <w:vAlign w:val="center"/>
                </w:tcPr>
                <w:p w14:paraId="4AEB259B">
                  <w:pPr>
                    <w:adjustRightInd w:val="0"/>
                    <w:snapToGrid w:val="0"/>
                    <w:jc w:val="center"/>
                    <w:rPr>
                      <w:b/>
                      <w:color w:val="auto"/>
                      <w:szCs w:val="21"/>
                    </w:rPr>
                  </w:pPr>
                  <w:r>
                    <w:rPr>
                      <w:b/>
                      <w:color w:val="auto"/>
                      <w:szCs w:val="21"/>
                    </w:rPr>
                    <w:t>废物类别</w:t>
                  </w:r>
                </w:p>
              </w:tc>
              <w:tc>
                <w:tcPr>
                  <w:tcW w:w="755" w:type="pct"/>
                  <w:noWrap w:val="0"/>
                  <w:vAlign w:val="center"/>
                </w:tcPr>
                <w:p w14:paraId="3D52F078">
                  <w:pPr>
                    <w:adjustRightInd w:val="0"/>
                    <w:snapToGrid w:val="0"/>
                    <w:jc w:val="center"/>
                    <w:rPr>
                      <w:b/>
                      <w:color w:val="auto"/>
                      <w:szCs w:val="21"/>
                    </w:rPr>
                  </w:pPr>
                  <w:r>
                    <w:rPr>
                      <w:b/>
                      <w:color w:val="auto"/>
                      <w:szCs w:val="21"/>
                    </w:rPr>
                    <w:t>废物代码</w:t>
                  </w:r>
                </w:p>
              </w:tc>
              <w:tc>
                <w:tcPr>
                  <w:tcW w:w="682" w:type="pct"/>
                  <w:noWrap w:val="0"/>
                  <w:vAlign w:val="center"/>
                </w:tcPr>
                <w:p w14:paraId="74625BB8">
                  <w:pPr>
                    <w:adjustRightInd w:val="0"/>
                    <w:snapToGrid w:val="0"/>
                    <w:jc w:val="center"/>
                    <w:rPr>
                      <w:color w:val="auto"/>
                      <w:szCs w:val="21"/>
                    </w:rPr>
                  </w:pPr>
                  <w:r>
                    <w:rPr>
                      <w:b/>
                      <w:color w:val="auto"/>
                      <w:szCs w:val="21"/>
                    </w:rPr>
                    <w:t>处置或处置方式</w:t>
                  </w:r>
                </w:p>
              </w:tc>
              <w:tc>
                <w:tcPr>
                  <w:tcW w:w="610" w:type="pct"/>
                  <w:noWrap w:val="0"/>
                  <w:vAlign w:val="center"/>
                </w:tcPr>
                <w:p w14:paraId="31D8ABE4">
                  <w:pPr>
                    <w:adjustRightInd w:val="0"/>
                    <w:snapToGrid w:val="0"/>
                    <w:jc w:val="center"/>
                    <w:rPr>
                      <w:b/>
                      <w:color w:val="auto"/>
                      <w:szCs w:val="21"/>
                    </w:rPr>
                  </w:pPr>
                  <w:r>
                    <w:rPr>
                      <w:b/>
                      <w:bCs/>
                      <w:color w:val="auto"/>
                      <w:szCs w:val="21"/>
                    </w:rPr>
                    <w:t>估算产生量（t/年）</w:t>
                  </w:r>
                </w:p>
              </w:tc>
            </w:tr>
            <w:tr w14:paraId="0DD33A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8" w:type="pct"/>
                  <w:noWrap w:val="0"/>
                  <w:vAlign w:val="center"/>
                </w:tcPr>
                <w:p w14:paraId="6C95D37A">
                  <w:pPr>
                    <w:jc w:val="center"/>
                    <w:rPr>
                      <w:color w:val="auto"/>
                      <w:kern w:val="2"/>
                      <w:sz w:val="21"/>
                      <w:szCs w:val="21"/>
                      <w:lang w:val="en-US" w:eastAsia="zh-CN" w:bidi="ar-SA"/>
                    </w:rPr>
                  </w:pPr>
                  <w:r>
                    <w:rPr>
                      <w:color w:val="auto"/>
                      <w:szCs w:val="21"/>
                    </w:rPr>
                    <w:t>1</w:t>
                  </w:r>
                </w:p>
              </w:tc>
              <w:tc>
                <w:tcPr>
                  <w:tcW w:w="688" w:type="pct"/>
                  <w:shd w:val="clear" w:color="auto" w:fill="auto"/>
                  <w:noWrap w:val="0"/>
                  <w:vAlign w:val="center"/>
                </w:tcPr>
                <w:p w14:paraId="649B69D5">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废包装袋</w:t>
                  </w:r>
                </w:p>
              </w:tc>
              <w:tc>
                <w:tcPr>
                  <w:tcW w:w="409" w:type="pct"/>
                  <w:vMerge w:val="restart"/>
                  <w:noWrap w:val="0"/>
                  <w:vAlign w:val="center"/>
                </w:tcPr>
                <w:p w14:paraId="050DB668">
                  <w:pPr>
                    <w:adjustRightInd w:val="0"/>
                    <w:snapToGrid w:val="0"/>
                    <w:jc w:val="center"/>
                    <w:rPr>
                      <w:color w:val="auto"/>
                      <w:szCs w:val="21"/>
                    </w:rPr>
                  </w:pPr>
                  <w:r>
                    <w:rPr>
                      <w:color w:val="auto"/>
                      <w:szCs w:val="21"/>
                    </w:rPr>
                    <w:t>一般固废</w:t>
                  </w:r>
                </w:p>
              </w:tc>
              <w:tc>
                <w:tcPr>
                  <w:tcW w:w="761" w:type="pct"/>
                  <w:vMerge w:val="restart"/>
                  <w:noWrap w:val="0"/>
                  <w:vAlign w:val="center"/>
                </w:tcPr>
                <w:p w14:paraId="26B0D2B7">
                  <w:pPr>
                    <w:adjustRightInd w:val="0"/>
                    <w:snapToGrid w:val="0"/>
                    <w:jc w:val="center"/>
                    <w:rPr>
                      <w:color w:val="auto"/>
                      <w:szCs w:val="21"/>
                    </w:rPr>
                  </w:pPr>
                  <w:r>
                    <w:rPr>
                      <w:rFonts w:hint="eastAsia"/>
                      <w:color w:val="auto"/>
                      <w:szCs w:val="21"/>
                      <w:lang w:eastAsia="zh-CN"/>
                    </w:rPr>
                    <w:t>《国家危险废物名录》（2025年版）</w:t>
                  </w:r>
                  <w:r>
                    <w:rPr>
                      <w:color w:val="auto"/>
                      <w:szCs w:val="21"/>
                    </w:rPr>
                    <w:t>、《危险废物鉴别标准通则》（GB5085.7）</w:t>
                  </w:r>
                </w:p>
              </w:tc>
              <w:tc>
                <w:tcPr>
                  <w:tcW w:w="390" w:type="pct"/>
                  <w:shd w:val="clear" w:color="auto" w:fill="auto"/>
                  <w:noWrap w:val="0"/>
                  <w:vAlign w:val="center"/>
                </w:tcPr>
                <w:p w14:paraId="711886A1">
                  <w:pPr>
                    <w:pStyle w:val="85"/>
                    <w:ind w:left="-1" w:leftChars="-8" w:hanging="16" w:hangingChars="8"/>
                    <w:rPr>
                      <w:rFonts w:hint="default" w:ascii="Times New Roman" w:hAnsi="Times New Roman" w:eastAsia="宋体" w:cs="Times New Roman"/>
                      <w:color w:val="auto"/>
                      <w:kern w:val="0"/>
                      <w:sz w:val="21"/>
                      <w:szCs w:val="21"/>
                      <w:lang w:val="en-US" w:eastAsia="zh-CN" w:bidi="ar-SA"/>
                    </w:rPr>
                  </w:pPr>
                  <w:r>
                    <w:rPr>
                      <w:rFonts w:ascii="Times New Roman" w:hAnsi="Times New Roman" w:cs="Times New Roman"/>
                      <w:color w:val="auto"/>
                      <w:kern w:val="0"/>
                    </w:rPr>
                    <w:t>—</w:t>
                  </w:r>
                </w:p>
              </w:tc>
              <w:tc>
                <w:tcPr>
                  <w:tcW w:w="473" w:type="pct"/>
                  <w:shd w:val="clear" w:color="auto" w:fill="auto"/>
                  <w:noWrap w:val="0"/>
                  <w:vAlign w:val="center"/>
                </w:tcPr>
                <w:p w14:paraId="147450C7">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SW17</w:t>
                  </w:r>
                </w:p>
              </w:tc>
              <w:tc>
                <w:tcPr>
                  <w:tcW w:w="755" w:type="pct"/>
                  <w:shd w:val="clear" w:color="auto" w:fill="auto"/>
                  <w:noWrap w:val="0"/>
                  <w:vAlign w:val="center"/>
                </w:tcPr>
                <w:p w14:paraId="59A5BE26">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900-003-S17</w:t>
                  </w:r>
                </w:p>
              </w:tc>
              <w:tc>
                <w:tcPr>
                  <w:tcW w:w="682" w:type="pct"/>
                  <w:vMerge w:val="restart"/>
                  <w:noWrap w:val="0"/>
                  <w:vAlign w:val="center"/>
                </w:tcPr>
                <w:p w14:paraId="6F235859">
                  <w:pPr>
                    <w:adjustRightInd w:val="0"/>
                    <w:snapToGrid w:val="0"/>
                    <w:jc w:val="center"/>
                    <w:rPr>
                      <w:color w:val="auto"/>
                      <w:szCs w:val="21"/>
                    </w:rPr>
                  </w:pPr>
                  <w:r>
                    <w:rPr>
                      <w:color w:val="auto"/>
                      <w:kern w:val="0"/>
                      <w:szCs w:val="21"/>
                    </w:rPr>
                    <w:t>外售综合利用</w:t>
                  </w:r>
                </w:p>
              </w:tc>
              <w:tc>
                <w:tcPr>
                  <w:tcW w:w="610" w:type="pct"/>
                  <w:shd w:val="clear" w:color="auto" w:fill="auto"/>
                  <w:noWrap w:val="0"/>
                  <w:vAlign w:val="center"/>
                </w:tcPr>
                <w:p w14:paraId="5D709F5D">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3.69</w:t>
                  </w:r>
                </w:p>
              </w:tc>
            </w:tr>
            <w:tr w14:paraId="059604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8" w:type="pct"/>
                  <w:noWrap w:val="0"/>
                  <w:vAlign w:val="center"/>
                </w:tcPr>
                <w:p w14:paraId="583C10FA">
                  <w:pPr>
                    <w:jc w:val="center"/>
                    <w:rPr>
                      <w:color w:val="auto"/>
                      <w:kern w:val="2"/>
                      <w:sz w:val="21"/>
                      <w:szCs w:val="21"/>
                      <w:lang w:val="en-US" w:eastAsia="zh-CN" w:bidi="ar-SA"/>
                    </w:rPr>
                  </w:pPr>
                  <w:r>
                    <w:rPr>
                      <w:color w:val="auto"/>
                      <w:szCs w:val="21"/>
                    </w:rPr>
                    <w:t>2</w:t>
                  </w:r>
                </w:p>
              </w:tc>
              <w:tc>
                <w:tcPr>
                  <w:tcW w:w="688" w:type="pct"/>
                  <w:shd w:val="clear" w:color="auto" w:fill="auto"/>
                  <w:noWrap w:val="0"/>
                  <w:vAlign w:val="center"/>
                </w:tcPr>
                <w:p w14:paraId="15CB8C25">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废边角料</w:t>
                  </w:r>
                </w:p>
              </w:tc>
              <w:tc>
                <w:tcPr>
                  <w:tcW w:w="409" w:type="pct"/>
                  <w:vMerge w:val="continue"/>
                  <w:noWrap w:val="0"/>
                  <w:vAlign w:val="center"/>
                </w:tcPr>
                <w:p w14:paraId="18A81DC6">
                  <w:pPr>
                    <w:adjustRightInd w:val="0"/>
                    <w:snapToGrid w:val="0"/>
                    <w:jc w:val="center"/>
                    <w:rPr>
                      <w:color w:val="auto"/>
                      <w:szCs w:val="21"/>
                    </w:rPr>
                  </w:pPr>
                </w:p>
              </w:tc>
              <w:tc>
                <w:tcPr>
                  <w:tcW w:w="761" w:type="pct"/>
                  <w:vMerge w:val="continue"/>
                  <w:noWrap w:val="0"/>
                  <w:vAlign w:val="center"/>
                </w:tcPr>
                <w:p w14:paraId="5C0A89EF">
                  <w:pPr>
                    <w:adjustRightInd w:val="0"/>
                    <w:snapToGrid w:val="0"/>
                    <w:jc w:val="center"/>
                    <w:rPr>
                      <w:color w:val="auto"/>
                      <w:szCs w:val="21"/>
                    </w:rPr>
                  </w:pPr>
                </w:p>
              </w:tc>
              <w:tc>
                <w:tcPr>
                  <w:tcW w:w="390" w:type="pct"/>
                  <w:shd w:val="clear" w:color="auto" w:fill="auto"/>
                  <w:noWrap w:val="0"/>
                  <w:vAlign w:val="center"/>
                </w:tcPr>
                <w:p w14:paraId="4EE8B0F0">
                  <w:pPr>
                    <w:pStyle w:val="85"/>
                    <w:ind w:left="-1" w:leftChars="-8" w:hanging="16" w:hangingChars="8"/>
                    <w:rPr>
                      <w:rFonts w:hint="default" w:ascii="Times New Roman" w:hAnsi="Times New Roman" w:eastAsia="宋体" w:cs="Times New Roman"/>
                      <w:color w:val="auto"/>
                      <w:kern w:val="0"/>
                      <w:sz w:val="21"/>
                      <w:szCs w:val="21"/>
                      <w:lang w:val="en-US" w:eastAsia="zh-CN" w:bidi="ar-SA"/>
                    </w:rPr>
                  </w:pPr>
                  <w:r>
                    <w:rPr>
                      <w:rFonts w:ascii="Times New Roman" w:hAnsi="Times New Roman" w:cs="Times New Roman"/>
                      <w:color w:val="auto"/>
                      <w:kern w:val="0"/>
                    </w:rPr>
                    <w:t>—</w:t>
                  </w:r>
                </w:p>
              </w:tc>
              <w:tc>
                <w:tcPr>
                  <w:tcW w:w="473" w:type="pct"/>
                  <w:shd w:val="clear" w:color="auto" w:fill="auto"/>
                  <w:noWrap w:val="0"/>
                  <w:vAlign w:val="center"/>
                </w:tcPr>
                <w:p w14:paraId="4C991D8E">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SW17</w:t>
                  </w:r>
                </w:p>
              </w:tc>
              <w:tc>
                <w:tcPr>
                  <w:tcW w:w="755" w:type="pct"/>
                  <w:shd w:val="clear" w:color="auto" w:fill="auto"/>
                  <w:noWrap w:val="0"/>
                  <w:vAlign w:val="center"/>
                </w:tcPr>
                <w:p w14:paraId="01678DB4">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900-003-S17</w:t>
                  </w:r>
                </w:p>
              </w:tc>
              <w:tc>
                <w:tcPr>
                  <w:tcW w:w="682" w:type="pct"/>
                  <w:vMerge w:val="continue"/>
                  <w:noWrap w:val="0"/>
                  <w:vAlign w:val="center"/>
                </w:tcPr>
                <w:p w14:paraId="4D21F8BF">
                  <w:pPr>
                    <w:adjustRightInd w:val="0"/>
                    <w:snapToGrid w:val="0"/>
                    <w:jc w:val="center"/>
                    <w:rPr>
                      <w:color w:val="auto"/>
                      <w:szCs w:val="21"/>
                    </w:rPr>
                  </w:pPr>
                </w:p>
              </w:tc>
              <w:tc>
                <w:tcPr>
                  <w:tcW w:w="610" w:type="pct"/>
                  <w:shd w:val="clear" w:color="auto" w:fill="auto"/>
                  <w:noWrap w:val="0"/>
                  <w:vAlign w:val="center"/>
                </w:tcPr>
                <w:p w14:paraId="789B738F">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rFonts w:hint="eastAsia"/>
                      <w:color w:val="auto"/>
                      <w:szCs w:val="21"/>
                      <w:lang w:val="en-US" w:eastAsia="zh-CN"/>
                    </w:rPr>
                    <w:t>20</w:t>
                  </w:r>
                </w:p>
              </w:tc>
            </w:tr>
            <w:tr w14:paraId="7791A5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8" w:type="pct"/>
                  <w:noWrap w:val="0"/>
                  <w:vAlign w:val="center"/>
                </w:tcPr>
                <w:p w14:paraId="0850F7CF">
                  <w:pPr>
                    <w:jc w:val="center"/>
                    <w:rPr>
                      <w:rFonts w:hint="eastAsia" w:eastAsia="宋体"/>
                      <w:color w:val="auto"/>
                      <w:kern w:val="2"/>
                      <w:sz w:val="21"/>
                      <w:szCs w:val="21"/>
                      <w:lang w:val="en-US" w:eastAsia="zh-CN" w:bidi="ar-SA"/>
                    </w:rPr>
                  </w:pPr>
                  <w:r>
                    <w:rPr>
                      <w:rFonts w:hint="eastAsia"/>
                      <w:color w:val="auto"/>
                      <w:szCs w:val="21"/>
                      <w:lang w:val="en-US" w:eastAsia="zh-CN"/>
                    </w:rPr>
                    <w:t>3</w:t>
                  </w:r>
                </w:p>
              </w:tc>
              <w:tc>
                <w:tcPr>
                  <w:tcW w:w="688" w:type="pct"/>
                  <w:shd w:val="clear" w:color="auto" w:fill="auto"/>
                  <w:noWrap w:val="0"/>
                  <w:vAlign w:val="center"/>
                </w:tcPr>
                <w:p w14:paraId="7E8F253B">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rFonts w:hint="eastAsia" w:ascii="Times New Roman" w:hAnsi="Times New Roman" w:eastAsia="宋体" w:cs="Times New Roman"/>
                      <w:color w:val="auto"/>
                      <w:sz w:val="21"/>
                      <w:szCs w:val="21"/>
                      <w:lang w:val="en-US" w:eastAsia="zh-CN"/>
                    </w:rPr>
                    <w:t>布袋捕集物、沉渣</w:t>
                  </w:r>
                </w:p>
              </w:tc>
              <w:tc>
                <w:tcPr>
                  <w:tcW w:w="409" w:type="pct"/>
                  <w:vMerge w:val="continue"/>
                  <w:noWrap w:val="0"/>
                  <w:vAlign w:val="center"/>
                </w:tcPr>
                <w:p w14:paraId="707B4EF1">
                  <w:pPr>
                    <w:adjustRightInd w:val="0"/>
                    <w:snapToGrid w:val="0"/>
                    <w:jc w:val="center"/>
                    <w:rPr>
                      <w:color w:val="auto"/>
                      <w:kern w:val="2"/>
                      <w:sz w:val="21"/>
                      <w:szCs w:val="21"/>
                      <w:lang w:val="en-US" w:eastAsia="zh-CN" w:bidi="ar-SA"/>
                    </w:rPr>
                  </w:pPr>
                </w:p>
              </w:tc>
              <w:tc>
                <w:tcPr>
                  <w:tcW w:w="761" w:type="pct"/>
                  <w:vMerge w:val="continue"/>
                  <w:noWrap w:val="0"/>
                  <w:vAlign w:val="center"/>
                </w:tcPr>
                <w:p w14:paraId="301161A2">
                  <w:pPr>
                    <w:adjustRightInd w:val="0"/>
                    <w:snapToGrid w:val="0"/>
                    <w:jc w:val="center"/>
                    <w:rPr>
                      <w:color w:val="auto"/>
                      <w:kern w:val="2"/>
                      <w:sz w:val="21"/>
                      <w:szCs w:val="21"/>
                      <w:lang w:val="en-US" w:eastAsia="zh-CN" w:bidi="ar-SA"/>
                    </w:rPr>
                  </w:pPr>
                </w:p>
              </w:tc>
              <w:tc>
                <w:tcPr>
                  <w:tcW w:w="390" w:type="pct"/>
                  <w:shd w:val="clear" w:color="auto" w:fill="auto"/>
                  <w:noWrap w:val="0"/>
                  <w:vAlign w:val="center"/>
                </w:tcPr>
                <w:p w14:paraId="32FFB7A9">
                  <w:pPr>
                    <w:pStyle w:val="85"/>
                    <w:ind w:left="-1" w:leftChars="-8" w:hanging="16" w:hangingChars="8"/>
                    <w:rPr>
                      <w:rFonts w:ascii="Times New Roman" w:hAnsi="Times New Roman" w:eastAsia="宋体" w:cs="Times New Roman"/>
                      <w:color w:val="auto"/>
                      <w:kern w:val="0"/>
                      <w:sz w:val="21"/>
                      <w:szCs w:val="21"/>
                      <w:lang w:val="en-US" w:eastAsia="zh-CN" w:bidi="ar-SA"/>
                    </w:rPr>
                  </w:pPr>
                  <w:r>
                    <w:rPr>
                      <w:rFonts w:ascii="Times New Roman" w:hAnsi="Times New Roman" w:cs="Times New Roman"/>
                      <w:color w:val="auto"/>
                      <w:kern w:val="0"/>
                    </w:rPr>
                    <w:t>—</w:t>
                  </w:r>
                </w:p>
              </w:tc>
              <w:tc>
                <w:tcPr>
                  <w:tcW w:w="473" w:type="pct"/>
                  <w:shd w:val="clear" w:color="auto" w:fill="auto"/>
                  <w:noWrap w:val="0"/>
                  <w:vAlign w:val="center"/>
                </w:tcPr>
                <w:p w14:paraId="45387B74">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SW17</w:t>
                  </w:r>
                </w:p>
              </w:tc>
              <w:tc>
                <w:tcPr>
                  <w:tcW w:w="755" w:type="pct"/>
                  <w:shd w:val="clear" w:color="auto" w:fill="auto"/>
                  <w:noWrap w:val="0"/>
                  <w:vAlign w:val="center"/>
                </w:tcPr>
                <w:p w14:paraId="57CA72AF">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900-003-S17</w:t>
                  </w:r>
                </w:p>
              </w:tc>
              <w:tc>
                <w:tcPr>
                  <w:tcW w:w="682" w:type="pct"/>
                  <w:vMerge w:val="continue"/>
                  <w:noWrap w:val="0"/>
                  <w:vAlign w:val="center"/>
                </w:tcPr>
                <w:p w14:paraId="3F1CFB7C">
                  <w:pPr>
                    <w:adjustRightInd w:val="0"/>
                    <w:snapToGrid w:val="0"/>
                    <w:jc w:val="center"/>
                    <w:rPr>
                      <w:color w:val="auto"/>
                      <w:szCs w:val="21"/>
                    </w:rPr>
                  </w:pPr>
                </w:p>
              </w:tc>
              <w:tc>
                <w:tcPr>
                  <w:tcW w:w="610" w:type="pct"/>
                  <w:shd w:val="clear" w:color="auto" w:fill="auto"/>
                  <w:noWrap w:val="0"/>
                  <w:vAlign w:val="center"/>
                </w:tcPr>
                <w:p w14:paraId="606F7923">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rFonts w:hint="eastAsia" w:ascii="Times New Roman" w:hAnsi="Times New Roman" w:eastAsia="宋体" w:cs="Times New Roman"/>
                      <w:color w:val="auto"/>
                      <w:sz w:val="21"/>
                      <w:szCs w:val="21"/>
                      <w:lang w:val="en-US" w:eastAsia="zh-CN"/>
                    </w:rPr>
                    <w:t>0.32</w:t>
                  </w:r>
                </w:p>
              </w:tc>
            </w:tr>
            <w:tr w14:paraId="3C0A97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8" w:type="pct"/>
                  <w:shd w:val="clear" w:color="auto" w:fill="auto"/>
                  <w:noWrap w:val="0"/>
                  <w:vAlign w:val="center"/>
                </w:tcPr>
                <w:p w14:paraId="70094FE6">
                  <w:pPr>
                    <w:jc w:val="center"/>
                    <w:rPr>
                      <w:rFonts w:hint="default" w:ascii="Times New Roman" w:hAnsi="Times New Roman" w:eastAsia="宋体" w:cs="Times New Roman"/>
                      <w:color w:val="auto"/>
                      <w:kern w:val="2"/>
                      <w:sz w:val="21"/>
                      <w:szCs w:val="21"/>
                      <w:lang w:val="en-US" w:eastAsia="zh-CN" w:bidi="ar-SA"/>
                    </w:rPr>
                  </w:pPr>
                  <w:r>
                    <w:rPr>
                      <w:color w:val="auto"/>
                      <w:szCs w:val="21"/>
                    </w:rPr>
                    <w:t>4</w:t>
                  </w:r>
                </w:p>
              </w:tc>
              <w:tc>
                <w:tcPr>
                  <w:tcW w:w="688" w:type="pct"/>
                  <w:shd w:val="clear" w:color="auto" w:fill="auto"/>
                  <w:noWrap w:val="0"/>
                  <w:vAlign w:val="center"/>
                </w:tcPr>
                <w:p w14:paraId="0945563A">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喷淋塔废液</w:t>
                  </w:r>
                </w:p>
              </w:tc>
              <w:tc>
                <w:tcPr>
                  <w:tcW w:w="409" w:type="pct"/>
                  <w:vMerge w:val="restart"/>
                  <w:noWrap w:val="0"/>
                  <w:vAlign w:val="center"/>
                </w:tcPr>
                <w:p w14:paraId="28873ADC">
                  <w:pPr>
                    <w:adjustRightInd w:val="0"/>
                    <w:snapToGrid w:val="0"/>
                    <w:jc w:val="center"/>
                    <w:rPr>
                      <w:color w:val="auto"/>
                      <w:kern w:val="2"/>
                      <w:sz w:val="21"/>
                      <w:szCs w:val="21"/>
                      <w:lang w:val="en-US" w:eastAsia="zh-CN" w:bidi="ar-SA"/>
                    </w:rPr>
                  </w:pPr>
                  <w:r>
                    <w:rPr>
                      <w:color w:val="auto"/>
                      <w:szCs w:val="21"/>
                    </w:rPr>
                    <w:t>危险废物</w:t>
                  </w:r>
                </w:p>
              </w:tc>
              <w:tc>
                <w:tcPr>
                  <w:tcW w:w="761" w:type="pct"/>
                  <w:vMerge w:val="continue"/>
                  <w:noWrap w:val="0"/>
                  <w:vAlign w:val="center"/>
                </w:tcPr>
                <w:p w14:paraId="3E8B67F9">
                  <w:pPr>
                    <w:adjustRightInd w:val="0"/>
                    <w:snapToGrid w:val="0"/>
                    <w:jc w:val="center"/>
                    <w:rPr>
                      <w:color w:val="auto"/>
                      <w:szCs w:val="21"/>
                    </w:rPr>
                  </w:pPr>
                </w:p>
              </w:tc>
              <w:tc>
                <w:tcPr>
                  <w:tcW w:w="390" w:type="pct"/>
                  <w:noWrap w:val="0"/>
                  <w:vAlign w:val="center"/>
                </w:tcPr>
                <w:p w14:paraId="4C3E4219">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T</w:t>
                  </w:r>
                </w:p>
              </w:tc>
              <w:tc>
                <w:tcPr>
                  <w:tcW w:w="473" w:type="pct"/>
                  <w:noWrap w:val="0"/>
                  <w:vAlign w:val="center"/>
                </w:tcPr>
                <w:p w14:paraId="05DB4440">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HW09</w:t>
                  </w:r>
                </w:p>
              </w:tc>
              <w:tc>
                <w:tcPr>
                  <w:tcW w:w="755" w:type="pct"/>
                  <w:noWrap w:val="0"/>
                  <w:vAlign w:val="center"/>
                </w:tcPr>
                <w:p w14:paraId="4DF8AA71">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900-007-09</w:t>
                  </w:r>
                </w:p>
              </w:tc>
              <w:tc>
                <w:tcPr>
                  <w:tcW w:w="682" w:type="pct"/>
                  <w:vMerge w:val="restart"/>
                  <w:noWrap w:val="0"/>
                  <w:vAlign w:val="center"/>
                </w:tcPr>
                <w:p w14:paraId="60223939">
                  <w:pPr>
                    <w:adjustRightInd w:val="0"/>
                    <w:snapToGrid w:val="0"/>
                    <w:jc w:val="center"/>
                    <w:rPr>
                      <w:color w:val="auto"/>
                      <w:kern w:val="2"/>
                      <w:sz w:val="21"/>
                      <w:szCs w:val="21"/>
                      <w:lang w:val="en-US" w:eastAsia="zh-CN" w:bidi="ar-SA"/>
                    </w:rPr>
                  </w:pPr>
                  <w:r>
                    <w:rPr>
                      <w:color w:val="auto"/>
                      <w:szCs w:val="21"/>
                    </w:rPr>
                    <w:t>委托有资质单位处置</w:t>
                  </w:r>
                </w:p>
              </w:tc>
              <w:tc>
                <w:tcPr>
                  <w:tcW w:w="610" w:type="pct"/>
                  <w:shd w:val="clear" w:color="auto" w:fill="auto"/>
                  <w:noWrap w:val="0"/>
                  <w:vAlign w:val="center"/>
                </w:tcPr>
                <w:p w14:paraId="1DD8BC6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1</w:t>
                  </w:r>
                </w:p>
              </w:tc>
            </w:tr>
            <w:tr w14:paraId="7CC45C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8" w:type="pct"/>
                  <w:shd w:val="clear" w:color="auto" w:fill="auto"/>
                  <w:noWrap w:val="0"/>
                  <w:vAlign w:val="center"/>
                </w:tcPr>
                <w:p w14:paraId="3C94F8AF">
                  <w:pPr>
                    <w:jc w:val="center"/>
                    <w:rPr>
                      <w:rFonts w:hint="default" w:ascii="Times New Roman" w:hAnsi="Times New Roman" w:eastAsia="宋体" w:cs="Times New Roman"/>
                      <w:color w:val="auto"/>
                      <w:kern w:val="2"/>
                      <w:sz w:val="21"/>
                      <w:szCs w:val="21"/>
                      <w:lang w:val="en-US" w:eastAsia="zh-CN" w:bidi="ar-SA"/>
                    </w:rPr>
                  </w:pPr>
                  <w:r>
                    <w:rPr>
                      <w:rFonts w:hint="eastAsia" w:eastAsia="宋体"/>
                      <w:color w:val="auto"/>
                      <w:kern w:val="2"/>
                      <w:sz w:val="21"/>
                      <w:szCs w:val="21"/>
                      <w:lang w:val="en-US" w:eastAsia="zh-CN" w:bidi="ar-SA"/>
                    </w:rPr>
                    <w:t>5</w:t>
                  </w:r>
                </w:p>
              </w:tc>
              <w:tc>
                <w:tcPr>
                  <w:tcW w:w="688" w:type="pct"/>
                  <w:shd w:val="clear" w:color="auto" w:fill="auto"/>
                  <w:noWrap w:val="0"/>
                  <w:vAlign w:val="center"/>
                </w:tcPr>
                <w:p w14:paraId="76CB2101">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b w:val="0"/>
                      <w:bCs w:val="0"/>
                      <w:color w:val="auto"/>
                      <w:kern w:val="2"/>
                      <w:sz w:val="21"/>
                      <w:szCs w:val="21"/>
                      <w:lang w:val="en-US" w:eastAsia="zh-CN" w:bidi="ar-SA"/>
                    </w:rPr>
                  </w:pPr>
                  <w:r>
                    <w:rPr>
                      <w:rFonts w:hint="eastAsia"/>
                      <w:b w:val="0"/>
                      <w:bCs w:val="0"/>
                      <w:color w:val="auto"/>
                      <w:szCs w:val="21"/>
                      <w:lang w:val="en-US" w:eastAsia="zh-CN"/>
                    </w:rPr>
                    <w:t>废润滑油</w:t>
                  </w:r>
                </w:p>
              </w:tc>
              <w:tc>
                <w:tcPr>
                  <w:tcW w:w="409" w:type="pct"/>
                  <w:vMerge w:val="continue"/>
                  <w:noWrap w:val="0"/>
                  <w:vAlign w:val="center"/>
                </w:tcPr>
                <w:p w14:paraId="625D633C">
                  <w:pPr>
                    <w:adjustRightInd w:val="0"/>
                    <w:snapToGrid w:val="0"/>
                    <w:jc w:val="center"/>
                    <w:rPr>
                      <w:color w:val="auto"/>
                      <w:kern w:val="2"/>
                      <w:sz w:val="21"/>
                      <w:szCs w:val="21"/>
                      <w:lang w:val="en-US" w:eastAsia="zh-CN" w:bidi="ar-SA"/>
                    </w:rPr>
                  </w:pPr>
                </w:p>
              </w:tc>
              <w:tc>
                <w:tcPr>
                  <w:tcW w:w="761" w:type="pct"/>
                  <w:vMerge w:val="continue"/>
                  <w:noWrap w:val="0"/>
                  <w:vAlign w:val="center"/>
                </w:tcPr>
                <w:p w14:paraId="12E31966">
                  <w:pPr>
                    <w:adjustRightInd w:val="0"/>
                    <w:snapToGrid w:val="0"/>
                    <w:jc w:val="center"/>
                    <w:rPr>
                      <w:color w:val="auto"/>
                      <w:szCs w:val="21"/>
                    </w:rPr>
                  </w:pPr>
                </w:p>
              </w:tc>
              <w:tc>
                <w:tcPr>
                  <w:tcW w:w="390" w:type="pct"/>
                  <w:shd w:val="clear" w:color="auto" w:fill="auto"/>
                  <w:noWrap w:val="0"/>
                  <w:vAlign w:val="center"/>
                </w:tcPr>
                <w:p w14:paraId="33750D58">
                  <w:pPr>
                    <w:widowControl/>
                    <w:adjustRightInd w:val="0"/>
                    <w:snapToGrid w:val="0"/>
                    <w:ind w:left="-105" w:leftChars="-50" w:right="-105" w:rightChars="-5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rPr>
                    <w:t>T，I</w:t>
                  </w:r>
                </w:p>
              </w:tc>
              <w:tc>
                <w:tcPr>
                  <w:tcW w:w="473" w:type="pct"/>
                  <w:shd w:val="clear" w:color="auto" w:fill="auto"/>
                  <w:noWrap w:val="0"/>
                  <w:vAlign w:val="center"/>
                </w:tcPr>
                <w:p w14:paraId="4AA262B3">
                  <w:pPr>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HW08</w:t>
                  </w:r>
                </w:p>
              </w:tc>
              <w:tc>
                <w:tcPr>
                  <w:tcW w:w="755" w:type="pct"/>
                  <w:shd w:val="clear" w:color="auto" w:fill="auto"/>
                  <w:noWrap w:val="0"/>
                  <w:vAlign w:val="center"/>
                </w:tcPr>
                <w:p w14:paraId="6C007F9C">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900-217-08</w:t>
                  </w:r>
                </w:p>
              </w:tc>
              <w:tc>
                <w:tcPr>
                  <w:tcW w:w="682" w:type="pct"/>
                  <w:vMerge w:val="continue"/>
                  <w:noWrap w:val="0"/>
                  <w:vAlign w:val="center"/>
                </w:tcPr>
                <w:p w14:paraId="6020AA20">
                  <w:pPr>
                    <w:adjustRightInd w:val="0"/>
                    <w:snapToGrid w:val="0"/>
                    <w:jc w:val="center"/>
                    <w:rPr>
                      <w:color w:val="auto"/>
                      <w:kern w:val="2"/>
                      <w:sz w:val="21"/>
                      <w:szCs w:val="21"/>
                      <w:lang w:val="en-US" w:eastAsia="zh-CN" w:bidi="ar-SA"/>
                    </w:rPr>
                  </w:pPr>
                </w:p>
              </w:tc>
              <w:tc>
                <w:tcPr>
                  <w:tcW w:w="610" w:type="pct"/>
                  <w:shd w:val="clear" w:color="auto" w:fill="auto"/>
                  <w:noWrap w:val="0"/>
                  <w:vAlign w:val="center"/>
                </w:tcPr>
                <w:p w14:paraId="0CD0B110">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0.4</w:t>
                  </w:r>
                </w:p>
              </w:tc>
            </w:tr>
            <w:tr w14:paraId="087A8D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8" w:type="pct"/>
                  <w:shd w:val="clear" w:color="auto" w:fill="auto"/>
                  <w:noWrap w:val="0"/>
                  <w:vAlign w:val="center"/>
                </w:tcPr>
                <w:p w14:paraId="06A117B7">
                  <w:pPr>
                    <w:jc w:val="center"/>
                    <w:rPr>
                      <w:rFonts w:hint="eastAsia" w:ascii="Times New Roman" w:hAnsi="Times New Roman" w:eastAsia="宋体" w:cs="Times New Roman"/>
                      <w:color w:val="auto"/>
                      <w:kern w:val="2"/>
                      <w:sz w:val="21"/>
                      <w:szCs w:val="21"/>
                      <w:lang w:val="en-US" w:eastAsia="zh-CN" w:bidi="ar-SA"/>
                    </w:rPr>
                  </w:pPr>
                  <w:r>
                    <w:rPr>
                      <w:rFonts w:hint="eastAsia" w:eastAsia="宋体"/>
                      <w:color w:val="auto"/>
                      <w:kern w:val="2"/>
                      <w:sz w:val="21"/>
                      <w:szCs w:val="21"/>
                      <w:lang w:val="en-US" w:eastAsia="zh-CN" w:bidi="ar-SA"/>
                    </w:rPr>
                    <w:t>6</w:t>
                  </w:r>
                </w:p>
              </w:tc>
              <w:tc>
                <w:tcPr>
                  <w:tcW w:w="688" w:type="pct"/>
                  <w:shd w:val="clear" w:color="auto" w:fill="auto"/>
                  <w:noWrap w:val="0"/>
                  <w:vAlign w:val="center"/>
                </w:tcPr>
                <w:p w14:paraId="49F8B2C6">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废油桶</w:t>
                  </w:r>
                </w:p>
              </w:tc>
              <w:tc>
                <w:tcPr>
                  <w:tcW w:w="409" w:type="pct"/>
                  <w:vMerge w:val="continue"/>
                  <w:noWrap w:val="0"/>
                  <w:vAlign w:val="center"/>
                </w:tcPr>
                <w:p w14:paraId="4295EF97">
                  <w:pPr>
                    <w:adjustRightInd w:val="0"/>
                    <w:snapToGrid w:val="0"/>
                    <w:jc w:val="center"/>
                    <w:rPr>
                      <w:color w:val="auto"/>
                      <w:kern w:val="2"/>
                      <w:sz w:val="21"/>
                      <w:szCs w:val="21"/>
                      <w:lang w:val="en-US" w:eastAsia="zh-CN" w:bidi="ar-SA"/>
                    </w:rPr>
                  </w:pPr>
                </w:p>
              </w:tc>
              <w:tc>
                <w:tcPr>
                  <w:tcW w:w="761" w:type="pct"/>
                  <w:vMerge w:val="continue"/>
                  <w:noWrap w:val="0"/>
                  <w:vAlign w:val="center"/>
                </w:tcPr>
                <w:p w14:paraId="4B47762D">
                  <w:pPr>
                    <w:adjustRightInd w:val="0"/>
                    <w:snapToGrid w:val="0"/>
                    <w:jc w:val="center"/>
                    <w:rPr>
                      <w:color w:val="auto"/>
                      <w:szCs w:val="21"/>
                    </w:rPr>
                  </w:pPr>
                </w:p>
              </w:tc>
              <w:tc>
                <w:tcPr>
                  <w:tcW w:w="390" w:type="pct"/>
                  <w:noWrap w:val="0"/>
                  <w:vAlign w:val="center"/>
                </w:tcPr>
                <w:p w14:paraId="3D70B041">
                  <w:pPr>
                    <w:jc w:val="center"/>
                    <w:rPr>
                      <w:color w:val="auto"/>
                      <w:kern w:val="2"/>
                      <w:sz w:val="21"/>
                      <w:szCs w:val="21"/>
                      <w:lang w:val="en-US" w:eastAsia="zh-CN" w:bidi="ar-SA"/>
                    </w:rPr>
                  </w:pPr>
                  <w:r>
                    <w:rPr>
                      <w:rFonts w:hint="eastAsia"/>
                      <w:color w:val="auto"/>
                      <w:kern w:val="2"/>
                      <w:sz w:val="21"/>
                      <w:szCs w:val="21"/>
                      <w:lang w:val="en-US" w:eastAsia="zh-CN" w:bidi="ar-SA"/>
                    </w:rPr>
                    <w:t>T，I</w:t>
                  </w:r>
                </w:p>
              </w:tc>
              <w:tc>
                <w:tcPr>
                  <w:tcW w:w="473" w:type="pct"/>
                  <w:noWrap w:val="0"/>
                  <w:vAlign w:val="center"/>
                </w:tcPr>
                <w:p w14:paraId="668C98B8">
                  <w:pPr>
                    <w:jc w:val="center"/>
                    <w:rPr>
                      <w:rFonts w:hint="default"/>
                      <w:color w:val="auto"/>
                      <w:kern w:val="2"/>
                      <w:sz w:val="21"/>
                      <w:szCs w:val="21"/>
                      <w:lang w:val="en-US" w:eastAsia="zh-CN" w:bidi="ar-SA"/>
                    </w:rPr>
                  </w:pPr>
                  <w:r>
                    <w:rPr>
                      <w:rFonts w:hint="eastAsia"/>
                      <w:color w:val="auto"/>
                      <w:kern w:val="2"/>
                      <w:sz w:val="21"/>
                      <w:szCs w:val="21"/>
                      <w:lang w:val="en-US" w:eastAsia="zh-CN" w:bidi="ar-SA"/>
                    </w:rPr>
                    <w:t>HW08</w:t>
                  </w:r>
                </w:p>
              </w:tc>
              <w:tc>
                <w:tcPr>
                  <w:tcW w:w="755" w:type="pct"/>
                  <w:noWrap w:val="0"/>
                  <w:vAlign w:val="center"/>
                </w:tcPr>
                <w:p w14:paraId="0361F56F">
                  <w:pPr>
                    <w:jc w:val="center"/>
                    <w:rPr>
                      <w:rFonts w:hint="default"/>
                      <w:color w:val="auto"/>
                      <w:kern w:val="2"/>
                      <w:sz w:val="21"/>
                      <w:szCs w:val="21"/>
                      <w:lang w:val="en-US" w:eastAsia="zh-CN" w:bidi="ar-SA"/>
                    </w:rPr>
                  </w:pPr>
                  <w:r>
                    <w:rPr>
                      <w:rFonts w:hint="eastAsia"/>
                      <w:color w:val="auto"/>
                      <w:kern w:val="2"/>
                      <w:sz w:val="21"/>
                      <w:szCs w:val="21"/>
                      <w:lang w:val="en-US" w:eastAsia="zh-CN" w:bidi="ar-SA"/>
                    </w:rPr>
                    <w:t>900-249-08</w:t>
                  </w:r>
                </w:p>
              </w:tc>
              <w:tc>
                <w:tcPr>
                  <w:tcW w:w="682" w:type="pct"/>
                  <w:vMerge w:val="continue"/>
                  <w:noWrap w:val="0"/>
                  <w:vAlign w:val="center"/>
                </w:tcPr>
                <w:p w14:paraId="0C867385">
                  <w:pPr>
                    <w:adjustRightInd w:val="0"/>
                    <w:snapToGrid w:val="0"/>
                    <w:jc w:val="center"/>
                    <w:rPr>
                      <w:color w:val="auto"/>
                      <w:kern w:val="2"/>
                      <w:sz w:val="21"/>
                      <w:szCs w:val="21"/>
                      <w:lang w:val="en-US" w:eastAsia="zh-CN" w:bidi="ar-SA"/>
                    </w:rPr>
                  </w:pPr>
                </w:p>
              </w:tc>
              <w:tc>
                <w:tcPr>
                  <w:tcW w:w="610" w:type="pct"/>
                  <w:shd w:val="clear" w:color="auto" w:fill="auto"/>
                  <w:noWrap w:val="0"/>
                  <w:vAlign w:val="center"/>
                </w:tcPr>
                <w:p w14:paraId="497E6DC5">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11.76</w:t>
                  </w:r>
                </w:p>
              </w:tc>
            </w:tr>
            <w:tr w14:paraId="379ED5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8" w:type="pct"/>
                  <w:shd w:val="clear" w:color="auto" w:fill="auto"/>
                  <w:noWrap w:val="0"/>
                  <w:vAlign w:val="center"/>
                </w:tcPr>
                <w:p w14:paraId="6F2D1C4C">
                  <w:pPr>
                    <w:jc w:val="center"/>
                    <w:rPr>
                      <w:rFonts w:hint="eastAsia" w:ascii="Times New Roman" w:hAnsi="Times New Roman" w:eastAsia="宋体" w:cs="Times New Roman"/>
                      <w:color w:val="auto"/>
                      <w:kern w:val="2"/>
                      <w:sz w:val="21"/>
                      <w:szCs w:val="21"/>
                      <w:lang w:val="en-US" w:eastAsia="zh-CN" w:bidi="ar-SA"/>
                    </w:rPr>
                  </w:pPr>
                  <w:r>
                    <w:rPr>
                      <w:rFonts w:hint="eastAsia" w:eastAsia="宋体"/>
                      <w:color w:val="auto"/>
                      <w:kern w:val="2"/>
                      <w:sz w:val="21"/>
                      <w:szCs w:val="21"/>
                      <w:lang w:val="en-US" w:eastAsia="zh-CN" w:bidi="ar-SA"/>
                    </w:rPr>
                    <w:t>7</w:t>
                  </w:r>
                </w:p>
              </w:tc>
              <w:tc>
                <w:tcPr>
                  <w:tcW w:w="688" w:type="pct"/>
                  <w:shd w:val="clear" w:color="auto" w:fill="auto"/>
                  <w:noWrap w:val="0"/>
                  <w:vAlign w:val="center"/>
                </w:tcPr>
                <w:p w14:paraId="42B0937A">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废包装桶</w:t>
                  </w:r>
                </w:p>
              </w:tc>
              <w:tc>
                <w:tcPr>
                  <w:tcW w:w="409" w:type="pct"/>
                  <w:vMerge w:val="continue"/>
                  <w:noWrap w:val="0"/>
                  <w:vAlign w:val="center"/>
                </w:tcPr>
                <w:p w14:paraId="4027A48A">
                  <w:pPr>
                    <w:adjustRightInd w:val="0"/>
                    <w:snapToGrid w:val="0"/>
                    <w:jc w:val="center"/>
                    <w:rPr>
                      <w:color w:val="auto"/>
                      <w:kern w:val="2"/>
                      <w:sz w:val="21"/>
                      <w:szCs w:val="21"/>
                      <w:lang w:val="en-US" w:eastAsia="zh-CN" w:bidi="ar-SA"/>
                    </w:rPr>
                  </w:pPr>
                </w:p>
              </w:tc>
              <w:tc>
                <w:tcPr>
                  <w:tcW w:w="761" w:type="pct"/>
                  <w:vMerge w:val="continue"/>
                  <w:noWrap w:val="0"/>
                  <w:vAlign w:val="center"/>
                </w:tcPr>
                <w:p w14:paraId="31AE0872">
                  <w:pPr>
                    <w:adjustRightInd w:val="0"/>
                    <w:snapToGrid w:val="0"/>
                    <w:jc w:val="center"/>
                    <w:rPr>
                      <w:color w:val="auto"/>
                      <w:szCs w:val="21"/>
                    </w:rPr>
                  </w:pPr>
                </w:p>
              </w:tc>
              <w:tc>
                <w:tcPr>
                  <w:tcW w:w="390" w:type="pct"/>
                  <w:shd w:val="clear" w:color="auto" w:fill="auto"/>
                  <w:noWrap w:val="0"/>
                  <w:vAlign w:val="center"/>
                </w:tcPr>
                <w:p w14:paraId="4591C18A">
                  <w:pPr>
                    <w:jc w:val="center"/>
                    <w:rPr>
                      <w:rFonts w:ascii="Times New Roman" w:hAnsi="Times New Roman" w:eastAsia="宋体" w:cs="Times New Roman"/>
                      <w:color w:val="auto"/>
                      <w:kern w:val="2"/>
                      <w:sz w:val="21"/>
                      <w:szCs w:val="21"/>
                      <w:lang w:val="en-US" w:eastAsia="zh-CN" w:bidi="ar-SA"/>
                    </w:rPr>
                  </w:pPr>
                  <w:r>
                    <w:rPr>
                      <w:color w:val="auto"/>
                      <w:szCs w:val="21"/>
                    </w:rPr>
                    <w:t>T/In</w:t>
                  </w:r>
                </w:p>
              </w:tc>
              <w:tc>
                <w:tcPr>
                  <w:tcW w:w="473" w:type="pct"/>
                  <w:shd w:val="clear" w:color="auto" w:fill="auto"/>
                  <w:noWrap w:val="0"/>
                  <w:vAlign w:val="center"/>
                </w:tcPr>
                <w:p w14:paraId="1EBEBB83">
                  <w:pPr>
                    <w:jc w:val="center"/>
                    <w:rPr>
                      <w:rFonts w:hint="eastAsia" w:ascii="Times New Roman" w:hAnsi="Times New Roman" w:eastAsia="宋体" w:cs="Times New Roman"/>
                      <w:color w:val="auto"/>
                      <w:kern w:val="2"/>
                      <w:sz w:val="21"/>
                      <w:szCs w:val="21"/>
                      <w:lang w:val="en-US" w:eastAsia="zh-CN" w:bidi="ar-SA"/>
                    </w:rPr>
                  </w:pPr>
                  <w:r>
                    <w:rPr>
                      <w:color w:val="auto"/>
                      <w:szCs w:val="21"/>
                    </w:rPr>
                    <w:t>HW49</w:t>
                  </w:r>
                </w:p>
              </w:tc>
              <w:tc>
                <w:tcPr>
                  <w:tcW w:w="755" w:type="pct"/>
                  <w:shd w:val="clear" w:color="auto" w:fill="auto"/>
                  <w:noWrap w:val="0"/>
                  <w:vAlign w:val="center"/>
                </w:tcPr>
                <w:p w14:paraId="0226F38A">
                  <w:pPr>
                    <w:jc w:val="center"/>
                    <w:rPr>
                      <w:rFonts w:ascii="Times New Roman" w:hAnsi="Times New Roman" w:eastAsia="宋体" w:cs="Times New Roman"/>
                      <w:color w:val="auto"/>
                      <w:kern w:val="2"/>
                      <w:sz w:val="21"/>
                      <w:szCs w:val="21"/>
                      <w:lang w:val="en-US" w:eastAsia="zh-CN" w:bidi="ar-SA"/>
                    </w:rPr>
                  </w:pPr>
                  <w:r>
                    <w:rPr>
                      <w:color w:val="auto"/>
                      <w:szCs w:val="21"/>
                    </w:rPr>
                    <w:t>900-041-49</w:t>
                  </w:r>
                </w:p>
              </w:tc>
              <w:tc>
                <w:tcPr>
                  <w:tcW w:w="682" w:type="pct"/>
                  <w:vMerge w:val="continue"/>
                  <w:noWrap w:val="0"/>
                  <w:vAlign w:val="center"/>
                </w:tcPr>
                <w:p w14:paraId="62850CAD">
                  <w:pPr>
                    <w:adjustRightInd w:val="0"/>
                    <w:snapToGrid w:val="0"/>
                    <w:jc w:val="center"/>
                    <w:rPr>
                      <w:color w:val="auto"/>
                      <w:kern w:val="2"/>
                      <w:sz w:val="21"/>
                      <w:szCs w:val="21"/>
                      <w:lang w:val="en-US" w:eastAsia="zh-CN" w:bidi="ar-SA"/>
                    </w:rPr>
                  </w:pPr>
                </w:p>
              </w:tc>
              <w:tc>
                <w:tcPr>
                  <w:tcW w:w="610" w:type="pct"/>
                  <w:shd w:val="clear" w:color="auto" w:fill="auto"/>
                  <w:noWrap w:val="0"/>
                  <w:vAlign w:val="center"/>
                </w:tcPr>
                <w:p w14:paraId="02BDD06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0.08</w:t>
                  </w:r>
                </w:p>
              </w:tc>
            </w:tr>
            <w:tr w14:paraId="702E3C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8" w:type="pct"/>
                  <w:shd w:val="clear" w:color="auto" w:fill="auto"/>
                  <w:noWrap w:val="0"/>
                  <w:vAlign w:val="center"/>
                </w:tcPr>
                <w:p w14:paraId="6DD0DBF4">
                  <w:pPr>
                    <w:jc w:val="center"/>
                    <w:rPr>
                      <w:rFonts w:hint="eastAsia" w:ascii="Times New Roman" w:hAnsi="Times New Roman" w:eastAsia="宋体" w:cs="Times New Roman"/>
                      <w:color w:val="auto"/>
                      <w:kern w:val="2"/>
                      <w:sz w:val="21"/>
                      <w:szCs w:val="21"/>
                      <w:lang w:val="en-US" w:eastAsia="zh-CN" w:bidi="ar-SA"/>
                    </w:rPr>
                  </w:pPr>
                  <w:r>
                    <w:rPr>
                      <w:rFonts w:hint="eastAsia" w:eastAsia="宋体"/>
                      <w:color w:val="auto"/>
                      <w:kern w:val="2"/>
                      <w:sz w:val="21"/>
                      <w:szCs w:val="21"/>
                      <w:lang w:val="en-US" w:eastAsia="zh-CN" w:bidi="ar-SA"/>
                    </w:rPr>
                    <w:t>8</w:t>
                  </w:r>
                </w:p>
              </w:tc>
              <w:tc>
                <w:tcPr>
                  <w:tcW w:w="688" w:type="pct"/>
                  <w:shd w:val="clear" w:color="auto" w:fill="auto"/>
                  <w:noWrap w:val="0"/>
                  <w:vAlign w:val="center"/>
                </w:tcPr>
                <w:p w14:paraId="40A6BF88">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废含油抹布</w:t>
                  </w:r>
                </w:p>
              </w:tc>
              <w:tc>
                <w:tcPr>
                  <w:tcW w:w="409" w:type="pct"/>
                  <w:vMerge w:val="continue"/>
                  <w:noWrap w:val="0"/>
                  <w:vAlign w:val="center"/>
                </w:tcPr>
                <w:p w14:paraId="0A761D73">
                  <w:pPr>
                    <w:adjustRightInd w:val="0"/>
                    <w:snapToGrid w:val="0"/>
                    <w:jc w:val="center"/>
                    <w:rPr>
                      <w:color w:val="auto"/>
                      <w:kern w:val="2"/>
                      <w:sz w:val="21"/>
                      <w:szCs w:val="21"/>
                      <w:lang w:val="en-US" w:eastAsia="zh-CN" w:bidi="ar-SA"/>
                    </w:rPr>
                  </w:pPr>
                </w:p>
              </w:tc>
              <w:tc>
                <w:tcPr>
                  <w:tcW w:w="761" w:type="pct"/>
                  <w:vMerge w:val="continue"/>
                  <w:noWrap w:val="0"/>
                  <w:vAlign w:val="center"/>
                </w:tcPr>
                <w:p w14:paraId="2C0958FC">
                  <w:pPr>
                    <w:adjustRightInd w:val="0"/>
                    <w:snapToGrid w:val="0"/>
                    <w:jc w:val="center"/>
                    <w:rPr>
                      <w:color w:val="auto"/>
                      <w:szCs w:val="21"/>
                    </w:rPr>
                  </w:pPr>
                </w:p>
              </w:tc>
              <w:tc>
                <w:tcPr>
                  <w:tcW w:w="390" w:type="pct"/>
                  <w:shd w:val="clear" w:color="auto" w:fill="auto"/>
                  <w:noWrap w:val="0"/>
                  <w:vAlign w:val="center"/>
                </w:tcPr>
                <w:p w14:paraId="5D181455">
                  <w:pPr>
                    <w:jc w:val="center"/>
                    <w:rPr>
                      <w:rFonts w:ascii="Times New Roman" w:hAnsi="Times New Roman" w:eastAsia="宋体" w:cs="Times New Roman"/>
                      <w:color w:val="auto"/>
                      <w:kern w:val="2"/>
                      <w:sz w:val="21"/>
                      <w:szCs w:val="21"/>
                      <w:lang w:val="en-US" w:eastAsia="zh-CN" w:bidi="ar-SA"/>
                    </w:rPr>
                  </w:pPr>
                  <w:r>
                    <w:rPr>
                      <w:color w:val="auto"/>
                      <w:szCs w:val="21"/>
                    </w:rPr>
                    <w:t>T/In</w:t>
                  </w:r>
                </w:p>
              </w:tc>
              <w:tc>
                <w:tcPr>
                  <w:tcW w:w="473" w:type="pct"/>
                  <w:shd w:val="clear" w:color="auto" w:fill="auto"/>
                  <w:noWrap w:val="0"/>
                  <w:vAlign w:val="center"/>
                </w:tcPr>
                <w:p w14:paraId="6788AA1F">
                  <w:pPr>
                    <w:jc w:val="center"/>
                    <w:rPr>
                      <w:rFonts w:hint="eastAsia" w:ascii="Times New Roman" w:hAnsi="Times New Roman" w:eastAsia="宋体" w:cs="Times New Roman"/>
                      <w:color w:val="auto"/>
                      <w:kern w:val="2"/>
                      <w:sz w:val="21"/>
                      <w:szCs w:val="21"/>
                      <w:lang w:val="en-US" w:eastAsia="zh-CN" w:bidi="ar-SA"/>
                    </w:rPr>
                  </w:pPr>
                  <w:r>
                    <w:rPr>
                      <w:color w:val="auto"/>
                      <w:szCs w:val="21"/>
                    </w:rPr>
                    <w:t>HW49</w:t>
                  </w:r>
                </w:p>
              </w:tc>
              <w:tc>
                <w:tcPr>
                  <w:tcW w:w="755" w:type="pct"/>
                  <w:shd w:val="clear" w:color="auto" w:fill="auto"/>
                  <w:noWrap w:val="0"/>
                  <w:vAlign w:val="center"/>
                </w:tcPr>
                <w:p w14:paraId="4E096A99">
                  <w:pPr>
                    <w:jc w:val="center"/>
                    <w:rPr>
                      <w:rFonts w:ascii="Times New Roman" w:hAnsi="Times New Roman" w:eastAsia="宋体" w:cs="Times New Roman"/>
                      <w:color w:val="auto"/>
                      <w:kern w:val="2"/>
                      <w:sz w:val="21"/>
                      <w:szCs w:val="21"/>
                      <w:lang w:val="en-US" w:eastAsia="zh-CN" w:bidi="ar-SA"/>
                    </w:rPr>
                  </w:pPr>
                  <w:r>
                    <w:rPr>
                      <w:color w:val="auto"/>
                      <w:szCs w:val="21"/>
                    </w:rPr>
                    <w:t>900-041-49</w:t>
                  </w:r>
                </w:p>
              </w:tc>
              <w:tc>
                <w:tcPr>
                  <w:tcW w:w="682" w:type="pct"/>
                  <w:vMerge w:val="continue"/>
                  <w:noWrap w:val="0"/>
                  <w:vAlign w:val="center"/>
                </w:tcPr>
                <w:p w14:paraId="36C6915D">
                  <w:pPr>
                    <w:adjustRightInd w:val="0"/>
                    <w:snapToGrid w:val="0"/>
                    <w:jc w:val="center"/>
                    <w:rPr>
                      <w:color w:val="auto"/>
                      <w:kern w:val="2"/>
                      <w:sz w:val="21"/>
                      <w:szCs w:val="21"/>
                      <w:lang w:val="en-US" w:eastAsia="zh-CN" w:bidi="ar-SA"/>
                    </w:rPr>
                  </w:pPr>
                </w:p>
              </w:tc>
              <w:tc>
                <w:tcPr>
                  <w:tcW w:w="610" w:type="pct"/>
                  <w:shd w:val="clear" w:color="auto" w:fill="auto"/>
                  <w:noWrap w:val="0"/>
                  <w:vAlign w:val="center"/>
                </w:tcPr>
                <w:p w14:paraId="58B7E27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0.01</w:t>
                  </w:r>
                </w:p>
              </w:tc>
            </w:tr>
            <w:tr w14:paraId="3187C5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8" w:type="pct"/>
                  <w:noWrap w:val="0"/>
                  <w:vAlign w:val="center"/>
                </w:tcPr>
                <w:p w14:paraId="08358FF3">
                  <w:pPr>
                    <w:jc w:val="center"/>
                    <w:rPr>
                      <w:rFonts w:hint="eastAsia" w:eastAsia="宋体"/>
                      <w:color w:val="auto"/>
                      <w:kern w:val="2"/>
                      <w:sz w:val="21"/>
                      <w:szCs w:val="21"/>
                      <w:lang w:val="en-US" w:eastAsia="zh-CN" w:bidi="ar-SA"/>
                    </w:rPr>
                  </w:pPr>
                  <w:r>
                    <w:rPr>
                      <w:rFonts w:hint="eastAsia" w:eastAsia="宋体"/>
                      <w:color w:val="auto"/>
                      <w:kern w:val="2"/>
                      <w:sz w:val="21"/>
                      <w:szCs w:val="21"/>
                      <w:lang w:val="en-US" w:eastAsia="zh-CN" w:bidi="ar-SA"/>
                    </w:rPr>
                    <w:t>9</w:t>
                  </w:r>
                </w:p>
              </w:tc>
              <w:tc>
                <w:tcPr>
                  <w:tcW w:w="688" w:type="pct"/>
                  <w:shd w:val="clear" w:color="auto" w:fill="auto"/>
                  <w:noWrap w:val="0"/>
                  <w:vAlign w:val="center"/>
                </w:tcPr>
                <w:p w14:paraId="7064F379">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废活性炭</w:t>
                  </w:r>
                </w:p>
              </w:tc>
              <w:tc>
                <w:tcPr>
                  <w:tcW w:w="409" w:type="pct"/>
                  <w:vMerge w:val="continue"/>
                  <w:noWrap w:val="0"/>
                  <w:vAlign w:val="center"/>
                </w:tcPr>
                <w:p w14:paraId="36CC864F">
                  <w:pPr>
                    <w:adjustRightInd w:val="0"/>
                    <w:snapToGrid w:val="0"/>
                    <w:jc w:val="center"/>
                    <w:rPr>
                      <w:color w:val="auto"/>
                      <w:kern w:val="2"/>
                      <w:sz w:val="21"/>
                      <w:szCs w:val="21"/>
                      <w:lang w:val="en-US" w:eastAsia="zh-CN" w:bidi="ar-SA"/>
                    </w:rPr>
                  </w:pPr>
                </w:p>
              </w:tc>
              <w:tc>
                <w:tcPr>
                  <w:tcW w:w="761" w:type="pct"/>
                  <w:vMerge w:val="continue"/>
                  <w:noWrap w:val="0"/>
                  <w:vAlign w:val="center"/>
                </w:tcPr>
                <w:p w14:paraId="21189136">
                  <w:pPr>
                    <w:adjustRightInd w:val="0"/>
                    <w:snapToGrid w:val="0"/>
                    <w:jc w:val="center"/>
                    <w:rPr>
                      <w:color w:val="auto"/>
                      <w:szCs w:val="21"/>
                    </w:rPr>
                  </w:pPr>
                </w:p>
              </w:tc>
              <w:tc>
                <w:tcPr>
                  <w:tcW w:w="390" w:type="pct"/>
                  <w:shd w:val="clear" w:color="auto" w:fill="auto"/>
                  <w:noWrap w:val="0"/>
                  <w:vAlign w:val="center"/>
                </w:tcPr>
                <w:p w14:paraId="3F3339E9">
                  <w:pPr>
                    <w:jc w:val="center"/>
                    <w:rPr>
                      <w:rFonts w:ascii="Times New Roman" w:hAnsi="Times New Roman" w:eastAsia="宋体" w:cs="Times New Roman"/>
                      <w:color w:val="auto"/>
                      <w:kern w:val="2"/>
                      <w:sz w:val="21"/>
                      <w:szCs w:val="21"/>
                      <w:lang w:val="en-US" w:eastAsia="zh-CN" w:bidi="ar-SA"/>
                    </w:rPr>
                  </w:pPr>
                  <w:r>
                    <w:rPr>
                      <w:color w:val="auto"/>
                      <w:szCs w:val="21"/>
                    </w:rPr>
                    <w:t>T</w:t>
                  </w:r>
                </w:p>
              </w:tc>
              <w:tc>
                <w:tcPr>
                  <w:tcW w:w="473" w:type="pct"/>
                  <w:shd w:val="clear" w:color="auto" w:fill="auto"/>
                  <w:noWrap w:val="0"/>
                  <w:vAlign w:val="center"/>
                </w:tcPr>
                <w:p w14:paraId="1DFDDB5A">
                  <w:pPr>
                    <w:jc w:val="center"/>
                    <w:rPr>
                      <w:rFonts w:hint="eastAsia" w:ascii="Times New Roman" w:hAnsi="Times New Roman" w:eastAsia="宋体" w:cs="Times New Roman"/>
                      <w:color w:val="auto"/>
                      <w:kern w:val="2"/>
                      <w:sz w:val="21"/>
                      <w:szCs w:val="21"/>
                      <w:lang w:val="en-US" w:eastAsia="zh-CN" w:bidi="ar-SA"/>
                    </w:rPr>
                  </w:pPr>
                  <w:r>
                    <w:rPr>
                      <w:color w:val="auto"/>
                      <w:szCs w:val="21"/>
                    </w:rPr>
                    <w:t>HW49</w:t>
                  </w:r>
                </w:p>
              </w:tc>
              <w:tc>
                <w:tcPr>
                  <w:tcW w:w="755" w:type="pct"/>
                  <w:shd w:val="clear" w:color="auto" w:fill="auto"/>
                  <w:noWrap w:val="0"/>
                  <w:vAlign w:val="center"/>
                </w:tcPr>
                <w:p w14:paraId="558CFA03">
                  <w:pPr>
                    <w:jc w:val="center"/>
                    <w:rPr>
                      <w:rFonts w:ascii="Times New Roman" w:hAnsi="Times New Roman" w:eastAsia="宋体" w:cs="Times New Roman"/>
                      <w:color w:val="auto"/>
                      <w:kern w:val="2"/>
                      <w:sz w:val="21"/>
                      <w:szCs w:val="21"/>
                      <w:lang w:val="en-US" w:eastAsia="zh-CN" w:bidi="ar-SA"/>
                    </w:rPr>
                  </w:pPr>
                  <w:r>
                    <w:rPr>
                      <w:color w:val="auto"/>
                      <w:szCs w:val="21"/>
                    </w:rPr>
                    <w:t>900-0</w:t>
                  </w:r>
                  <w:r>
                    <w:rPr>
                      <w:rFonts w:hint="eastAsia"/>
                      <w:color w:val="auto"/>
                      <w:szCs w:val="21"/>
                      <w:lang w:val="en-US" w:eastAsia="zh-CN"/>
                    </w:rPr>
                    <w:t>39</w:t>
                  </w:r>
                  <w:r>
                    <w:rPr>
                      <w:color w:val="auto"/>
                      <w:szCs w:val="21"/>
                    </w:rPr>
                    <w:t>-49</w:t>
                  </w:r>
                </w:p>
              </w:tc>
              <w:tc>
                <w:tcPr>
                  <w:tcW w:w="682" w:type="pct"/>
                  <w:vMerge w:val="continue"/>
                  <w:noWrap w:val="0"/>
                  <w:vAlign w:val="center"/>
                </w:tcPr>
                <w:p w14:paraId="3B048301">
                  <w:pPr>
                    <w:adjustRightInd w:val="0"/>
                    <w:snapToGrid w:val="0"/>
                    <w:jc w:val="center"/>
                    <w:rPr>
                      <w:color w:val="auto"/>
                      <w:kern w:val="2"/>
                      <w:sz w:val="21"/>
                      <w:szCs w:val="21"/>
                      <w:lang w:val="en-US" w:eastAsia="zh-CN" w:bidi="ar-SA"/>
                    </w:rPr>
                  </w:pPr>
                </w:p>
              </w:tc>
              <w:tc>
                <w:tcPr>
                  <w:tcW w:w="610" w:type="pct"/>
                  <w:shd w:val="clear" w:color="auto" w:fill="auto"/>
                  <w:noWrap w:val="0"/>
                  <w:vAlign w:val="center"/>
                </w:tcPr>
                <w:p w14:paraId="11EAB1FF">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1.58</w:t>
                  </w:r>
                </w:p>
              </w:tc>
            </w:tr>
            <w:tr w14:paraId="2EBCFB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8" w:type="pct"/>
                  <w:noWrap w:val="0"/>
                  <w:vAlign w:val="center"/>
                </w:tcPr>
                <w:p w14:paraId="6DAAD351">
                  <w:pPr>
                    <w:jc w:val="center"/>
                    <w:rPr>
                      <w:rFonts w:hint="default" w:eastAsia="宋体"/>
                      <w:color w:val="auto"/>
                      <w:kern w:val="2"/>
                      <w:sz w:val="21"/>
                      <w:szCs w:val="21"/>
                      <w:lang w:val="en-US" w:eastAsia="zh-CN" w:bidi="ar-SA"/>
                    </w:rPr>
                  </w:pPr>
                  <w:r>
                    <w:rPr>
                      <w:rFonts w:hint="eastAsia"/>
                      <w:color w:val="auto"/>
                      <w:kern w:val="2"/>
                      <w:sz w:val="21"/>
                      <w:szCs w:val="21"/>
                      <w:lang w:val="en-US" w:eastAsia="zh-CN" w:bidi="ar-SA"/>
                    </w:rPr>
                    <w:t>10</w:t>
                  </w:r>
                </w:p>
              </w:tc>
              <w:tc>
                <w:tcPr>
                  <w:tcW w:w="688" w:type="pct"/>
                  <w:shd w:val="clear" w:color="auto" w:fill="auto"/>
                  <w:noWrap w:val="0"/>
                  <w:vAlign w:val="center"/>
                </w:tcPr>
                <w:p w14:paraId="1D4AA1CF">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ascii="Times New Roman" w:hAnsi="Times New Roman" w:eastAsia="宋体" w:cs="Times New Roman"/>
                      <w:color w:val="auto"/>
                      <w:kern w:val="18"/>
                      <w:sz w:val="21"/>
                      <w:szCs w:val="21"/>
                      <w:lang w:val="en-US" w:eastAsia="zh-CN" w:bidi="ar-SA"/>
                    </w:rPr>
                  </w:pPr>
                  <w:r>
                    <w:rPr>
                      <w:color w:val="auto"/>
                    </w:rPr>
                    <w:t>生活垃圾</w:t>
                  </w:r>
                </w:p>
              </w:tc>
              <w:tc>
                <w:tcPr>
                  <w:tcW w:w="409" w:type="pct"/>
                  <w:noWrap w:val="0"/>
                  <w:vAlign w:val="center"/>
                </w:tcPr>
                <w:p w14:paraId="33A23AE7">
                  <w:pPr>
                    <w:adjustRightInd w:val="0"/>
                    <w:snapToGrid w:val="0"/>
                    <w:jc w:val="center"/>
                    <w:rPr>
                      <w:color w:val="auto"/>
                      <w:szCs w:val="21"/>
                    </w:rPr>
                  </w:pPr>
                  <w:r>
                    <w:rPr>
                      <w:color w:val="auto"/>
                      <w:szCs w:val="21"/>
                    </w:rPr>
                    <w:t>生活垃圾</w:t>
                  </w:r>
                </w:p>
              </w:tc>
              <w:tc>
                <w:tcPr>
                  <w:tcW w:w="761" w:type="pct"/>
                  <w:vMerge w:val="continue"/>
                  <w:noWrap w:val="0"/>
                  <w:vAlign w:val="center"/>
                </w:tcPr>
                <w:p w14:paraId="65808417">
                  <w:pPr>
                    <w:adjustRightInd w:val="0"/>
                    <w:snapToGrid w:val="0"/>
                    <w:jc w:val="center"/>
                    <w:rPr>
                      <w:color w:val="auto"/>
                      <w:szCs w:val="21"/>
                    </w:rPr>
                  </w:pPr>
                </w:p>
              </w:tc>
              <w:tc>
                <w:tcPr>
                  <w:tcW w:w="390" w:type="pct"/>
                  <w:noWrap w:val="0"/>
                  <w:vAlign w:val="center"/>
                </w:tcPr>
                <w:p w14:paraId="663227D3">
                  <w:pPr>
                    <w:adjustRightInd w:val="0"/>
                    <w:snapToGrid w:val="0"/>
                    <w:jc w:val="center"/>
                    <w:rPr>
                      <w:color w:val="auto"/>
                      <w:szCs w:val="21"/>
                    </w:rPr>
                  </w:pPr>
                  <w:r>
                    <w:rPr>
                      <w:color w:val="auto"/>
                      <w:kern w:val="0"/>
                      <w:szCs w:val="21"/>
                    </w:rPr>
                    <w:t>—</w:t>
                  </w:r>
                </w:p>
              </w:tc>
              <w:tc>
                <w:tcPr>
                  <w:tcW w:w="473" w:type="pct"/>
                  <w:noWrap w:val="0"/>
                  <w:vAlign w:val="center"/>
                </w:tcPr>
                <w:p w14:paraId="256533DD">
                  <w:pPr>
                    <w:adjustRightInd w:val="0"/>
                    <w:snapToGrid w:val="0"/>
                    <w:ind w:right="-27" w:rightChars="-13"/>
                    <w:jc w:val="center"/>
                    <w:rPr>
                      <w:color w:val="auto"/>
                      <w:szCs w:val="21"/>
                    </w:rPr>
                  </w:pPr>
                  <w:r>
                    <w:rPr>
                      <w:color w:val="auto"/>
                      <w:kern w:val="0"/>
                      <w:szCs w:val="21"/>
                    </w:rPr>
                    <w:t>—</w:t>
                  </w:r>
                </w:p>
              </w:tc>
              <w:tc>
                <w:tcPr>
                  <w:tcW w:w="755" w:type="pct"/>
                  <w:noWrap w:val="0"/>
                  <w:vAlign w:val="center"/>
                </w:tcPr>
                <w:p w14:paraId="3992BB32">
                  <w:pPr>
                    <w:adjustRightInd w:val="0"/>
                    <w:snapToGrid w:val="0"/>
                    <w:ind w:right="-27" w:rightChars="-13"/>
                    <w:jc w:val="center"/>
                    <w:rPr>
                      <w:color w:val="auto"/>
                      <w:szCs w:val="21"/>
                    </w:rPr>
                  </w:pPr>
                  <w:r>
                    <w:rPr>
                      <w:color w:val="auto"/>
                      <w:kern w:val="0"/>
                      <w:szCs w:val="21"/>
                    </w:rPr>
                    <w:t>—</w:t>
                  </w:r>
                </w:p>
              </w:tc>
              <w:tc>
                <w:tcPr>
                  <w:tcW w:w="682" w:type="pct"/>
                  <w:noWrap w:val="0"/>
                  <w:vAlign w:val="center"/>
                </w:tcPr>
                <w:p w14:paraId="7EC9A5ED">
                  <w:pPr>
                    <w:adjustRightInd w:val="0"/>
                    <w:snapToGrid w:val="0"/>
                    <w:jc w:val="center"/>
                    <w:rPr>
                      <w:color w:val="auto"/>
                      <w:szCs w:val="21"/>
                    </w:rPr>
                  </w:pPr>
                  <w:r>
                    <w:rPr>
                      <w:color w:val="auto"/>
                      <w:szCs w:val="21"/>
                    </w:rPr>
                    <w:t>环卫清运</w:t>
                  </w:r>
                </w:p>
              </w:tc>
              <w:tc>
                <w:tcPr>
                  <w:tcW w:w="610" w:type="pct"/>
                  <w:shd w:val="clear" w:color="auto" w:fill="auto"/>
                  <w:noWrap w:val="0"/>
                  <w:vAlign w:val="center"/>
                </w:tcPr>
                <w:p w14:paraId="66C23376">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0.9</w:t>
                  </w:r>
                </w:p>
              </w:tc>
            </w:tr>
          </w:tbl>
          <w:p w14:paraId="761251C4">
            <w:pPr>
              <w:adjustRightInd w:val="0"/>
              <w:snapToGrid w:val="0"/>
              <w:spacing w:before="120" w:beforeLines="50"/>
              <w:jc w:val="center"/>
              <w:rPr>
                <w:b/>
                <w:color w:val="auto"/>
                <w:szCs w:val="21"/>
              </w:rPr>
            </w:pPr>
            <w:r>
              <w:rPr>
                <w:b/>
                <w:color w:val="auto"/>
                <w:szCs w:val="21"/>
              </w:rPr>
              <w:t>表4-</w:t>
            </w:r>
            <w:r>
              <w:rPr>
                <w:rFonts w:hint="eastAsia"/>
                <w:b/>
                <w:color w:val="auto"/>
                <w:szCs w:val="21"/>
                <w:lang w:val="en-US" w:eastAsia="zh-CN"/>
              </w:rPr>
              <w:t>26</w:t>
            </w:r>
            <w:r>
              <w:rPr>
                <w:b/>
                <w:color w:val="auto"/>
                <w:szCs w:val="21"/>
              </w:rPr>
              <w:t xml:space="preserve"> 本项目工程分析中危险废物汇总表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283"/>
              <w:gridCol w:w="835"/>
              <w:gridCol w:w="580"/>
              <w:gridCol w:w="1090"/>
              <w:gridCol w:w="580"/>
              <w:gridCol w:w="910"/>
              <w:gridCol w:w="340"/>
              <w:gridCol w:w="800"/>
              <w:gridCol w:w="770"/>
              <w:gridCol w:w="640"/>
              <w:gridCol w:w="650"/>
              <w:gridCol w:w="902"/>
            </w:tblGrid>
            <w:tr w14:paraId="3EF82F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68" w:type="pct"/>
                  <w:noWrap w:val="0"/>
                  <w:tcMar>
                    <w:top w:w="0" w:type="dxa"/>
                    <w:left w:w="0" w:type="dxa"/>
                    <w:bottom w:w="0" w:type="dxa"/>
                    <w:right w:w="0" w:type="dxa"/>
                  </w:tcMar>
                  <w:vAlign w:val="center"/>
                </w:tcPr>
                <w:p w14:paraId="615D2377">
                  <w:pPr>
                    <w:pStyle w:val="69"/>
                    <w:autoSpaceDE/>
                    <w:autoSpaceDN/>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序号</w:t>
                  </w:r>
                </w:p>
              </w:tc>
              <w:tc>
                <w:tcPr>
                  <w:tcW w:w="498" w:type="pct"/>
                  <w:noWrap w:val="0"/>
                  <w:tcMar>
                    <w:top w:w="0" w:type="dxa"/>
                    <w:left w:w="0" w:type="dxa"/>
                    <w:bottom w:w="0" w:type="dxa"/>
                    <w:right w:w="0" w:type="dxa"/>
                  </w:tcMar>
                  <w:vAlign w:val="center"/>
                </w:tcPr>
                <w:p w14:paraId="6DE223AF">
                  <w:pPr>
                    <w:pStyle w:val="69"/>
                    <w:autoSpaceDE/>
                    <w:autoSpaceDN/>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危险废物名称</w:t>
                  </w:r>
                </w:p>
              </w:tc>
              <w:tc>
                <w:tcPr>
                  <w:tcW w:w="346" w:type="pct"/>
                  <w:noWrap w:val="0"/>
                  <w:tcMar>
                    <w:top w:w="0" w:type="dxa"/>
                    <w:left w:w="0" w:type="dxa"/>
                    <w:bottom w:w="0" w:type="dxa"/>
                    <w:right w:w="0" w:type="dxa"/>
                  </w:tcMar>
                  <w:vAlign w:val="center"/>
                </w:tcPr>
                <w:p w14:paraId="40C72E27">
                  <w:pPr>
                    <w:pStyle w:val="69"/>
                    <w:autoSpaceDE/>
                    <w:autoSpaceDN/>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废物类别</w:t>
                  </w:r>
                </w:p>
              </w:tc>
              <w:tc>
                <w:tcPr>
                  <w:tcW w:w="650" w:type="pct"/>
                  <w:noWrap w:val="0"/>
                  <w:tcMar>
                    <w:top w:w="0" w:type="dxa"/>
                    <w:left w:w="0" w:type="dxa"/>
                    <w:bottom w:w="0" w:type="dxa"/>
                    <w:right w:w="0" w:type="dxa"/>
                  </w:tcMar>
                  <w:vAlign w:val="center"/>
                </w:tcPr>
                <w:p w14:paraId="184D25F3">
                  <w:pPr>
                    <w:pStyle w:val="69"/>
                    <w:autoSpaceDE/>
                    <w:autoSpaceDN/>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废物代码</w:t>
                  </w:r>
                </w:p>
              </w:tc>
              <w:tc>
                <w:tcPr>
                  <w:tcW w:w="346" w:type="pct"/>
                  <w:noWrap w:val="0"/>
                  <w:tcMar>
                    <w:top w:w="0" w:type="dxa"/>
                    <w:left w:w="0" w:type="dxa"/>
                    <w:bottom w:w="0" w:type="dxa"/>
                    <w:right w:w="0" w:type="dxa"/>
                  </w:tcMar>
                  <w:vAlign w:val="center"/>
                </w:tcPr>
                <w:p w14:paraId="3FB3875A">
                  <w:pPr>
                    <w:pStyle w:val="69"/>
                    <w:autoSpaceDE/>
                    <w:autoSpaceDN/>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产生量t/a</w:t>
                  </w:r>
                </w:p>
              </w:tc>
              <w:tc>
                <w:tcPr>
                  <w:tcW w:w="542" w:type="pct"/>
                  <w:noWrap w:val="0"/>
                  <w:tcMar>
                    <w:top w:w="0" w:type="dxa"/>
                    <w:left w:w="0" w:type="dxa"/>
                    <w:bottom w:w="0" w:type="dxa"/>
                    <w:right w:w="0" w:type="dxa"/>
                  </w:tcMar>
                  <w:vAlign w:val="center"/>
                </w:tcPr>
                <w:p w14:paraId="4D62F6CB">
                  <w:pPr>
                    <w:pStyle w:val="69"/>
                    <w:autoSpaceDE/>
                    <w:autoSpaceDN/>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产生工序及装置</w:t>
                  </w:r>
                </w:p>
              </w:tc>
              <w:tc>
                <w:tcPr>
                  <w:tcW w:w="202" w:type="pct"/>
                  <w:noWrap w:val="0"/>
                  <w:tcMar>
                    <w:top w:w="0" w:type="dxa"/>
                    <w:left w:w="0" w:type="dxa"/>
                    <w:bottom w:w="0" w:type="dxa"/>
                    <w:right w:w="0" w:type="dxa"/>
                  </w:tcMar>
                  <w:vAlign w:val="center"/>
                </w:tcPr>
                <w:p w14:paraId="1487AD43">
                  <w:pPr>
                    <w:pStyle w:val="69"/>
                    <w:autoSpaceDE/>
                    <w:autoSpaceDN/>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形态</w:t>
                  </w:r>
                </w:p>
              </w:tc>
              <w:tc>
                <w:tcPr>
                  <w:tcW w:w="477" w:type="pct"/>
                  <w:noWrap w:val="0"/>
                  <w:tcMar>
                    <w:top w:w="0" w:type="dxa"/>
                    <w:left w:w="0" w:type="dxa"/>
                    <w:bottom w:w="0" w:type="dxa"/>
                    <w:right w:w="0" w:type="dxa"/>
                  </w:tcMar>
                  <w:vAlign w:val="center"/>
                </w:tcPr>
                <w:p w14:paraId="4561473C">
                  <w:pPr>
                    <w:pStyle w:val="69"/>
                    <w:autoSpaceDE/>
                    <w:autoSpaceDN/>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主要</w:t>
                  </w:r>
                </w:p>
                <w:p w14:paraId="4E52D240">
                  <w:pPr>
                    <w:pStyle w:val="69"/>
                    <w:autoSpaceDE/>
                    <w:autoSpaceDN/>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成分</w:t>
                  </w:r>
                </w:p>
              </w:tc>
              <w:tc>
                <w:tcPr>
                  <w:tcW w:w="459" w:type="pct"/>
                  <w:noWrap w:val="0"/>
                  <w:tcMar>
                    <w:top w:w="0" w:type="dxa"/>
                    <w:left w:w="0" w:type="dxa"/>
                    <w:bottom w:w="0" w:type="dxa"/>
                    <w:right w:w="0" w:type="dxa"/>
                  </w:tcMar>
                  <w:vAlign w:val="center"/>
                </w:tcPr>
                <w:p w14:paraId="2004CC97">
                  <w:pPr>
                    <w:pStyle w:val="69"/>
                    <w:autoSpaceDE/>
                    <w:autoSpaceDN/>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rPr>
                    <w:t>有害</w:t>
                  </w:r>
                </w:p>
                <w:p w14:paraId="0CFE4B56">
                  <w:pPr>
                    <w:pStyle w:val="69"/>
                    <w:autoSpaceDE/>
                    <w:autoSpaceDN/>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rPr>
                    <w:t>成分</w:t>
                  </w:r>
                </w:p>
              </w:tc>
              <w:tc>
                <w:tcPr>
                  <w:tcW w:w="381" w:type="pct"/>
                  <w:noWrap w:val="0"/>
                  <w:tcMar>
                    <w:top w:w="0" w:type="dxa"/>
                    <w:left w:w="0" w:type="dxa"/>
                    <w:bottom w:w="0" w:type="dxa"/>
                    <w:right w:w="0" w:type="dxa"/>
                  </w:tcMar>
                  <w:vAlign w:val="center"/>
                </w:tcPr>
                <w:p w14:paraId="2B80EA95">
                  <w:pPr>
                    <w:pStyle w:val="69"/>
                    <w:autoSpaceDE/>
                    <w:autoSpaceDN/>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rPr>
                    <w:t>产废</w:t>
                  </w:r>
                </w:p>
                <w:p w14:paraId="013631A3">
                  <w:pPr>
                    <w:pStyle w:val="69"/>
                    <w:autoSpaceDE/>
                    <w:autoSpaceDN/>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rPr>
                    <w:t>周期</w:t>
                  </w:r>
                </w:p>
              </w:tc>
              <w:tc>
                <w:tcPr>
                  <w:tcW w:w="387" w:type="pct"/>
                  <w:noWrap w:val="0"/>
                  <w:tcMar>
                    <w:top w:w="0" w:type="dxa"/>
                    <w:left w:w="0" w:type="dxa"/>
                    <w:bottom w:w="0" w:type="dxa"/>
                    <w:right w:w="0" w:type="dxa"/>
                  </w:tcMar>
                  <w:vAlign w:val="center"/>
                </w:tcPr>
                <w:p w14:paraId="5244837B">
                  <w:pPr>
                    <w:pStyle w:val="69"/>
                    <w:autoSpaceDE/>
                    <w:autoSpaceDN/>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危险</w:t>
                  </w:r>
                </w:p>
                <w:p w14:paraId="020B4287">
                  <w:pPr>
                    <w:pStyle w:val="69"/>
                    <w:autoSpaceDE/>
                    <w:autoSpaceDN/>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特性</w:t>
                  </w:r>
                </w:p>
              </w:tc>
              <w:tc>
                <w:tcPr>
                  <w:tcW w:w="538" w:type="pct"/>
                  <w:noWrap w:val="0"/>
                  <w:tcMar>
                    <w:top w:w="0" w:type="dxa"/>
                    <w:left w:w="0" w:type="dxa"/>
                    <w:bottom w:w="0" w:type="dxa"/>
                    <w:right w:w="0" w:type="dxa"/>
                  </w:tcMar>
                  <w:vAlign w:val="center"/>
                </w:tcPr>
                <w:p w14:paraId="36C9E723">
                  <w:pPr>
                    <w:pStyle w:val="69"/>
                    <w:autoSpaceDE/>
                    <w:autoSpaceDN/>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污染防治措施</w:t>
                  </w:r>
                </w:p>
              </w:tc>
            </w:tr>
            <w:tr w14:paraId="566B09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8" w:type="pct"/>
                  <w:noWrap w:val="0"/>
                  <w:tcMar>
                    <w:top w:w="0" w:type="dxa"/>
                    <w:left w:w="0" w:type="dxa"/>
                    <w:bottom w:w="0" w:type="dxa"/>
                    <w:right w:w="0" w:type="dxa"/>
                  </w:tcMar>
                  <w:vAlign w:val="center"/>
                </w:tcPr>
                <w:p w14:paraId="334D9474">
                  <w:pPr>
                    <w:pStyle w:val="69"/>
                    <w:autoSpaceDE/>
                    <w:autoSpaceDN/>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498" w:type="pct"/>
                  <w:shd w:val="clear" w:color="auto" w:fill="auto"/>
                  <w:noWrap w:val="0"/>
                  <w:tcMar>
                    <w:top w:w="0" w:type="dxa"/>
                    <w:left w:w="0" w:type="dxa"/>
                    <w:bottom w:w="0" w:type="dxa"/>
                    <w:right w:w="0" w:type="dxa"/>
                  </w:tcMar>
                  <w:vAlign w:val="center"/>
                </w:tcPr>
                <w:p w14:paraId="0EC4A2B9">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喷淋塔废液</w:t>
                  </w:r>
                </w:p>
              </w:tc>
              <w:tc>
                <w:tcPr>
                  <w:tcW w:w="346" w:type="pct"/>
                  <w:shd w:val="clear" w:color="auto" w:fill="auto"/>
                  <w:noWrap w:val="0"/>
                  <w:tcMar>
                    <w:top w:w="0" w:type="dxa"/>
                    <w:left w:w="0" w:type="dxa"/>
                    <w:bottom w:w="0" w:type="dxa"/>
                    <w:right w:w="0" w:type="dxa"/>
                  </w:tcMar>
                  <w:vAlign w:val="center"/>
                </w:tcPr>
                <w:p w14:paraId="063C1BD2">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HW09</w:t>
                  </w:r>
                </w:p>
              </w:tc>
              <w:tc>
                <w:tcPr>
                  <w:tcW w:w="650" w:type="pct"/>
                  <w:shd w:val="clear" w:color="auto" w:fill="auto"/>
                  <w:noWrap w:val="0"/>
                  <w:tcMar>
                    <w:top w:w="0" w:type="dxa"/>
                    <w:left w:w="0" w:type="dxa"/>
                    <w:bottom w:w="0" w:type="dxa"/>
                    <w:right w:w="0" w:type="dxa"/>
                  </w:tcMar>
                  <w:vAlign w:val="center"/>
                </w:tcPr>
                <w:p w14:paraId="539DE3AE">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900-007-09</w:t>
                  </w:r>
                </w:p>
              </w:tc>
              <w:tc>
                <w:tcPr>
                  <w:tcW w:w="346" w:type="pct"/>
                  <w:shd w:val="clear" w:color="auto" w:fill="auto"/>
                  <w:noWrap w:val="0"/>
                  <w:tcMar>
                    <w:top w:w="0" w:type="dxa"/>
                    <w:left w:w="0" w:type="dxa"/>
                    <w:bottom w:w="0" w:type="dxa"/>
                    <w:right w:w="0" w:type="dxa"/>
                  </w:tcMar>
                  <w:vAlign w:val="center"/>
                </w:tcPr>
                <w:p w14:paraId="1B3E6B2A">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1</w:t>
                  </w:r>
                </w:p>
              </w:tc>
              <w:tc>
                <w:tcPr>
                  <w:tcW w:w="542" w:type="pct"/>
                  <w:shd w:val="clear" w:color="auto" w:fill="auto"/>
                  <w:noWrap w:val="0"/>
                  <w:tcMar>
                    <w:top w:w="0" w:type="dxa"/>
                    <w:left w:w="0" w:type="dxa"/>
                    <w:bottom w:w="0" w:type="dxa"/>
                    <w:right w:w="0" w:type="dxa"/>
                  </w:tcMar>
                  <w:vAlign w:val="center"/>
                </w:tcPr>
                <w:p w14:paraId="65081479">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废气处理</w:t>
                  </w:r>
                </w:p>
              </w:tc>
              <w:tc>
                <w:tcPr>
                  <w:tcW w:w="202" w:type="pct"/>
                  <w:shd w:val="clear" w:color="auto" w:fill="auto"/>
                  <w:noWrap w:val="0"/>
                  <w:tcMar>
                    <w:top w:w="0" w:type="dxa"/>
                    <w:left w:w="0" w:type="dxa"/>
                    <w:bottom w:w="0" w:type="dxa"/>
                    <w:right w:w="0" w:type="dxa"/>
                  </w:tcMar>
                  <w:vAlign w:val="center"/>
                </w:tcPr>
                <w:p w14:paraId="341F4BB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液</w:t>
                  </w:r>
                </w:p>
              </w:tc>
              <w:tc>
                <w:tcPr>
                  <w:tcW w:w="477" w:type="pct"/>
                  <w:shd w:val="clear" w:color="auto" w:fill="auto"/>
                  <w:noWrap w:val="0"/>
                  <w:tcMar>
                    <w:top w:w="0" w:type="dxa"/>
                    <w:left w:w="0" w:type="dxa"/>
                    <w:bottom w:w="0" w:type="dxa"/>
                    <w:right w:w="0" w:type="dxa"/>
                  </w:tcMar>
                  <w:vAlign w:val="center"/>
                </w:tcPr>
                <w:p w14:paraId="0D87C258">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kern w:val="18"/>
                      <w:sz w:val="21"/>
                      <w:szCs w:val="21"/>
                      <w:lang w:val="en-US" w:eastAsia="zh-CN" w:bidi="ar-SA"/>
                    </w:rPr>
                    <w:t>水油烃混合物</w:t>
                  </w:r>
                </w:p>
              </w:tc>
              <w:tc>
                <w:tcPr>
                  <w:tcW w:w="459" w:type="pct"/>
                  <w:shd w:val="clear" w:color="auto" w:fill="auto"/>
                  <w:noWrap w:val="0"/>
                  <w:tcMar>
                    <w:top w:w="0" w:type="dxa"/>
                    <w:left w:w="0" w:type="dxa"/>
                    <w:bottom w:w="0" w:type="dxa"/>
                    <w:right w:w="0" w:type="dxa"/>
                  </w:tcMar>
                  <w:vAlign w:val="center"/>
                </w:tcPr>
                <w:p w14:paraId="77276DCD">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kern w:val="18"/>
                      <w:sz w:val="21"/>
                      <w:szCs w:val="21"/>
                      <w:lang w:val="en-US" w:eastAsia="zh-CN" w:bidi="ar-SA"/>
                    </w:rPr>
                    <w:t>水油烃混合物</w:t>
                  </w:r>
                </w:p>
              </w:tc>
              <w:tc>
                <w:tcPr>
                  <w:tcW w:w="381" w:type="pct"/>
                  <w:noWrap w:val="0"/>
                  <w:tcMar>
                    <w:top w:w="0" w:type="dxa"/>
                    <w:left w:w="0" w:type="dxa"/>
                    <w:bottom w:w="0" w:type="dxa"/>
                    <w:right w:w="0" w:type="dxa"/>
                  </w:tcMar>
                  <w:vAlign w:val="center"/>
                </w:tcPr>
                <w:p w14:paraId="4B40F150">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rPr>
                    <w:t>1</w:t>
                  </w:r>
                  <w:r>
                    <w:rPr>
                      <w:rFonts w:hint="default" w:ascii="Times New Roman" w:hAnsi="Times New Roman" w:eastAsia="宋体" w:cs="Times New Roman"/>
                      <w:color w:val="auto"/>
                      <w:kern w:val="2"/>
                      <w:sz w:val="21"/>
                      <w:szCs w:val="21"/>
                      <w:lang w:val="en-US" w:eastAsia="zh-CN"/>
                    </w:rPr>
                    <w:t>年</w:t>
                  </w:r>
                </w:p>
              </w:tc>
              <w:tc>
                <w:tcPr>
                  <w:tcW w:w="387" w:type="pct"/>
                  <w:shd w:val="clear" w:color="auto" w:fill="auto"/>
                  <w:noWrap w:val="0"/>
                  <w:tcMar>
                    <w:top w:w="0" w:type="dxa"/>
                    <w:left w:w="0" w:type="dxa"/>
                    <w:bottom w:w="0" w:type="dxa"/>
                    <w:right w:w="0" w:type="dxa"/>
                  </w:tcMar>
                  <w:vAlign w:val="center"/>
                </w:tcPr>
                <w:p w14:paraId="32E1BC31">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T</w:t>
                  </w:r>
                </w:p>
              </w:tc>
              <w:tc>
                <w:tcPr>
                  <w:tcW w:w="538" w:type="pct"/>
                  <w:vMerge w:val="restart"/>
                  <w:noWrap w:val="0"/>
                  <w:tcMar>
                    <w:top w:w="0" w:type="dxa"/>
                    <w:left w:w="0" w:type="dxa"/>
                    <w:bottom w:w="0" w:type="dxa"/>
                    <w:right w:w="0" w:type="dxa"/>
                  </w:tcMar>
                  <w:vAlign w:val="center"/>
                </w:tcPr>
                <w:p w14:paraId="2D00FED7">
                  <w:pPr>
                    <w:pStyle w:val="69"/>
                    <w:autoSpaceDE/>
                    <w:autoSpaceDN/>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贮存于危废仓库，委托有资质单位处置</w:t>
                  </w:r>
                </w:p>
              </w:tc>
            </w:tr>
            <w:tr w14:paraId="4A294B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8" w:type="pct"/>
                  <w:noWrap w:val="0"/>
                  <w:tcMar>
                    <w:top w:w="0" w:type="dxa"/>
                    <w:left w:w="0" w:type="dxa"/>
                    <w:bottom w:w="0" w:type="dxa"/>
                    <w:right w:w="0" w:type="dxa"/>
                  </w:tcMar>
                  <w:vAlign w:val="center"/>
                </w:tcPr>
                <w:p w14:paraId="6079171F">
                  <w:pPr>
                    <w:pStyle w:val="69"/>
                    <w:autoSpaceDE/>
                    <w:autoSpaceDN/>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498" w:type="pct"/>
                  <w:shd w:val="clear" w:color="auto" w:fill="auto"/>
                  <w:noWrap w:val="0"/>
                  <w:tcMar>
                    <w:top w:w="0" w:type="dxa"/>
                    <w:left w:w="0" w:type="dxa"/>
                    <w:bottom w:w="0" w:type="dxa"/>
                    <w:right w:w="0" w:type="dxa"/>
                  </w:tcMar>
                  <w:vAlign w:val="center"/>
                </w:tcPr>
                <w:p w14:paraId="2EE1C7C6">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b w:val="0"/>
                      <w:bCs w:val="0"/>
                      <w:color w:val="auto"/>
                      <w:kern w:val="2"/>
                      <w:sz w:val="21"/>
                      <w:szCs w:val="21"/>
                      <w:lang w:val="en-US" w:eastAsia="zh-CN" w:bidi="ar-SA"/>
                    </w:rPr>
                  </w:pPr>
                  <w:r>
                    <w:rPr>
                      <w:rFonts w:hint="eastAsia"/>
                      <w:b w:val="0"/>
                      <w:bCs w:val="0"/>
                      <w:color w:val="auto"/>
                      <w:szCs w:val="21"/>
                      <w:lang w:val="en-US" w:eastAsia="zh-CN"/>
                    </w:rPr>
                    <w:t>废润滑油</w:t>
                  </w:r>
                </w:p>
              </w:tc>
              <w:tc>
                <w:tcPr>
                  <w:tcW w:w="346" w:type="pct"/>
                  <w:shd w:val="clear" w:color="auto" w:fill="auto"/>
                  <w:noWrap w:val="0"/>
                  <w:tcMar>
                    <w:top w:w="0" w:type="dxa"/>
                    <w:left w:w="0" w:type="dxa"/>
                    <w:bottom w:w="0" w:type="dxa"/>
                    <w:right w:w="0" w:type="dxa"/>
                  </w:tcMar>
                  <w:vAlign w:val="center"/>
                </w:tcPr>
                <w:p w14:paraId="23EDAE1F">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HW08</w:t>
                  </w:r>
                </w:p>
              </w:tc>
              <w:tc>
                <w:tcPr>
                  <w:tcW w:w="650" w:type="pct"/>
                  <w:shd w:val="clear" w:color="auto" w:fill="auto"/>
                  <w:noWrap w:val="0"/>
                  <w:tcMar>
                    <w:top w:w="0" w:type="dxa"/>
                    <w:left w:w="0" w:type="dxa"/>
                    <w:bottom w:w="0" w:type="dxa"/>
                    <w:right w:w="0" w:type="dxa"/>
                  </w:tcMar>
                  <w:vAlign w:val="center"/>
                </w:tcPr>
                <w:p w14:paraId="57EDCE5A">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900-217-08</w:t>
                  </w:r>
                </w:p>
              </w:tc>
              <w:tc>
                <w:tcPr>
                  <w:tcW w:w="346" w:type="pct"/>
                  <w:shd w:val="clear" w:color="auto" w:fill="auto"/>
                  <w:noWrap w:val="0"/>
                  <w:tcMar>
                    <w:top w:w="0" w:type="dxa"/>
                    <w:left w:w="0" w:type="dxa"/>
                    <w:bottom w:w="0" w:type="dxa"/>
                    <w:right w:w="0" w:type="dxa"/>
                  </w:tcMar>
                  <w:vAlign w:val="center"/>
                </w:tcPr>
                <w:p w14:paraId="254D4FE0">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0.4</w:t>
                  </w:r>
                </w:p>
              </w:tc>
              <w:tc>
                <w:tcPr>
                  <w:tcW w:w="542" w:type="pct"/>
                  <w:shd w:val="clear" w:color="auto" w:fill="auto"/>
                  <w:noWrap w:val="0"/>
                  <w:tcMar>
                    <w:top w:w="0" w:type="dxa"/>
                    <w:left w:w="0" w:type="dxa"/>
                    <w:bottom w:w="0" w:type="dxa"/>
                    <w:right w:w="0" w:type="dxa"/>
                  </w:tcMar>
                  <w:vAlign w:val="center"/>
                </w:tcPr>
                <w:p w14:paraId="3EBE888C">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设备保养</w:t>
                  </w:r>
                </w:p>
              </w:tc>
              <w:tc>
                <w:tcPr>
                  <w:tcW w:w="202" w:type="pct"/>
                  <w:shd w:val="clear" w:color="auto" w:fill="auto"/>
                  <w:noWrap w:val="0"/>
                  <w:tcMar>
                    <w:top w:w="0" w:type="dxa"/>
                    <w:left w:w="0" w:type="dxa"/>
                    <w:bottom w:w="0" w:type="dxa"/>
                    <w:right w:w="0" w:type="dxa"/>
                  </w:tcMar>
                  <w:vAlign w:val="center"/>
                </w:tcPr>
                <w:p w14:paraId="573A6702">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液</w:t>
                  </w:r>
                </w:p>
              </w:tc>
              <w:tc>
                <w:tcPr>
                  <w:tcW w:w="477" w:type="pct"/>
                  <w:shd w:val="clear" w:color="auto" w:fill="auto"/>
                  <w:noWrap w:val="0"/>
                  <w:tcMar>
                    <w:top w:w="0" w:type="dxa"/>
                    <w:left w:w="0" w:type="dxa"/>
                    <w:bottom w:w="0" w:type="dxa"/>
                    <w:right w:w="0" w:type="dxa"/>
                  </w:tcMar>
                  <w:vAlign w:val="center"/>
                </w:tcPr>
                <w:p w14:paraId="723D9F0F">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矿物油</w:t>
                  </w:r>
                </w:p>
              </w:tc>
              <w:tc>
                <w:tcPr>
                  <w:tcW w:w="459" w:type="pct"/>
                  <w:shd w:val="clear" w:color="auto" w:fill="auto"/>
                  <w:noWrap w:val="0"/>
                  <w:tcMar>
                    <w:top w:w="0" w:type="dxa"/>
                    <w:left w:w="0" w:type="dxa"/>
                    <w:bottom w:w="0" w:type="dxa"/>
                    <w:right w:w="0" w:type="dxa"/>
                  </w:tcMar>
                  <w:vAlign w:val="center"/>
                </w:tcPr>
                <w:p w14:paraId="029F452A">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矿物油</w:t>
                  </w:r>
                </w:p>
              </w:tc>
              <w:tc>
                <w:tcPr>
                  <w:tcW w:w="381" w:type="pct"/>
                  <w:noWrap w:val="0"/>
                  <w:tcMar>
                    <w:top w:w="0" w:type="dxa"/>
                    <w:left w:w="0" w:type="dxa"/>
                    <w:bottom w:w="0" w:type="dxa"/>
                    <w:right w:w="0" w:type="dxa"/>
                  </w:tcMar>
                  <w:vAlign w:val="center"/>
                </w:tcPr>
                <w:p w14:paraId="0BCB976C">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rPr>
                    <w:t>1</w:t>
                  </w:r>
                  <w:r>
                    <w:rPr>
                      <w:rFonts w:hint="default" w:ascii="Times New Roman" w:hAnsi="Times New Roman" w:eastAsia="宋体" w:cs="Times New Roman"/>
                      <w:color w:val="auto"/>
                      <w:kern w:val="2"/>
                      <w:sz w:val="21"/>
                      <w:szCs w:val="21"/>
                      <w:lang w:val="en-US" w:eastAsia="zh-CN"/>
                    </w:rPr>
                    <w:t>年</w:t>
                  </w:r>
                </w:p>
              </w:tc>
              <w:tc>
                <w:tcPr>
                  <w:tcW w:w="387" w:type="pct"/>
                  <w:shd w:val="clear" w:color="auto" w:fill="auto"/>
                  <w:noWrap w:val="0"/>
                  <w:tcMar>
                    <w:top w:w="0" w:type="dxa"/>
                    <w:left w:w="0" w:type="dxa"/>
                    <w:bottom w:w="0" w:type="dxa"/>
                    <w:right w:w="0" w:type="dxa"/>
                  </w:tcMar>
                  <w:vAlign w:val="center"/>
                </w:tcPr>
                <w:p w14:paraId="3EC14870">
                  <w:pPr>
                    <w:widowControl/>
                    <w:adjustRightInd w:val="0"/>
                    <w:snapToGrid w:val="0"/>
                    <w:ind w:left="-105" w:leftChars="-50" w:right="-105" w:rightChars="-5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rPr>
                    <w:t>T，I</w:t>
                  </w:r>
                </w:p>
              </w:tc>
              <w:tc>
                <w:tcPr>
                  <w:tcW w:w="538" w:type="pct"/>
                  <w:vMerge w:val="continue"/>
                  <w:noWrap w:val="0"/>
                  <w:tcMar>
                    <w:top w:w="0" w:type="dxa"/>
                    <w:left w:w="0" w:type="dxa"/>
                    <w:bottom w:w="0" w:type="dxa"/>
                    <w:right w:w="0" w:type="dxa"/>
                  </w:tcMar>
                  <w:vAlign w:val="center"/>
                </w:tcPr>
                <w:p w14:paraId="742EA1F8">
                  <w:pPr>
                    <w:pStyle w:val="69"/>
                    <w:autoSpaceDE/>
                    <w:autoSpaceDN/>
                    <w:jc w:val="center"/>
                    <w:rPr>
                      <w:rFonts w:hint="default" w:ascii="Times New Roman" w:hAnsi="Times New Roman" w:eastAsia="宋体" w:cs="Times New Roman"/>
                      <w:color w:val="auto"/>
                      <w:sz w:val="21"/>
                      <w:szCs w:val="21"/>
                    </w:rPr>
                  </w:pPr>
                </w:p>
              </w:tc>
            </w:tr>
            <w:tr w14:paraId="717208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8" w:type="pct"/>
                  <w:noWrap w:val="0"/>
                  <w:tcMar>
                    <w:top w:w="0" w:type="dxa"/>
                    <w:left w:w="0" w:type="dxa"/>
                    <w:bottom w:w="0" w:type="dxa"/>
                    <w:right w:w="0" w:type="dxa"/>
                  </w:tcMar>
                  <w:vAlign w:val="center"/>
                </w:tcPr>
                <w:p w14:paraId="55A75954">
                  <w:pPr>
                    <w:pStyle w:val="69"/>
                    <w:autoSpaceDE/>
                    <w:autoSpaceDN/>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498" w:type="pct"/>
                  <w:shd w:val="clear" w:color="auto" w:fill="auto"/>
                  <w:noWrap w:val="0"/>
                  <w:tcMar>
                    <w:top w:w="0" w:type="dxa"/>
                    <w:left w:w="0" w:type="dxa"/>
                    <w:bottom w:w="0" w:type="dxa"/>
                    <w:right w:w="0" w:type="dxa"/>
                  </w:tcMar>
                  <w:vAlign w:val="center"/>
                </w:tcPr>
                <w:p w14:paraId="74DE4214">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废油桶</w:t>
                  </w:r>
                </w:p>
              </w:tc>
              <w:tc>
                <w:tcPr>
                  <w:tcW w:w="346" w:type="pct"/>
                  <w:shd w:val="clear" w:color="auto" w:fill="auto"/>
                  <w:noWrap w:val="0"/>
                  <w:tcMar>
                    <w:top w:w="0" w:type="dxa"/>
                    <w:left w:w="0" w:type="dxa"/>
                    <w:bottom w:w="0" w:type="dxa"/>
                    <w:right w:w="0" w:type="dxa"/>
                  </w:tcMar>
                  <w:vAlign w:val="center"/>
                </w:tcPr>
                <w:p w14:paraId="7E248828">
                  <w:pPr>
                    <w:jc w:val="center"/>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HW08</w:t>
                  </w:r>
                </w:p>
              </w:tc>
              <w:tc>
                <w:tcPr>
                  <w:tcW w:w="650" w:type="pct"/>
                  <w:shd w:val="clear" w:color="auto" w:fill="auto"/>
                  <w:noWrap w:val="0"/>
                  <w:tcMar>
                    <w:top w:w="0" w:type="dxa"/>
                    <w:left w:w="0" w:type="dxa"/>
                    <w:bottom w:w="0" w:type="dxa"/>
                    <w:right w:w="0" w:type="dxa"/>
                  </w:tcMar>
                  <w:vAlign w:val="center"/>
                </w:tcPr>
                <w:p w14:paraId="58867507">
                  <w:pPr>
                    <w:jc w:val="center"/>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900-249-08</w:t>
                  </w:r>
                </w:p>
              </w:tc>
              <w:tc>
                <w:tcPr>
                  <w:tcW w:w="346" w:type="pct"/>
                  <w:shd w:val="clear" w:color="auto" w:fill="auto"/>
                  <w:noWrap w:val="0"/>
                  <w:tcMar>
                    <w:top w:w="0" w:type="dxa"/>
                    <w:left w:w="0" w:type="dxa"/>
                    <w:bottom w:w="0" w:type="dxa"/>
                    <w:right w:w="0" w:type="dxa"/>
                  </w:tcMar>
                  <w:vAlign w:val="center"/>
                </w:tcPr>
                <w:p w14:paraId="0C0153C0">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11.76</w:t>
                  </w:r>
                </w:p>
              </w:tc>
              <w:tc>
                <w:tcPr>
                  <w:tcW w:w="542" w:type="pct"/>
                  <w:shd w:val="clear" w:color="auto" w:fill="auto"/>
                  <w:noWrap w:val="0"/>
                  <w:tcMar>
                    <w:top w:w="0" w:type="dxa"/>
                    <w:left w:w="0" w:type="dxa"/>
                    <w:bottom w:w="0" w:type="dxa"/>
                    <w:right w:w="0" w:type="dxa"/>
                  </w:tcMar>
                  <w:vAlign w:val="center"/>
                </w:tcPr>
                <w:p w14:paraId="6FB7F7C8">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原料包装</w:t>
                  </w:r>
                </w:p>
              </w:tc>
              <w:tc>
                <w:tcPr>
                  <w:tcW w:w="202" w:type="pct"/>
                  <w:shd w:val="clear" w:color="auto" w:fill="auto"/>
                  <w:noWrap w:val="0"/>
                  <w:tcMar>
                    <w:top w:w="0" w:type="dxa"/>
                    <w:left w:w="0" w:type="dxa"/>
                    <w:bottom w:w="0" w:type="dxa"/>
                    <w:right w:w="0" w:type="dxa"/>
                  </w:tcMar>
                  <w:vAlign w:val="center"/>
                </w:tcPr>
                <w:p w14:paraId="613225B7">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固</w:t>
                  </w:r>
                </w:p>
              </w:tc>
              <w:tc>
                <w:tcPr>
                  <w:tcW w:w="477" w:type="pct"/>
                  <w:shd w:val="clear" w:color="auto" w:fill="auto"/>
                  <w:noWrap w:val="0"/>
                  <w:tcMar>
                    <w:top w:w="0" w:type="dxa"/>
                    <w:left w:w="0" w:type="dxa"/>
                    <w:bottom w:w="0" w:type="dxa"/>
                    <w:right w:w="0" w:type="dxa"/>
                  </w:tcMar>
                  <w:vAlign w:val="center"/>
                </w:tcPr>
                <w:p w14:paraId="2E1DE0C1">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桶、矿物油</w:t>
                  </w:r>
                </w:p>
              </w:tc>
              <w:tc>
                <w:tcPr>
                  <w:tcW w:w="459" w:type="pct"/>
                  <w:shd w:val="clear" w:color="auto" w:fill="auto"/>
                  <w:noWrap w:val="0"/>
                  <w:tcMar>
                    <w:top w:w="0" w:type="dxa"/>
                    <w:left w:w="0" w:type="dxa"/>
                    <w:bottom w:w="0" w:type="dxa"/>
                    <w:right w:w="0" w:type="dxa"/>
                  </w:tcMar>
                  <w:vAlign w:val="center"/>
                </w:tcPr>
                <w:p w14:paraId="32C6F809">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矿物油</w:t>
                  </w:r>
                </w:p>
              </w:tc>
              <w:tc>
                <w:tcPr>
                  <w:tcW w:w="381" w:type="pct"/>
                  <w:noWrap w:val="0"/>
                  <w:tcMar>
                    <w:top w:w="0" w:type="dxa"/>
                    <w:left w:w="0" w:type="dxa"/>
                    <w:bottom w:w="0" w:type="dxa"/>
                    <w:right w:w="0" w:type="dxa"/>
                  </w:tcMar>
                  <w:vAlign w:val="center"/>
                </w:tcPr>
                <w:p w14:paraId="46635DFD">
                  <w:pPr>
                    <w:jc w:val="center"/>
                    <w:rPr>
                      <w:rFonts w:hint="default" w:ascii="Times New Roman" w:hAnsi="Times New Roman" w:eastAsia="宋体" w:cs="Times New Roman"/>
                      <w:color w:val="auto"/>
                      <w:kern w:val="2"/>
                      <w:sz w:val="21"/>
                      <w:szCs w:val="21"/>
                      <w:lang w:val="en-US" w:eastAsia="zh-CN"/>
                    </w:rPr>
                  </w:pPr>
                  <w:r>
                    <w:rPr>
                      <w:rFonts w:hint="eastAsia" w:ascii="Times New Roman" w:hAnsi="Times New Roman" w:eastAsia="宋体" w:cs="Times New Roman"/>
                      <w:color w:val="auto"/>
                      <w:kern w:val="2"/>
                      <w:sz w:val="21"/>
                      <w:szCs w:val="21"/>
                      <w:lang w:val="en-US" w:eastAsia="zh-CN"/>
                    </w:rPr>
                    <w:t>1周</w:t>
                  </w:r>
                </w:p>
              </w:tc>
              <w:tc>
                <w:tcPr>
                  <w:tcW w:w="387" w:type="pct"/>
                  <w:shd w:val="clear" w:color="auto" w:fill="auto"/>
                  <w:noWrap w:val="0"/>
                  <w:tcMar>
                    <w:top w:w="0" w:type="dxa"/>
                    <w:left w:w="0" w:type="dxa"/>
                    <w:bottom w:w="0" w:type="dxa"/>
                    <w:right w:w="0" w:type="dxa"/>
                  </w:tcMar>
                  <w:vAlign w:val="center"/>
                </w:tcPr>
                <w:p w14:paraId="4C73BCA9">
                  <w:pPr>
                    <w:jc w:val="center"/>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T，I</w:t>
                  </w:r>
                </w:p>
              </w:tc>
              <w:tc>
                <w:tcPr>
                  <w:tcW w:w="538" w:type="pct"/>
                  <w:vMerge w:val="continue"/>
                  <w:noWrap w:val="0"/>
                  <w:tcMar>
                    <w:top w:w="0" w:type="dxa"/>
                    <w:left w:w="0" w:type="dxa"/>
                    <w:bottom w:w="0" w:type="dxa"/>
                    <w:right w:w="0" w:type="dxa"/>
                  </w:tcMar>
                  <w:vAlign w:val="center"/>
                </w:tcPr>
                <w:p w14:paraId="00FDF01D">
                  <w:pPr>
                    <w:pStyle w:val="69"/>
                    <w:autoSpaceDE/>
                    <w:autoSpaceDN/>
                    <w:jc w:val="center"/>
                    <w:rPr>
                      <w:rFonts w:hint="default" w:ascii="Times New Roman" w:hAnsi="Times New Roman" w:eastAsia="宋体" w:cs="Times New Roman"/>
                      <w:color w:val="auto"/>
                      <w:sz w:val="21"/>
                      <w:szCs w:val="21"/>
                    </w:rPr>
                  </w:pPr>
                </w:p>
              </w:tc>
            </w:tr>
            <w:tr w14:paraId="5C57D9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8" w:type="pct"/>
                  <w:noWrap w:val="0"/>
                  <w:tcMar>
                    <w:top w:w="0" w:type="dxa"/>
                    <w:left w:w="0" w:type="dxa"/>
                    <w:bottom w:w="0" w:type="dxa"/>
                    <w:right w:w="0" w:type="dxa"/>
                  </w:tcMar>
                  <w:vAlign w:val="center"/>
                </w:tcPr>
                <w:p w14:paraId="7025C300">
                  <w:pPr>
                    <w:pStyle w:val="69"/>
                    <w:autoSpaceDE/>
                    <w:autoSpaceDN/>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498" w:type="pct"/>
                  <w:shd w:val="clear" w:color="auto" w:fill="auto"/>
                  <w:noWrap w:val="0"/>
                  <w:tcMar>
                    <w:top w:w="0" w:type="dxa"/>
                    <w:left w:w="0" w:type="dxa"/>
                    <w:bottom w:w="0" w:type="dxa"/>
                    <w:right w:w="0" w:type="dxa"/>
                  </w:tcMar>
                  <w:vAlign w:val="center"/>
                </w:tcPr>
                <w:p w14:paraId="4A2964A3">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废包装桶</w:t>
                  </w:r>
                </w:p>
              </w:tc>
              <w:tc>
                <w:tcPr>
                  <w:tcW w:w="346" w:type="pct"/>
                  <w:shd w:val="clear" w:color="auto" w:fill="auto"/>
                  <w:noWrap w:val="0"/>
                  <w:tcMar>
                    <w:top w:w="0" w:type="dxa"/>
                    <w:left w:w="0" w:type="dxa"/>
                    <w:bottom w:w="0" w:type="dxa"/>
                    <w:right w:w="0" w:type="dxa"/>
                  </w:tcMar>
                  <w:vAlign w:val="center"/>
                </w:tcPr>
                <w:p w14:paraId="2F70ED24">
                  <w:pPr>
                    <w:jc w:val="center"/>
                    <w:rPr>
                      <w:rFonts w:hint="default" w:ascii="Times New Roman" w:hAnsi="Times New Roman" w:eastAsia="宋体" w:cs="Times New Roman"/>
                      <w:color w:val="auto"/>
                      <w:kern w:val="2"/>
                      <w:sz w:val="21"/>
                      <w:szCs w:val="21"/>
                      <w:lang w:val="en-US" w:eastAsia="zh-CN" w:bidi="ar-SA"/>
                    </w:rPr>
                  </w:pPr>
                  <w:r>
                    <w:rPr>
                      <w:color w:val="auto"/>
                      <w:szCs w:val="21"/>
                    </w:rPr>
                    <w:t>HW49</w:t>
                  </w:r>
                </w:p>
              </w:tc>
              <w:tc>
                <w:tcPr>
                  <w:tcW w:w="650" w:type="pct"/>
                  <w:shd w:val="clear" w:color="auto" w:fill="auto"/>
                  <w:noWrap w:val="0"/>
                  <w:tcMar>
                    <w:top w:w="0" w:type="dxa"/>
                    <w:left w:w="0" w:type="dxa"/>
                    <w:bottom w:w="0" w:type="dxa"/>
                    <w:right w:w="0" w:type="dxa"/>
                  </w:tcMar>
                  <w:vAlign w:val="center"/>
                </w:tcPr>
                <w:p w14:paraId="2A29DF12">
                  <w:pPr>
                    <w:jc w:val="center"/>
                    <w:rPr>
                      <w:rFonts w:hint="default" w:ascii="Times New Roman" w:hAnsi="Times New Roman" w:eastAsia="宋体" w:cs="Times New Roman"/>
                      <w:color w:val="auto"/>
                      <w:kern w:val="2"/>
                      <w:sz w:val="21"/>
                      <w:szCs w:val="21"/>
                      <w:lang w:val="en-US" w:eastAsia="zh-CN" w:bidi="ar-SA"/>
                    </w:rPr>
                  </w:pPr>
                  <w:r>
                    <w:rPr>
                      <w:color w:val="auto"/>
                      <w:szCs w:val="21"/>
                    </w:rPr>
                    <w:t>900-041-49</w:t>
                  </w:r>
                </w:p>
              </w:tc>
              <w:tc>
                <w:tcPr>
                  <w:tcW w:w="346" w:type="pct"/>
                  <w:shd w:val="clear" w:color="auto" w:fill="auto"/>
                  <w:noWrap w:val="0"/>
                  <w:tcMar>
                    <w:top w:w="0" w:type="dxa"/>
                    <w:left w:w="0" w:type="dxa"/>
                    <w:bottom w:w="0" w:type="dxa"/>
                    <w:right w:w="0" w:type="dxa"/>
                  </w:tcMar>
                  <w:vAlign w:val="center"/>
                </w:tcPr>
                <w:p w14:paraId="0F928393">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0.08</w:t>
                  </w:r>
                </w:p>
              </w:tc>
              <w:tc>
                <w:tcPr>
                  <w:tcW w:w="542" w:type="pct"/>
                  <w:shd w:val="clear" w:color="auto" w:fill="auto"/>
                  <w:noWrap w:val="0"/>
                  <w:tcMar>
                    <w:top w:w="0" w:type="dxa"/>
                    <w:left w:w="0" w:type="dxa"/>
                    <w:bottom w:w="0" w:type="dxa"/>
                    <w:right w:w="0" w:type="dxa"/>
                  </w:tcMar>
                  <w:vAlign w:val="center"/>
                </w:tcPr>
                <w:p w14:paraId="2AC22FDB">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原料包装</w:t>
                  </w:r>
                </w:p>
              </w:tc>
              <w:tc>
                <w:tcPr>
                  <w:tcW w:w="202" w:type="pct"/>
                  <w:shd w:val="clear" w:color="auto" w:fill="auto"/>
                  <w:noWrap w:val="0"/>
                  <w:tcMar>
                    <w:top w:w="0" w:type="dxa"/>
                    <w:left w:w="0" w:type="dxa"/>
                    <w:bottom w:w="0" w:type="dxa"/>
                    <w:right w:w="0" w:type="dxa"/>
                  </w:tcMar>
                  <w:vAlign w:val="center"/>
                </w:tcPr>
                <w:p w14:paraId="0D6947D5">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color w:val="auto"/>
                      <w:szCs w:val="21"/>
                    </w:rPr>
                    <w:t>固</w:t>
                  </w:r>
                </w:p>
              </w:tc>
              <w:tc>
                <w:tcPr>
                  <w:tcW w:w="477" w:type="pct"/>
                  <w:shd w:val="clear" w:color="auto" w:fill="auto"/>
                  <w:noWrap w:val="0"/>
                  <w:tcMar>
                    <w:top w:w="0" w:type="dxa"/>
                    <w:left w:w="0" w:type="dxa"/>
                    <w:bottom w:w="0" w:type="dxa"/>
                    <w:right w:w="0" w:type="dxa"/>
                  </w:tcMar>
                  <w:vAlign w:val="center"/>
                </w:tcPr>
                <w:p w14:paraId="011A8ADC">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桶、有机物</w:t>
                  </w:r>
                </w:p>
              </w:tc>
              <w:tc>
                <w:tcPr>
                  <w:tcW w:w="459" w:type="pct"/>
                  <w:shd w:val="clear" w:color="auto" w:fill="auto"/>
                  <w:noWrap w:val="0"/>
                  <w:tcMar>
                    <w:top w:w="0" w:type="dxa"/>
                    <w:left w:w="0" w:type="dxa"/>
                    <w:bottom w:w="0" w:type="dxa"/>
                    <w:right w:w="0" w:type="dxa"/>
                  </w:tcMar>
                  <w:vAlign w:val="center"/>
                </w:tcPr>
                <w:p w14:paraId="01700E09">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有机物</w:t>
                  </w:r>
                </w:p>
              </w:tc>
              <w:tc>
                <w:tcPr>
                  <w:tcW w:w="381" w:type="pct"/>
                  <w:noWrap w:val="0"/>
                  <w:tcMar>
                    <w:top w:w="0" w:type="dxa"/>
                    <w:left w:w="0" w:type="dxa"/>
                    <w:bottom w:w="0" w:type="dxa"/>
                    <w:right w:w="0" w:type="dxa"/>
                  </w:tcMar>
                  <w:vAlign w:val="center"/>
                </w:tcPr>
                <w:p w14:paraId="6DF009FB">
                  <w:pPr>
                    <w:jc w:val="center"/>
                    <w:rPr>
                      <w:rFonts w:hint="default" w:ascii="Times New Roman" w:hAnsi="Times New Roman" w:eastAsia="宋体" w:cs="Times New Roman"/>
                      <w:color w:val="auto"/>
                      <w:kern w:val="2"/>
                      <w:sz w:val="21"/>
                      <w:szCs w:val="21"/>
                      <w:lang w:val="en-US" w:eastAsia="zh-CN"/>
                    </w:rPr>
                  </w:pPr>
                  <w:r>
                    <w:rPr>
                      <w:rFonts w:hint="default" w:ascii="Times New Roman" w:hAnsi="Times New Roman" w:eastAsia="宋体" w:cs="Times New Roman"/>
                      <w:color w:val="auto"/>
                      <w:kern w:val="2"/>
                      <w:sz w:val="21"/>
                      <w:szCs w:val="21"/>
                      <w:lang w:val="en-US" w:eastAsia="zh-CN"/>
                    </w:rPr>
                    <w:t>半年</w:t>
                  </w:r>
                </w:p>
              </w:tc>
              <w:tc>
                <w:tcPr>
                  <w:tcW w:w="387" w:type="pct"/>
                  <w:shd w:val="clear" w:color="auto" w:fill="auto"/>
                  <w:noWrap w:val="0"/>
                  <w:tcMar>
                    <w:top w:w="0" w:type="dxa"/>
                    <w:left w:w="0" w:type="dxa"/>
                    <w:bottom w:w="0" w:type="dxa"/>
                    <w:right w:w="0" w:type="dxa"/>
                  </w:tcMar>
                  <w:vAlign w:val="center"/>
                </w:tcPr>
                <w:p w14:paraId="3ABA41ED">
                  <w:pPr>
                    <w:jc w:val="center"/>
                    <w:rPr>
                      <w:rFonts w:hint="default" w:ascii="Times New Roman" w:hAnsi="Times New Roman" w:eastAsia="宋体" w:cs="Times New Roman"/>
                      <w:color w:val="auto"/>
                      <w:kern w:val="2"/>
                      <w:sz w:val="21"/>
                      <w:szCs w:val="21"/>
                      <w:lang w:val="en-US" w:eastAsia="zh-CN" w:bidi="ar-SA"/>
                    </w:rPr>
                  </w:pPr>
                  <w:r>
                    <w:rPr>
                      <w:color w:val="auto"/>
                      <w:szCs w:val="21"/>
                    </w:rPr>
                    <w:t>T/In</w:t>
                  </w:r>
                </w:p>
              </w:tc>
              <w:tc>
                <w:tcPr>
                  <w:tcW w:w="538" w:type="pct"/>
                  <w:vMerge w:val="continue"/>
                  <w:noWrap w:val="0"/>
                  <w:tcMar>
                    <w:top w:w="0" w:type="dxa"/>
                    <w:left w:w="0" w:type="dxa"/>
                    <w:bottom w:w="0" w:type="dxa"/>
                    <w:right w:w="0" w:type="dxa"/>
                  </w:tcMar>
                  <w:vAlign w:val="center"/>
                </w:tcPr>
                <w:p w14:paraId="57CAE465">
                  <w:pPr>
                    <w:pStyle w:val="69"/>
                    <w:autoSpaceDE/>
                    <w:autoSpaceDN/>
                    <w:jc w:val="center"/>
                    <w:rPr>
                      <w:rFonts w:hint="default" w:ascii="Times New Roman" w:hAnsi="Times New Roman" w:eastAsia="宋体" w:cs="Times New Roman"/>
                      <w:color w:val="auto"/>
                      <w:sz w:val="21"/>
                      <w:szCs w:val="21"/>
                    </w:rPr>
                  </w:pPr>
                </w:p>
              </w:tc>
            </w:tr>
            <w:tr w14:paraId="23ADA6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Align w:val="center"/>
                </w:tcPr>
                <w:p w14:paraId="3E3D0EDE">
                  <w:pPr>
                    <w:pStyle w:val="69"/>
                    <w:autoSpaceDE/>
                    <w:autoSpaceDN/>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498" w:type="pct"/>
                  <w:shd w:val="clear" w:color="auto" w:fill="auto"/>
                  <w:vAlign w:val="center"/>
                </w:tcPr>
                <w:p w14:paraId="033B65AF">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废含油抹布</w:t>
                  </w:r>
                </w:p>
              </w:tc>
              <w:tc>
                <w:tcPr>
                  <w:tcW w:w="346" w:type="pct"/>
                  <w:shd w:val="clear" w:color="auto" w:fill="auto"/>
                  <w:vAlign w:val="center"/>
                </w:tcPr>
                <w:p w14:paraId="05EEBCEC">
                  <w:pPr>
                    <w:jc w:val="center"/>
                    <w:rPr>
                      <w:rFonts w:hint="default" w:ascii="Times New Roman" w:hAnsi="Times New Roman" w:eastAsia="宋体" w:cs="Times New Roman"/>
                      <w:color w:val="auto"/>
                      <w:kern w:val="2"/>
                      <w:sz w:val="21"/>
                      <w:szCs w:val="21"/>
                      <w:lang w:val="en-US" w:eastAsia="zh-CN" w:bidi="ar-SA"/>
                    </w:rPr>
                  </w:pPr>
                  <w:r>
                    <w:rPr>
                      <w:color w:val="auto"/>
                      <w:szCs w:val="21"/>
                    </w:rPr>
                    <w:t>HW49</w:t>
                  </w:r>
                </w:p>
              </w:tc>
              <w:tc>
                <w:tcPr>
                  <w:tcW w:w="650" w:type="pct"/>
                  <w:shd w:val="clear" w:color="auto" w:fill="auto"/>
                  <w:vAlign w:val="center"/>
                </w:tcPr>
                <w:p w14:paraId="504C694C">
                  <w:pPr>
                    <w:jc w:val="center"/>
                    <w:rPr>
                      <w:rFonts w:hint="default" w:ascii="Times New Roman" w:hAnsi="Times New Roman" w:eastAsia="宋体" w:cs="Times New Roman"/>
                      <w:color w:val="auto"/>
                      <w:kern w:val="2"/>
                      <w:sz w:val="21"/>
                      <w:szCs w:val="21"/>
                      <w:lang w:val="en-US" w:eastAsia="zh-CN" w:bidi="ar-SA"/>
                    </w:rPr>
                  </w:pPr>
                  <w:r>
                    <w:rPr>
                      <w:color w:val="auto"/>
                      <w:szCs w:val="21"/>
                    </w:rPr>
                    <w:t>900-041-49</w:t>
                  </w:r>
                </w:p>
              </w:tc>
              <w:tc>
                <w:tcPr>
                  <w:tcW w:w="346" w:type="pct"/>
                  <w:shd w:val="clear" w:color="auto" w:fill="auto"/>
                  <w:vAlign w:val="center"/>
                </w:tcPr>
                <w:p w14:paraId="7A5E15E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0.01</w:t>
                  </w:r>
                </w:p>
              </w:tc>
              <w:tc>
                <w:tcPr>
                  <w:tcW w:w="542" w:type="pct"/>
                  <w:shd w:val="clear" w:color="auto" w:fill="auto"/>
                  <w:vAlign w:val="center"/>
                </w:tcPr>
                <w:p w14:paraId="62B37622">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设备擦拭</w:t>
                  </w:r>
                </w:p>
              </w:tc>
              <w:tc>
                <w:tcPr>
                  <w:tcW w:w="202" w:type="pct"/>
                  <w:shd w:val="clear" w:color="auto" w:fill="auto"/>
                  <w:vAlign w:val="center"/>
                </w:tcPr>
                <w:p w14:paraId="6963F216">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color w:val="auto"/>
                      <w:szCs w:val="21"/>
                    </w:rPr>
                    <w:t>固</w:t>
                  </w:r>
                </w:p>
              </w:tc>
              <w:tc>
                <w:tcPr>
                  <w:tcW w:w="477" w:type="pct"/>
                  <w:shd w:val="clear" w:color="auto" w:fill="auto"/>
                  <w:vAlign w:val="center"/>
                </w:tcPr>
                <w:p w14:paraId="4D8FD957">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纤维、矿物油</w:t>
                  </w:r>
                </w:p>
              </w:tc>
              <w:tc>
                <w:tcPr>
                  <w:tcW w:w="459" w:type="pct"/>
                  <w:shd w:val="clear" w:color="auto" w:fill="auto"/>
                  <w:vAlign w:val="center"/>
                </w:tcPr>
                <w:p w14:paraId="56ED5033">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矿物油</w:t>
                  </w:r>
                </w:p>
              </w:tc>
              <w:tc>
                <w:tcPr>
                  <w:tcW w:w="381" w:type="pct"/>
                  <w:vAlign w:val="center"/>
                </w:tcPr>
                <w:p w14:paraId="65D8DF28">
                  <w:pPr>
                    <w:jc w:val="center"/>
                    <w:rPr>
                      <w:rFonts w:hint="default" w:ascii="Times New Roman" w:hAnsi="Times New Roman" w:eastAsia="宋体" w:cs="Times New Roman"/>
                      <w:color w:val="auto"/>
                      <w:kern w:val="2"/>
                      <w:sz w:val="21"/>
                      <w:szCs w:val="21"/>
                      <w:lang w:val="en-US" w:eastAsia="zh-CN"/>
                    </w:rPr>
                  </w:pPr>
                  <w:r>
                    <w:rPr>
                      <w:rFonts w:hint="eastAsia" w:ascii="Times New Roman" w:hAnsi="Times New Roman" w:eastAsia="宋体" w:cs="Times New Roman"/>
                      <w:color w:val="auto"/>
                      <w:kern w:val="2"/>
                      <w:sz w:val="21"/>
                      <w:szCs w:val="21"/>
                      <w:lang w:val="en-US" w:eastAsia="zh-CN"/>
                    </w:rPr>
                    <w:t>1周</w:t>
                  </w:r>
                </w:p>
              </w:tc>
              <w:tc>
                <w:tcPr>
                  <w:tcW w:w="387" w:type="pct"/>
                  <w:shd w:val="clear" w:color="auto" w:fill="auto"/>
                  <w:vAlign w:val="center"/>
                </w:tcPr>
                <w:p w14:paraId="38DD41C2">
                  <w:pPr>
                    <w:jc w:val="center"/>
                    <w:rPr>
                      <w:rFonts w:hint="default" w:ascii="Times New Roman" w:hAnsi="Times New Roman" w:eastAsia="宋体" w:cs="Times New Roman"/>
                      <w:color w:val="auto"/>
                      <w:kern w:val="2"/>
                      <w:sz w:val="21"/>
                      <w:szCs w:val="21"/>
                      <w:lang w:val="en-US" w:eastAsia="zh-CN" w:bidi="ar-SA"/>
                    </w:rPr>
                  </w:pPr>
                  <w:r>
                    <w:rPr>
                      <w:color w:val="auto"/>
                      <w:szCs w:val="21"/>
                    </w:rPr>
                    <w:t>T/In</w:t>
                  </w:r>
                </w:p>
              </w:tc>
              <w:tc>
                <w:tcPr>
                  <w:tcW w:w="538" w:type="pct"/>
                  <w:vMerge w:val="continue"/>
                  <w:vAlign w:val="center"/>
                </w:tcPr>
                <w:p w14:paraId="3A616520">
                  <w:pPr>
                    <w:pStyle w:val="69"/>
                    <w:autoSpaceDE/>
                    <w:autoSpaceDN/>
                    <w:jc w:val="center"/>
                    <w:rPr>
                      <w:rFonts w:hint="default" w:ascii="Times New Roman" w:hAnsi="Times New Roman" w:eastAsia="宋体" w:cs="Times New Roman"/>
                      <w:color w:val="auto"/>
                      <w:sz w:val="21"/>
                      <w:szCs w:val="21"/>
                    </w:rPr>
                  </w:pPr>
                </w:p>
              </w:tc>
            </w:tr>
            <w:tr w14:paraId="463BDA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Align w:val="center"/>
                </w:tcPr>
                <w:p w14:paraId="7D3F79E6">
                  <w:pPr>
                    <w:pStyle w:val="69"/>
                    <w:autoSpaceDE/>
                    <w:autoSpaceDN/>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498" w:type="pct"/>
                  <w:shd w:val="clear" w:color="auto" w:fill="auto"/>
                  <w:vAlign w:val="center"/>
                </w:tcPr>
                <w:p w14:paraId="5FAFF471">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废活性炭</w:t>
                  </w:r>
                </w:p>
              </w:tc>
              <w:tc>
                <w:tcPr>
                  <w:tcW w:w="346" w:type="pct"/>
                  <w:shd w:val="clear" w:color="auto" w:fill="auto"/>
                  <w:vAlign w:val="center"/>
                </w:tcPr>
                <w:p w14:paraId="6F82808D">
                  <w:pPr>
                    <w:jc w:val="center"/>
                    <w:rPr>
                      <w:rFonts w:hint="default" w:ascii="Times New Roman" w:hAnsi="Times New Roman" w:eastAsia="宋体" w:cs="Times New Roman"/>
                      <w:color w:val="auto"/>
                      <w:kern w:val="2"/>
                      <w:sz w:val="21"/>
                      <w:szCs w:val="21"/>
                      <w:lang w:val="en-US" w:eastAsia="zh-CN" w:bidi="ar-SA"/>
                    </w:rPr>
                  </w:pPr>
                  <w:r>
                    <w:rPr>
                      <w:color w:val="auto"/>
                      <w:szCs w:val="21"/>
                    </w:rPr>
                    <w:t>HW49</w:t>
                  </w:r>
                </w:p>
              </w:tc>
              <w:tc>
                <w:tcPr>
                  <w:tcW w:w="650" w:type="pct"/>
                  <w:shd w:val="clear" w:color="auto" w:fill="auto"/>
                  <w:vAlign w:val="center"/>
                </w:tcPr>
                <w:p w14:paraId="51816025">
                  <w:pPr>
                    <w:jc w:val="center"/>
                    <w:rPr>
                      <w:rFonts w:hint="default" w:ascii="Times New Roman" w:hAnsi="Times New Roman" w:eastAsia="宋体" w:cs="Times New Roman"/>
                      <w:color w:val="auto"/>
                      <w:kern w:val="2"/>
                      <w:sz w:val="21"/>
                      <w:szCs w:val="21"/>
                      <w:lang w:val="en-US" w:eastAsia="zh-CN" w:bidi="ar-SA"/>
                    </w:rPr>
                  </w:pPr>
                  <w:r>
                    <w:rPr>
                      <w:color w:val="auto"/>
                      <w:szCs w:val="21"/>
                    </w:rPr>
                    <w:t>900-0</w:t>
                  </w:r>
                  <w:r>
                    <w:rPr>
                      <w:rFonts w:hint="eastAsia"/>
                      <w:color w:val="auto"/>
                      <w:szCs w:val="21"/>
                      <w:lang w:val="en-US" w:eastAsia="zh-CN"/>
                    </w:rPr>
                    <w:t>39</w:t>
                  </w:r>
                  <w:r>
                    <w:rPr>
                      <w:color w:val="auto"/>
                      <w:szCs w:val="21"/>
                    </w:rPr>
                    <w:t>-49</w:t>
                  </w:r>
                </w:p>
              </w:tc>
              <w:tc>
                <w:tcPr>
                  <w:tcW w:w="346" w:type="pct"/>
                  <w:shd w:val="clear" w:color="auto" w:fill="auto"/>
                  <w:vAlign w:val="center"/>
                </w:tcPr>
                <w:p w14:paraId="28FA20BB">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1.58</w:t>
                  </w:r>
                </w:p>
              </w:tc>
              <w:tc>
                <w:tcPr>
                  <w:tcW w:w="542" w:type="pct"/>
                  <w:shd w:val="clear" w:color="auto" w:fill="auto"/>
                  <w:vAlign w:val="center"/>
                </w:tcPr>
                <w:p w14:paraId="23E9BCE2">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废气处理</w:t>
                  </w:r>
                </w:p>
              </w:tc>
              <w:tc>
                <w:tcPr>
                  <w:tcW w:w="202" w:type="pct"/>
                  <w:shd w:val="clear" w:color="auto" w:fill="auto"/>
                  <w:vAlign w:val="center"/>
                </w:tcPr>
                <w:p w14:paraId="6F38F9B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固</w:t>
                  </w:r>
                </w:p>
              </w:tc>
              <w:tc>
                <w:tcPr>
                  <w:tcW w:w="477" w:type="pct"/>
                  <w:shd w:val="clear" w:color="auto" w:fill="auto"/>
                  <w:vAlign w:val="center"/>
                </w:tcPr>
                <w:p w14:paraId="21916905">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有机物、活性炭</w:t>
                  </w:r>
                </w:p>
              </w:tc>
              <w:tc>
                <w:tcPr>
                  <w:tcW w:w="459" w:type="pct"/>
                  <w:shd w:val="clear" w:color="auto" w:fill="auto"/>
                  <w:vAlign w:val="center"/>
                </w:tcPr>
                <w:p w14:paraId="328DDE85">
                  <w:pPr>
                    <w:pStyle w:val="55"/>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有机物</w:t>
                  </w:r>
                </w:p>
              </w:tc>
              <w:tc>
                <w:tcPr>
                  <w:tcW w:w="381" w:type="pct"/>
                  <w:vAlign w:val="center"/>
                </w:tcPr>
                <w:p w14:paraId="3021823A">
                  <w:pPr>
                    <w:jc w:val="center"/>
                    <w:rPr>
                      <w:rFonts w:hint="default" w:ascii="Times New Roman" w:hAnsi="Times New Roman" w:eastAsia="宋体" w:cs="Times New Roman"/>
                      <w:color w:val="auto"/>
                      <w:kern w:val="2"/>
                      <w:sz w:val="21"/>
                      <w:szCs w:val="21"/>
                      <w:lang w:val="en-US" w:eastAsia="zh-CN"/>
                    </w:rPr>
                  </w:pPr>
                  <w:r>
                    <w:rPr>
                      <w:rFonts w:hint="eastAsia" w:cs="Times New Roman"/>
                      <w:color w:val="auto"/>
                      <w:kern w:val="2"/>
                      <w:sz w:val="21"/>
                      <w:szCs w:val="21"/>
                      <w:lang w:val="en-US" w:eastAsia="zh-CN"/>
                    </w:rPr>
                    <w:t>3个月</w:t>
                  </w:r>
                </w:p>
              </w:tc>
              <w:tc>
                <w:tcPr>
                  <w:tcW w:w="387" w:type="pct"/>
                  <w:shd w:val="clear" w:color="auto" w:fill="auto"/>
                  <w:vAlign w:val="center"/>
                </w:tcPr>
                <w:p w14:paraId="6D1AE57C">
                  <w:pPr>
                    <w:jc w:val="center"/>
                    <w:rPr>
                      <w:rFonts w:hint="default" w:ascii="Times New Roman" w:hAnsi="Times New Roman" w:eastAsia="宋体" w:cs="Times New Roman"/>
                      <w:color w:val="auto"/>
                      <w:kern w:val="2"/>
                      <w:sz w:val="21"/>
                      <w:szCs w:val="21"/>
                      <w:lang w:val="en-US" w:eastAsia="zh-CN" w:bidi="ar-SA"/>
                    </w:rPr>
                  </w:pPr>
                  <w:r>
                    <w:rPr>
                      <w:color w:val="auto"/>
                      <w:szCs w:val="21"/>
                    </w:rPr>
                    <w:t>T</w:t>
                  </w:r>
                </w:p>
              </w:tc>
              <w:tc>
                <w:tcPr>
                  <w:tcW w:w="538" w:type="pct"/>
                  <w:vMerge w:val="continue"/>
                  <w:vAlign w:val="center"/>
                </w:tcPr>
                <w:p w14:paraId="10511327">
                  <w:pPr>
                    <w:pStyle w:val="69"/>
                    <w:autoSpaceDE/>
                    <w:autoSpaceDN/>
                    <w:jc w:val="center"/>
                    <w:rPr>
                      <w:rFonts w:hint="default" w:ascii="Times New Roman" w:hAnsi="Times New Roman" w:eastAsia="宋体" w:cs="Times New Roman"/>
                      <w:color w:val="auto"/>
                      <w:sz w:val="21"/>
                      <w:szCs w:val="21"/>
                    </w:rPr>
                  </w:pPr>
                </w:p>
              </w:tc>
            </w:tr>
          </w:tbl>
          <w:p w14:paraId="6BF9FF68">
            <w:pPr>
              <w:spacing w:before="120" w:beforeLines="50" w:line="360" w:lineRule="auto"/>
              <w:ind w:firstLine="422" w:firstLineChars="200"/>
              <w:jc w:val="left"/>
              <w:rPr>
                <w:b/>
                <w:bCs/>
                <w:color w:val="auto"/>
                <w:szCs w:val="21"/>
              </w:rPr>
            </w:pPr>
            <w:r>
              <w:rPr>
                <w:b/>
                <w:bCs/>
                <w:color w:val="auto"/>
                <w:szCs w:val="21"/>
              </w:rPr>
              <w:t>4、固体废物防治措施：</w:t>
            </w:r>
          </w:p>
          <w:p w14:paraId="42A318FF">
            <w:pPr>
              <w:adjustRightInd w:val="0"/>
              <w:snapToGrid w:val="0"/>
              <w:spacing w:line="360" w:lineRule="auto"/>
              <w:ind w:firstLine="422" w:firstLineChars="200"/>
              <w:rPr>
                <w:color w:val="auto"/>
                <w:szCs w:val="21"/>
              </w:rPr>
            </w:pPr>
            <w:r>
              <w:rPr>
                <w:b/>
                <w:bCs/>
                <w:color w:val="auto"/>
                <w:szCs w:val="21"/>
              </w:rPr>
              <w:t>（1）危险固体废物</w:t>
            </w:r>
          </w:p>
          <w:p w14:paraId="293E7274">
            <w:pPr>
              <w:pStyle w:val="10"/>
              <w:spacing w:before="0" w:line="360" w:lineRule="auto"/>
              <w:ind w:firstLine="420" w:firstLineChars="200"/>
              <w:rPr>
                <w:color w:val="auto"/>
                <w:sz w:val="21"/>
                <w:szCs w:val="21"/>
              </w:rPr>
            </w:pPr>
            <w:r>
              <w:rPr>
                <w:color w:val="auto"/>
                <w:sz w:val="21"/>
                <w:szCs w:val="21"/>
              </w:rPr>
              <w:t>1）危险废物处置方式</w:t>
            </w:r>
          </w:p>
          <w:p w14:paraId="26AEF3B5">
            <w:pPr>
              <w:spacing w:line="360" w:lineRule="auto"/>
              <w:ind w:firstLine="420" w:firstLineChars="200"/>
              <w:rPr>
                <w:color w:val="auto"/>
                <w:szCs w:val="21"/>
              </w:rPr>
            </w:pPr>
            <w:r>
              <w:rPr>
                <w:color w:val="auto"/>
                <w:szCs w:val="21"/>
              </w:rPr>
              <w:t>根据《国家危险废物名录》（202</w:t>
            </w:r>
            <w:r>
              <w:rPr>
                <w:rFonts w:hint="eastAsia"/>
                <w:color w:val="auto"/>
                <w:szCs w:val="21"/>
                <w:lang w:val="en-US" w:eastAsia="zh-CN"/>
              </w:rPr>
              <w:t>5</w:t>
            </w:r>
            <w:r>
              <w:rPr>
                <w:color w:val="auto"/>
                <w:szCs w:val="21"/>
              </w:rPr>
              <w:t>）以及危险废物鉴别标准，项目产生的危险废物为</w:t>
            </w:r>
            <w:r>
              <w:rPr>
                <w:rFonts w:hint="eastAsia"/>
                <w:color w:val="auto"/>
                <w:szCs w:val="21"/>
                <w:lang w:val="en-US" w:eastAsia="zh-CN"/>
              </w:rPr>
              <w:t>喷淋塔废液HW09、</w:t>
            </w:r>
            <w:r>
              <w:rPr>
                <w:rFonts w:hint="eastAsia"/>
                <w:b w:val="0"/>
                <w:bCs w:val="0"/>
                <w:color w:val="auto"/>
                <w:szCs w:val="21"/>
                <w:lang w:val="en-US" w:eastAsia="zh-CN"/>
              </w:rPr>
              <w:t>废润滑油、废油桶HW08</w:t>
            </w:r>
            <w:r>
              <w:rPr>
                <w:rFonts w:hint="eastAsia"/>
                <w:color w:val="auto"/>
                <w:szCs w:val="21"/>
                <w:lang w:val="en-US" w:eastAsia="zh-CN"/>
              </w:rPr>
              <w:t>、废包装桶、废活性炭、废含油抹布</w:t>
            </w:r>
            <w:r>
              <w:rPr>
                <w:rFonts w:hint="eastAsia"/>
                <w:color w:val="auto"/>
                <w:szCs w:val="21"/>
              </w:rPr>
              <w:t>HW</w:t>
            </w:r>
            <w:r>
              <w:rPr>
                <w:rFonts w:hint="eastAsia"/>
                <w:color w:val="auto"/>
                <w:szCs w:val="21"/>
                <w:lang w:val="en-US" w:eastAsia="zh-CN"/>
              </w:rPr>
              <w:t>49</w:t>
            </w:r>
            <w:r>
              <w:rPr>
                <w:color w:val="auto"/>
                <w:szCs w:val="21"/>
              </w:rPr>
              <w:t>，须委托有资质单位处置，签订危废处置协议。</w:t>
            </w:r>
          </w:p>
          <w:p w14:paraId="26CA662B">
            <w:pPr>
              <w:spacing w:line="360" w:lineRule="auto"/>
              <w:ind w:firstLine="420" w:firstLineChars="200"/>
              <w:rPr>
                <w:color w:val="auto"/>
                <w:szCs w:val="21"/>
              </w:rPr>
            </w:pPr>
            <w:r>
              <w:rPr>
                <w:color w:val="auto"/>
                <w:szCs w:val="21"/>
              </w:rPr>
              <w:t>2）贮存场所（设施）污染防治措施</w:t>
            </w:r>
          </w:p>
          <w:p w14:paraId="3523FAEE">
            <w:pPr>
              <w:spacing w:line="360" w:lineRule="auto"/>
              <w:ind w:firstLine="420" w:firstLineChars="200"/>
              <w:rPr>
                <w:color w:val="auto"/>
                <w:szCs w:val="21"/>
              </w:rPr>
            </w:pPr>
            <w:r>
              <w:rPr>
                <w:color w:val="auto"/>
                <w:szCs w:val="21"/>
              </w:rPr>
              <w:t>本项目</w:t>
            </w:r>
            <w:r>
              <w:rPr>
                <w:rFonts w:hint="eastAsia"/>
                <w:color w:val="auto"/>
                <w:szCs w:val="21"/>
                <w:lang w:val="en-US" w:eastAsia="zh-CN"/>
              </w:rPr>
              <w:t>新建一座</w:t>
            </w:r>
            <w:r>
              <w:rPr>
                <w:color w:val="auto"/>
                <w:szCs w:val="21"/>
              </w:rPr>
              <w:t>危废仓库</w:t>
            </w:r>
            <w:r>
              <w:rPr>
                <w:rFonts w:hint="eastAsia"/>
                <w:color w:val="auto"/>
                <w:szCs w:val="21"/>
                <w:lang w:val="en-US" w:eastAsia="zh-CN"/>
              </w:rPr>
              <w:t>10</w:t>
            </w:r>
            <w:r>
              <w:rPr>
                <w:color w:val="auto"/>
                <w:szCs w:val="21"/>
              </w:rPr>
              <w:t>m</w:t>
            </w:r>
            <w:r>
              <w:rPr>
                <w:color w:val="auto"/>
                <w:szCs w:val="21"/>
                <w:vertAlign w:val="superscript"/>
              </w:rPr>
              <w:t>2</w:t>
            </w:r>
            <w:r>
              <w:rPr>
                <w:color w:val="auto"/>
                <w:szCs w:val="21"/>
              </w:rPr>
              <w:t>对危险固废进行安全暂存，</w:t>
            </w:r>
            <w:r>
              <w:rPr>
                <w:b/>
                <w:bCs/>
                <w:color w:val="auto"/>
                <w:szCs w:val="21"/>
              </w:rPr>
              <w:t>危废仓库</w:t>
            </w:r>
            <w:r>
              <w:rPr>
                <w:rFonts w:hint="eastAsia"/>
                <w:b/>
                <w:bCs/>
                <w:color w:val="auto"/>
                <w:szCs w:val="21"/>
                <w:lang w:val="en-US" w:eastAsia="zh-CN"/>
              </w:rPr>
              <w:t>应</w:t>
            </w:r>
            <w:r>
              <w:rPr>
                <w:b/>
                <w:bCs/>
                <w:color w:val="auto"/>
                <w:szCs w:val="21"/>
              </w:rPr>
              <w:t>按《危险废物贮存污染控制标准》（GB18597-2023）的要求进行设置，</w:t>
            </w:r>
            <w:r>
              <w:rPr>
                <w:rFonts w:hint="eastAsia"/>
                <w:b/>
                <w:bCs/>
                <w:color w:val="auto"/>
                <w:szCs w:val="21"/>
                <w:lang w:val="en-US" w:eastAsia="zh-CN"/>
              </w:rPr>
              <w:t>应</w:t>
            </w:r>
            <w:r>
              <w:rPr>
                <w:b/>
                <w:bCs/>
                <w:color w:val="auto"/>
                <w:szCs w:val="21"/>
              </w:rPr>
              <w:t>做到以下几点</w:t>
            </w:r>
            <w:r>
              <w:rPr>
                <w:color w:val="auto"/>
                <w:szCs w:val="21"/>
              </w:rPr>
              <w:t>：</w:t>
            </w:r>
          </w:p>
          <w:p w14:paraId="4311581C">
            <w:pPr>
              <w:spacing w:line="360" w:lineRule="auto"/>
              <w:ind w:firstLine="420" w:firstLineChars="200"/>
              <w:rPr>
                <w:rFonts w:hint="eastAsia"/>
                <w:color w:val="auto"/>
                <w:szCs w:val="21"/>
              </w:rPr>
            </w:pPr>
            <w:r>
              <w:rPr>
                <w:color w:val="auto"/>
                <w:szCs w:val="21"/>
              </w:rPr>
              <w:t>①贮存设施应根据危险废物的形态、物理化学性质、包装形式和污染物迁移途径，采取必要的防风、防晒、防雨、防漏、防渗、防腐以及其他环境污染防治措施，不应露天堆放危险废物</w:t>
            </w:r>
            <w:r>
              <w:rPr>
                <w:rFonts w:hint="eastAsia"/>
                <w:color w:val="auto"/>
                <w:szCs w:val="21"/>
              </w:rPr>
              <w:t>。</w:t>
            </w:r>
          </w:p>
          <w:p w14:paraId="2A87E644">
            <w:pPr>
              <w:spacing w:line="360" w:lineRule="auto"/>
              <w:ind w:firstLine="420" w:firstLineChars="200"/>
              <w:rPr>
                <w:rFonts w:hint="eastAsia"/>
                <w:color w:val="auto"/>
                <w:szCs w:val="21"/>
              </w:rPr>
            </w:pPr>
            <w:r>
              <w:rPr>
                <w:color w:val="auto"/>
                <w:szCs w:val="21"/>
              </w:rPr>
              <w:t>②贮存设施应根据危险废物的类别、数量、形态、物理化学性质和污染防治等要求设置必要的贮存分区，避免不相容的危险废物接触、混合</w:t>
            </w:r>
            <w:r>
              <w:rPr>
                <w:rFonts w:hint="eastAsia"/>
                <w:color w:val="auto"/>
                <w:szCs w:val="21"/>
              </w:rPr>
              <w:t>。</w:t>
            </w:r>
          </w:p>
          <w:p w14:paraId="0A1B1208">
            <w:pPr>
              <w:spacing w:line="360" w:lineRule="auto"/>
              <w:ind w:firstLine="420" w:firstLineChars="200"/>
              <w:rPr>
                <w:rFonts w:hint="eastAsia"/>
                <w:color w:val="auto"/>
                <w:szCs w:val="21"/>
              </w:rPr>
            </w:pPr>
            <w:r>
              <w:rPr>
                <w:color w:val="auto"/>
                <w:szCs w:val="21"/>
              </w:rPr>
              <w:t>③贮存设施或贮存分区内地面、墙面裙脚、堵截泄漏的围堰、接触危险废物的隔板和墙体等应采用坚固的材料建造，表面无裂缝</w:t>
            </w:r>
            <w:r>
              <w:rPr>
                <w:rFonts w:hint="eastAsia"/>
                <w:color w:val="auto"/>
                <w:szCs w:val="21"/>
              </w:rPr>
              <w:t>。</w:t>
            </w:r>
          </w:p>
          <w:p w14:paraId="3EEC816B">
            <w:pPr>
              <w:spacing w:line="360" w:lineRule="auto"/>
              <w:ind w:firstLine="420" w:firstLineChars="200"/>
              <w:rPr>
                <w:rFonts w:hint="eastAsia"/>
                <w:color w:val="auto"/>
                <w:szCs w:val="21"/>
              </w:rPr>
            </w:pPr>
            <w:r>
              <w:rPr>
                <w:color w:val="auto"/>
                <w:szCs w:val="21"/>
              </w:rPr>
              <w:t>④贮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1m厚黏土层（渗透系数不大于10</w:t>
            </w:r>
            <w:r>
              <w:rPr>
                <w:color w:val="auto"/>
                <w:szCs w:val="21"/>
                <w:vertAlign w:val="superscript"/>
              </w:rPr>
              <w:t>-7</w:t>
            </w:r>
            <w:r>
              <w:rPr>
                <w:color w:val="auto"/>
                <w:szCs w:val="21"/>
              </w:rPr>
              <w:t>cm/s），或至少2mm厚高密度聚乙烯膜等人工防渗材料（渗透系数不大于10</w:t>
            </w:r>
            <w:r>
              <w:rPr>
                <w:color w:val="auto"/>
                <w:szCs w:val="21"/>
                <w:vertAlign w:val="superscript"/>
              </w:rPr>
              <w:t>-10</w:t>
            </w:r>
            <w:r>
              <w:rPr>
                <w:color w:val="auto"/>
                <w:szCs w:val="21"/>
              </w:rPr>
              <w:t>cm/s），或其他防渗性能等效的材料</w:t>
            </w:r>
            <w:r>
              <w:rPr>
                <w:rFonts w:hint="eastAsia"/>
                <w:color w:val="auto"/>
                <w:szCs w:val="21"/>
              </w:rPr>
              <w:t>。</w:t>
            </w:r>
          </w:p>
          <w:p w14:paraId="03375BB4">
            <w:pPr>
              <w:spacing w:line="360" w:lineRule="auto"/>
              <w:ind w:firstLine="420" w:firstLineChars="200"/>
              <w:rPr>
                <w:rFonts w:hint="eastAsia"/>
                <w:color w:val="auto"/>
                <w:szCs w:val="21"/>
              </w:rPr>
            </w:pPr>
            <w:r>
              <w:rPr>
                <w:color w:val="auto"/>
                <w:szCs w:val="21"/>
              </w:rPr>
              <w:t>⑤同一贮存设施宜采用相同的防渗、防腐工艺（包括防渗、防腐结构或材料），防渗、防腐材料应覆盖所有可能与废物及其渗滤液、渗漏液等接触的构筑物表面；采用不同防渗、防腐工艺应分别建设贮存分区</w:t>
            </w:r>
            <w:r>
              <w:rPr>
                <w:rFonts w:hint="eastAsia"/>
                <w:color w:val="auto"/>
                <w:szCs w:val="21"/>
              </w:rPr>
              <w:t>。</w:t>
            </w:r>
          </w:p>
          <w:p w14:paraId="682F88A1">
            <w:pPr>
              <w:spacing w:line="360" w:lineRule="auto"/>
              <w:ind w:firstLine="420" w:firstLineChars="200"/>
              <w:rPr>
                <w:rFonts w:hint="eastAsia"/>
                <w:color w:val="auto"/>
                <w:szCs w:val="21"/>
              </w:rPr>
            </w:pPr>
            <w:r>
              <w:rPr>
                <w:color w:val="auto"/>
                <w:szCs w:val="21"/>
              </w:rPr>
              <w:t>⑥贮存设施应采取技术和管理措施防止无关人员进入</w:t>
            </w:r>
            <w:r>
              <w:rPr>
                <w:rFonts w:hint="eastAsia"/>
                <w:color w:val="auto"/>
                <w:szCs w:val="21"/>
              </w:rPr>
              <w:t>。</w:t>
            </w:r>
          </w:p>
          <w:p w14:paraId="5B06780F">
            <w:pPr>
              <w:spacing w:line="360" w:lineRule="auto"/>
              <w:ind w:firstLine="420" w:firstLineChars="200"/>
              <w:rPr>
                <w:color w:val="auto"/>
                <w:szCs w:val="21"/>
              </w:rPr>
            </w:pPr>
            <w:r>
              <w:rPr>
                <w:color w:val="auto"/>
                <w:szCs w:val="21"/>
              </w:rPr>
              <w:t>⑦贮存库内不同贮存分区之间应采取隔离措施。隔离措施可根据危险废物特性采用过道、隔板或隔墙等方式</w:t>
            </w:r>
            <w:r>
              <w:rPr>
                <w:rFonts w:hint="eastAsia"/>
                <w:color w:val="auto"/>
                <w:szCs w:val="21"/>
              </w:rPr>
              <w:t>。</w:t>
            </w:r>
          </w:p>
          <w:p w14:paraId="336754CA">
            <w:pPr>
              <w:spacing w:line="360" w:lineRule="auto"/>
              <w:ind w:firstLine="420" w:firstLineChars="200"/>
              <w:rPr>
                <w:rFonts w:hint="eastAsia"/>
                <w:color w:val="auto"/>
                <w:szCs w:val="21"/>
              </w:rPr>
            </w:pPr>
            <w:r>
              <w:rPr>
                <w:rFonts w:hint="eastAsia"/>
                <w:color w:val="auto"/>
                <w:szCs w:val="21"/>
              </w:rPr>
              <w:t>⑧</w:t>
            </w:r>
            <w:r>
              <w:rPr>
                <w:color w:val="auto"/>
                <w:szCs w:val="21"/>
              </w:rPr>
              <w:t>在贮存库内或通过贮存分区方式贮存液态危险废物的，应具有液体泄漏堵截设施，堵截设施最小容积不应低于对应贮存区域最大液态废物容器容积或液态废物总储量1/10（二者取较大者）；用于贮存可能产生渗滤液的危险废物的贮存库或贮存分区应设计渗滤液收集设施，收集设施容积应满足渗滤液的收集要求</w:t>
            </w:r>
            <w:r>
              <w:rPr>
                <w:rFonts w:hint="eastAsia"/>
                <w:color w:val="auto"/>
                <w:szCs w:val="21"/>
              </w:rPr>
              <w:t>。</w:t>
            </w:r>
          </w:p>
          <w:p w14:paraId="16DE287B">
            <w:pPr>
              <w:spacing w:line="360" w:lineRule="auto"/>
              <w:ind w:firstLine="420" w:firstLineChars="200"/>
              <w:rPr>
                <w:rFonts w:hint="eastAsia"/>
                <w:color w:val="auto"/>
                <w:szCs w:val="21"/>
              </w:rPr>
            </w:pPr>
            <w:r>
              <w:rPr>
                <w:rFonts w:hint="eastAsia"/>
                <w:color w:val="auto"/>
                <w:szCs w:val="21"/>
              </w:rPr>
              <w:t>⑨</w:t>
            </w:r>
            <w:r>
              <w:rPr>
                <w:color w:val="auto"/>
                <w:szCs w:val="21"/>
              </w:rPr>
              <w:t>废物贮存设施应配备通讯设备、照明设施、安全防护服装及工具，并设有应急防护设施</w:t>
            </w:r>
            <w:r>
              <w:rPr>
                <w:rFonts w:hint="eastAsia"/>
                <w:color w:val="auto"/>
                <w:szCs w:val="21"/>
              </w:rPr>
              <w:t>。</w:t>
            </w:r>
          </w:p>
          <w:p w14:paraId="0A2362D1">
            <w:pPr>
              <w:spacing w:line="360" w:lineRule="auto"/>
              <w:ind w:firstLine="420" w:firstLineChars="200"/>
              <w:rPr>
                <w:color w:val="auto"/>
                <w:szCs w:val="21"/>
              </w:rPr>
            </w:pPr>
            <w:r>
              <w:rPr>
                <w:color w:val="auto"/>
                <w:szCs w:val="21"/>
              </w:rPr>
              <w:t>在危废贮存设施出入口、设施内部、危险废物运输车辆通道等关键位置设置视频监控，并满足以下需求：</w:t>
            </w:r>
          </w:p>
          <w:p w14:paraId="5255F370">
            <w:pPr>
              <w:spacing w:line="360" w:lineRule="auto"/>
              <w:ind w:firstLine="420" w:firstLineChars="200"/>
              <w:rPr>
                <w:color w:val="auto"/>
                <w:szCs w:val="21"/>
              </w:rPr>
            </w:pPr>
            <w:r>
              <w:rPr>
                <w:color w:val="auto"/>
                <w:szCs w:val="21"/>
              </w:rPr>
              <w:t>监控系统：须满足《公共安全视频监控联网系统信息传输、交换、控制技术要求》（GB/T28181-2016）、《安全防范高清视频监控系统技术要求》（GA/T1211-2014）等标准；所有摄像机须支持ONVIF、GB/T28181-2016标准协议。</w:t>
            </w:r>
          </w:p>
          <w:p w14:paraId="7DE2ABE1">
            <w:pPr>
              <w:spacing w:line="360" w:lineRule="auto"/>
              <w:ind w:firstLine="420" w:firstLineChars="200"/>
              <w:rPr>
                <w:color w:val="auto"/>
                <w:szCs w:val="21"/>
              </w:rPr>
            </w:pPr>
            <w:r>
              <w:rPr>
                <w:color w:val="auto"/>
                <w:szCs w:val="21"/>
              </w:rPr>
              <w:t>监控质量：须连续记录危险废物出入库情况和物流情况，包含录制日期及时间显示，不得对原始影像文件进行拼接、剪辑和编辑，保证影像连贯；摄像头距离监控对象的位置应保证监控对象全部摄入监控视频中，同时避免人员、设备、建筑物等的遮挡，清楚辨识贮存、处理等关键环节；监控区域24小时须有足够的光源以保证画面清晰辨识；视频监控录像画面分辨率须达到300万像素以上。</w:t>
            </w:r>
          </w:p>
          <w:p w14:paraId="506E90F6">
            <w:pPr>
              <w:spacing w:line="360" w:lineRule="auto"/>
              <w:ind w:firstLine="420" w:firstLineChars="200"/>
              <w:rPr>
                <w:color w:val="auto"/>
                <w:szCs w:val="21"/>
              </w:rPr>
            </w:pPr>
            <w:r>
              <w:rPr>
                <w:color w:val="auto"/>
                <w:szCs w:val="21"/>
              </w:rPr>
              <w:t>存储传输：</w:t>
            </w:r>
            <w:r>
              <w:rPr>
                <w:rFonts w:hint="eastAsia"/>
                <w:color w:val="auto"/>
                <w:szCs w:val="21"/>
              </w:rPr>
              <w:t>建设单位</w:t>
            </w:r>
            <w:r>
              <w:rPr>
                <w:color w:val="auto"/>
                <w:szCs w:val="21"/>
              </w:rPr>
              <w:t>应当做好备用电源、视频双备份等保障措施，确保视频监控全天24小时不间断录像，监控视频保存时间至少为3个月。</w:t>
            </w:r>
          </w:p>
          <w:p w14:paraId="07A0E180">
            <w:pPr>
              <w:spacing w:line="360" w:lineRule="auto"/>
              <w:ind w:firstLine="422" w:firstLineChars="200"/>
              <w:rPr>
                <w:b/>
                <w:bCs/>
                <w:color w:val="auto"/>
                <w:szCs w:val="21"/>
              </w:rPr>
            </w:pPr>
            <w:r>
              <w:rPr>
                <w:b/>
                <w:bCs/>
                <w:color w:val="auto"/>
                <w:szCs w:val="21"/>
              </w:rPr>
              <w:t>危险废物收集、贮存、运输应按《危险废物收集贮存运输技术规范》（HJ2025-2012）要求设置，并做到以下几点：</w:t>
            </w:r>
          </w:p>
          <w:p w14:paraId="75424864">
            <w:pPr>
              <w:spacing w:line="360" w:lineRule="auto"/>
              <w:ind w:firstLine="420" w:firstLineChars="200"/>
              <w:rPr>
                <w:b w:val="0"/>
                <w:bCs w:val="0"/>
                <w:color w:val="auto"/>
                <w:szCs w:val="21"/>
              </w:rPr>
            </w:pPr>
            <w:r>
              <w:rPr>
                <w:b w:val="0"/>
                <w:bCs w:val="0"/>
                <w:color w:val="auto"/>
                <w:szCs w:val="21"/>
              </w:rPr>
              <w:t>①危险废物的收集应根据危险废物产生的工艺特征、排放周期、危险废物特性、废物管理计划等因素制定收集计划。</w:t>
            </w:r>
          </w:p>
          <w:p w14:paraId="3C29A51C">
            <w:pPr>
              <w:spacing w:line="360" w:lineRule="auto"/>
              <w:ind w:firstLine="420" w:firstLineChars="200"/>
              <w:jc w:val="left"/>
              <w:rPr>
                <w:b w:val="0"/>
                <w:bCs w:val="0"/>
                <w:color w:val="auto"/>
                <w:szCs w:val="21"/>
              </w:rPr>
            </w:pPr>
            <w:r>
              <w:rPr>
                <w:b w:val="0"/>
                <w:bCs w:val="0"/>
                <w:color w:val="auto"/>
                <w:szCs w:val="21"/>
              </w:rPr>
              <w:t>②在危险废物的收集和转运过程中，应采取相应的安全防护和污染防治措施，包括防爆、防火、防中毒、防感染、防泄露、防飞扬、防雨或其它防止污染环境的措施。</w:t>
            </w:r>
          </w:p>
          <w:p w14:paraId="6FCC5518">
            <w:pPr>
              <w:spacing w:line="360" w:lineRule="auto"/>
              <w:ind w:firstLine="420" w:firstLineChars="200"/>
              <w:rPr>
                <w:b w:val="0"/>
                <w:bCs w:val="0"/>
                <w:color w:val="auto"/>
                <w:szCs w:val="21"/>
              </w:rPr>
            </w:pPr>
            <w:r>
              <w:rPr>
                <w:b w:val="0"/>
                <w:bCs w:val="0"/>
                <w:color w:val="auto"/>
                <w:szCs w:val="21"/>
              </w:rPr>
              <w:t>③危险废物收集时应根据危险废物的种类、数量、危险特性、物理形态、运输要求等因素确定包装形式。</w:t>
            </w:r>
          </w:p>
          <w:p w14:paraId="386949A2">
            <w:pPr>
              <w:spacing w:line="360" w:lineRule="auto"/>
              <w:ind w:firstLine="420" w:firstLineChars="200"/>
              <w:rPr>
                <w:b w:val="0"/>
                <w:bCs w:val="0"/>
                <w:color w:val="auto"/>
                <w:szCs w:val="21"/>
              </w:rPr>
            </w:pPr>
            <w:r>
              <w:rPr>
                <w:b w:val="0"/>
                <w:bCs w:val="0"/>
                <w:color w:val="auto"/>
                <w:szCs w:val="21"/>
              </w:rPr>
              <w:t>④危险废物贮存设施应配备通讯设备、照明设施和消防设施。</w:t>
            </w:r>
          </w:p>
          <w:p w14:paraId="64062FEC">
            <w:pPr>
              <w:spacing w:line="360" w:lineRule="auto"/>
              <w:ind w:firstLine="420" w:firstLineChars="200"/>
              <w:rPr>
                <w:b w:val="0"/>
                <w:bCs w:val="0"/>
                <w:color w:val="auto"/>
                <w:szCs w:val="21"/>
              </w:rPr>
            </w:pPr>
            <w:r>
              <w:rPr>
                <w:b w:val="0"/>
                <w:bCs w:val="0"/>
                <w:color w:val="auto"/>
                <w:szCs w:val="21"/>
              </w:rPr>
              <w:t>⑤贮存危险废物时应按危险废物的种类和特性进行分区贮存，每个贮存区域之间宜设置挡墙间隔，并应设置防雨、防火、防雷、防扬尘装置。</w:t>
            </w:r>
          </w:p>
          <w:p w14:paraId="16966B0F">
            <w:pPr>
              <w:spacing w:line="360" w:lineRule="auto"/>
              <w:ind w:firstLine="420" w:firstLineChars="200"/>
              <w:rPr>
                <w:b w:val="0"/>
                <w:bCs w:val="0"/>
                <w:color w:val="auto"/>
                <w:szCs w:val="21"/>
              </w:rPr>
            </w:pPr>
            <w:r>
              <w:rPr>
                <w:b w:val="0"/>
                <w:bCs w:val="0"/>
                <w:color w:val="auto"/>
                <w:szCs w:val="21"/>
              </w:rPr>
              <w:t>⑥危险废物运输应由持有危险废物经营许可证的单位按照其许可证的经营范围组织实施，承担危险废物运输的单位应获得交通运输部门颁发的危险货物运输资质。</w:t>
            </w:r>
          </w:p>
          <w:p w14:paraId="4A99710A">
            <w:pPr>
              <w:spacing w:line="360" w:lineRule="auto"/>
              <w:ind w:firstLine="420" w:firstLineChars="200"/>
              <w:jc w:val="left"/>
              <w:outlineLvl w:val="0"/>
              <w:rPr>
                <w:b w:val="0"/>
                <w:bCs w:val="0"/>
                <w:color w:val="auto"/>
                <w:szCs w:val="21"/>
              </w:rPr>
            </w:pPr>
            <w:bookmarkStart w:id="18" w:name="_Toc23278"/>
            <w:bookmarkStart w:id="19" w:name="_Toc23700"/>
            <w:bookmarkStart w:id="20" w:name="_Toc32113"/>
            <w:bookmarkStart w:id="21" w:name="_Toc892"/>
            <w:bookmarkStart w:id="22" w:name="_Toc1105"/>
            <w:r>
              <w:rPr>
                <w:b w:val="0"/>
                <w:bCs w:val="0"/>
                <w:color w:val="auto"/>
                <w:szCs w:val="21"/>
              </w:rPr>
              <w:t>⑦危险废物公路运输时，运输车辆应按GB13392设置车辆标志。铁路运输和水路运输危险废物时应在集装箱外按GB190规定悬挂标志。</w:t>
            </w:r>
            <w:bookmarkEnd w:id="18"/>
            <w:bookmarkEnd w:id="19"/>
            <w:bookmarkEnd w:id="20"/>
            <w:bookmarkEnd w:id="21"/>
            <w:bookmarkEnd w:id="22"/>
          </w:p>
          <w:p w14:paraId="5A439F3A">
            <w:pPr>
              <w:keepNext w:val="0"/>
              <w:keepLines w:val="0"/>
              <w:pageBreakBefore w:val="0"/>
              <w:widowControl w:val="0"/>
              <w:kinsoku/>
              <w:wordWrap/>
              <w:overflowPunct/>
              <w:topLinePunct w:val="0"/>
              <w:autoSpaceDE/>
              <w:autoSpaceDN/>
              <w:bidi w:val="0"/>
              <w:adjustRightInd/>
              <w:snapToGrid/>
              <w:jc w:val="center"/>
              <w:textAlignment w:val="auto"/>
              <w:rPr>
                <w:b/>
                <w:bCs/>
                <w:color w:val="auto"/>
                <w:szCs w:val="21"/>
              </w:rPr>
            </w:pPr>
            <w:r>
              <w:rPr>
                <w:b/>
                <w:bCs/>
                <w:color w:val="auto"/>
                <w:szCs w:val="21"/>
              </w:rPr>
              <w:t>表4-</w:t>
            </w:r>
            <w:r>
              <w:rPr>
                <w:rFonts w:hint="eastAsia"/>
                <w:b/>
                <w:bCs/>
                <w:color w:val="auto"/>
                <w:szCs w:val="21"/>
                <w:lang w:val="en-US" w:eastAsia="zh-CN"/>
              </w:rPr>
              <w:t>27</w:t>
            </w:r>
            <w:r>
              <w:rPr>
                <w:b/>
                <w:bCs/>
                <w:color w:val="auto"/>
                <w:szCs w:val="21"/>
              </w:rPr>
              <w:t xml:space="preserve"> 危险废物贮存场所基本情况表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33"/>
              <w:gridCol w:w="572"/>
              <w:gridCol w:w="1403"/>
              <w:gridCol w:w="940"/>
              <w:gridCol w:w="1230"/>
              <w:gridCol w:w="600"/>
              <w:gridCol w:w="810"/>
              <w:gridCol w:w="1100"/>
              <w:gridCol w:w="580"/>
              <w:gridCol w:w="712"/>
            </w:tblGrid>
            <w:tr w14:paraId="0C97F0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8" w:type="pct"/>
                  <w:noWrap w:val="0"/>
                  <w:tcMar>
                    <w:top w:w="0" w:type="dxa"/>
                    <w:left w:w="0" w:type="dxa"/>
                    <w:bottom w:w="0" w:type="dxa"/>
                    <w:right w:w="0" w:type="dxa"/>
                  </w:tcMar>
                  <w:vAlign w:val="center"/>
                </w:tcPr>
                <w:p w14:paraId="181324C9">
                  <w:pPr>
                    <w:topLinePunct/>
                    <w:adjustRightInd w:val="0"/>
                    <w:snapToGrid w:val="0"/>
                    <w:jc w:val="center"/>
                    <w:rPr>
                      <w:b/>
                      <w:color w:val="auto"/>
                      <w:szCs w:val="21"/>
                    </w:rPr>
                  </w:pPr>
                  <w:r>
                    <w:rPr>
                      <w:b/>
                      <w:color w:val="auto"/>
                    </w:rPr>
                    <w:t>序号</w:t>
                  </w:r>
                </w:p>
              </w:tc>
              <w:tc>
                <w:tcPr>
                  <w:tcW w:w="341" w:type="pct"/>
                  <w:noWrap w:val="0"/>
                  <w:tcMar>
                    <w:top w:w="0" w:type="dxa"/>
                    <w:left w:w="0" w:type="dxa"/>
                    <w:bottom w:w="0" w:type="dxa"/>
                    <w:right w:w="0" w:type="dxa"/>
                  </w:tcMar>
                  <w:vAlign w:val="center"/>
                </w:tcPr>
                <w:p w14:paraId="3BE88C51">
                  <w:pPr>
                    <w:topLinePunct/>
                    <w:adjustRightInd w:val="0"/>
                    <w:snapToGrid w:val="0"/>
                    <w:jc w:val="center"/>
                    <w:rPr>
                      <w:b/>
                      <w:color w:val="auto"/>
                    </w:rPr>
                  </w:pPr>
                  <w:r>
                    <w:rPr>
                      <w:b/>
                      <w:color w:val="auto"/>
                    </w:rPr>
                    <w:t>贮存</w:t>
                  </w:r>
                </w:p>
                <w:p w14:paraId="50686FC6">
                  <w:pPr>
                    <w:topLinePunct/>
                    <w:adjustRightInd w:val="0"/>
                    <w:snapToGrid w:val="0"/>
                    <w:jc w:val="center"/>
                    <w:rPr>
                      <w:b/>
                      <w:color w:val="auto"/>
                      <w:szCs w:val="21"/>
                    </w:rPr>
                  </w:pPr>
                  <w:r>
                    <w:rPr>
                      <w:b/>
                      <w:color w:val="auto"/>
                    </w:rPr>
                    <w:t>场所</w:t>
                  </w:r>
                </w:p>
              </w:tc>
              <w:tc>
                <w:tcPr>
                  <w:tcW w:w="837" w:type="pct"/>
                  <w:noWrap w:val="0"/>
                  <w:tcMar>
                    <w:top w:w="0" w:type="dxa"/>
                    <w:left w:w="0" w:type="dxa"/>
                    <w:bottom w:w="0" w:type="dxa"/>
                    <w:right w:w="0" w:type="dxa"/>
                  </w:tcMar>
                  <w:vAlign w:val="center"/>
                </w:tcPr>
                <w:p w14:paraId="61F8C49B">
                  <w:pPr>
                    <w:topLinePunct/>
                    <w:adjustRightInd w:val="0"/>
                    <w:snapToGrid w:val="0"/>
                    <w:jc w:val="center"/>
                    <w:rPr>
                      <w:b/>
                      <w:color w:val="auto"/>
                    </w:rPr>
                  </w:pPr>
                  <w:r>
                    <w:rPr>
                      <w:b/>
                      <w:color w:val="auto"/>
                    </w:rPr>
                    <w:t>危险废物</w:t>
                  </w:r>
                </w:p>
                <w:p w14:paraId="2E62AB2A">
                  <w:pPr>
                    <w:topLinePunct/>
                    <w:adjustRightInd w:val="0"/>
                    <w:snapToGrid w:val="0"/>
                    <w:jc w:val="center"/>
                    <w:rPr>
                      <w:b/>
                      <w:color w:val="auto"/>
                      <w:szCs w:val="21"/>
                    </w:rPr>
                  </w:pPr>
                  <w:r>
                    <w:rPr>
                      <w:b/>
                      <w:color w:val="auto"/>
                    </w:rPr>
                    <w:t>名称</w:t>
                  </w:r>
                </w:p>
              </w:tc>
              <w:tc>
                <w:tcPr>
                  <w:tcW w:w="560" w:type="pct"/>
                  <w:noWrap w:val="0"/>
                  <w:tcMar>
                    <w:top w:w="0" w:type="dxa"/>
                    <w:left w:w="0" w:type="dxa"/>
                    <w:bottom w:w="0" w:type="dxa"/>
                    <w:right w:w="0" w:type="dxa"/>
                  </w:tcMar>
                  <w:vAlign w:val="center"/>
                </w:tcPr>
                <w:p w14:paraId="782BF9C1">
                  <w:pPr>
                    <w:topLinePunct/>
                    <w:adjustRightInd w:val="0"/>
                    <w:snapToGrid w:val="0"/>
                    <w:jc w:val="center"/>
                    <w:rPr>
                      <w:b/>
                      <w:color w:val="auto"/>
                    </w:rPr>
                  </w:pPr>
                  <w:r>
                    <w:rPr>
                      <w:b/>
                      <w:color w:val="auto"/>
                    </w:rPr>
                    <w:t>废物</w:t>
                  </w:r>
                </w:p>
                <w:p w14:paraId="73B45D6E">
                  <w:pPr>
                    <w:topLinePunct/>
                    <w:adjustRightInd w:val="0"/>
                    <w:snapToGrid w:val="0"/>
                    <w:jc w:val="center"/>
                    <w:rPr>
                      <w:b/>
                      <w:color w:val="auto"/>
                      <w:szCs w:val="21"/>
                    </w:rPr>
                  </w:pPr>
                  <w:r>
                    <w:rPr>
                      <w:b/>
                      <w:color w:val="auto"/>
                    </w:rPr>
                    <w:t>类别</w:t>
                  </w:r>
                </w:p>
              </w:tc>
              <w:tc>
                <w:tcPr>
                  <w:tcW w:w="733" w:type="pct"/>
                  <w:noWrap w:val="0"/>
                  <w:tcMar>
                    <w:top w:w="0" w:type="dxa"/>
                    <w:left w:w="0" w:type="dxa"/>
                    <w:bottom w:w="0" w:type="dxa"/>
                    <w:right w:w="0" w:type="dxa"/>
                  </w:tcMar>
                  <w:vAlign w:val="center"/>
                </w:tcPr>
                <w:p w14:paraId="46C0BB94">
                  <w:pPr>
                    <w:topLinePunct/>
                    <w:adjustRightInd w:val="0"/>
                    <w:snapToGrid w:val="0"/>
                    <w:jc w:val="center"/>
                    <w:rPr>
                      <w:b/>
                      <w:color w:val="auto"/>
                      <w:szCs w:val="21"/>
                    </w:rPr>
                  </w:pPr>
                  <w:r>
                    <w:rPr>
                      <w:b/>
                      <w:color w:val="auto"/>
                    </w:rPr>
                    <w:t>废物代码</w:t>
                  </w:r>
                </w:p>
              </w:tc>
              <w:tc>
                <w:tcPr>
                  <w:tcW w:w="357" w:type="pct"/>
                  <w:tcBorders>
                    <w:bottom w:val="single" w:color="auto" w:sz="4" w:space="0"/>
                  </w:tcBorders>
                  <w:noWrap w:val="0"/>
                  <w:tcMar>
                    <w:top w:w="0" w:type="dxa"/>
                    <w:left w:w="0" w:type="dxa"/>
                    <w:bottom w:w="0" w:type="dxa"/>
                    <w:right w:w="0" w:type="dxa"/>
                  </w:tcMar>
                  <w:vAlign w:val="center"/>
                </w:tcPr>
                <w:p w14:paraId="78072341">
                  <w:pPr>
                    <w:topLinePunct/>
                    <w:adjustRightInd w:val="0"/>
                    <w:snapToGrid w:val="0"/>
                    <w:jc w:val="center"/>
                    <w:rPr>
                      <w:b/>
                      <w:color w:val="auto"/>
                      <w:szCs w:val="21"/>
                    </w:rPr>
                  </w:pPr>
                  <w:r>
                    <w:rPr>
                      <w:b/>
                      <w:color w:val="auto"/>
                    </w:rPr>
                    <w:t>位置</w:t>
                  </w:r>
                </w:p>
              </w:tc>
              <w:tc>
                <w:tcPr>
                  <w:tcW w:w="483" w:type="pct"/>
                  <w:tcBorders>
                    <w:bottom w:val="single" w:color="auto" w:sz="4" w:space="0"/>
                  </w:tcBorders>
                  <w:noWrap w:val="0"/>
                  <w:tcMar>
                    <w:top w:w="0" w:type="dxa"/>
                    <w:left w:w="0" w:type="dxa"/>
                    <w:bottom w:w="0" w:type="dxa"/>
                    <w:right w:w="0" w:type="dxa"/>
                  </w:tcMar>
                  <w:vAlign w:val="center"/>
                </w:tcPr>
                <w:p w14:paraId="3797F719">
                  <w:pPr>
                    <w:topLinePunct/>
                    <w:adjustRightInd w:val="0"/>
                    <w:snapToGrid w:val="0"/>
                    <w:jc w:val="center"/>
                    <w:rPr>
                      <w:b/>
                      <w:color w:val="auto"/>
                      <w:szCs w:val="21"/>
                    </w:rPr>
                  </w:pPr>
                  <w:r>
                    <w:rPr>
                      <w:b/>
                      <w:color w:val="auto"/>
                    </w:rPr>
                    <w:t>占地面积(m</w:t>
                  </w:r>
                  <w:r>
                    <w:rPr>
                      <w:b/>
                      <w:color w:val="auto"/>
                      <w:vertAlign w:val="superscript"/>
                    </w:rPr>
                    <w:t>2</w:t>
                  </w:r>
                  <w:r>
                    <w:rPr>
                      <w:b/>
                      <w:color w:val="auto"/>
                    </w:rPr>
                    <w:t>)</w:t>
                  </w:r>
                </w:p>
              </w:tc>
              <w:tc>
                <w:tcPr>
                  <w:tcW w:w="656" w:type="pct"/>
                  <w:noWrap w:val="0"/>
                  <w:tcMar>
                    <w:top w:w="0" w:type="dxa"/>
                    <w:left w:w="0" w:type="dxa"/>
                    <w:bottom w:w="0" w:type="dxa"/>
                    <w:right w:w="0" w:type="dxa"/>
                  </w:tcMar>
                  <w:vAlign w:val="center"/>
                </w:tcPr>
                <w:p w14:paraId="7197FA09">
                  <w:pPr>
                    <w:topLinePunct/>
                    <w:adjustRightInd w:val="0"/>
                    <w:snapToGrid w:val="0"/>
                    <w:jc w:val="center"/>
                    <w:rPr>
                      <w:b/>
                      <w:color w:val="auto"/>
                      <w:szCs w:val="21"/>
                    </w:rPr>
                  </w:pPr>
                  <w:r>
                    <w:rPr>
                      <w:b/>
                      <w:color w:val="auto"/>
                    </w:rPr>
                    <w:t>贮存方式</w:t>
                  </w:r>
                </w:p>
              </w:tc>
              <w:tc>
                <w:tcPr>
                  <w:tcW w:w="346" w:type="pct"/>
                  <w:noWrap w:val="0"/>
                  <w:tcMar>
                    <w:top w:w="0" w:type="dxa"/>
                    <w:left w:w="0" w:type="dxa"/>
                    <w:bottom w:w="0" w:type="dxa"/>
                    <w:right w:w="0" w:type="dxa"/>
                  </w:tcMar>
                  <w:vAlign w:val="center"/>
                </w:tcPr>
                <w:p w14:paraId="37948DD6">
                  <w:pPr>
                    <w:topLinePunct/>
                    <w:adjustRightInd w:val="0"/>
                    <w:snapToGrid w:val="0"/>
                    <w:jc w:val="center"/>
                    <w:rPr>
                      <w:b/>
                      <w:color w:val="auto"/>
                      <w:szCs w:val="21"/>
                    </w:rPr>
                  </w:pPr>
                  <w:r>
                    <w:rPr>
                      <w:b/>
                      <w:color w:val="auto"/>
                    </w:rPr>
                    <w:t>贮存能力</w:t>
                  </w:r>
                </w:p>
              </w:tc>
              <w:tc>
                <w:tcPr>
                  <w:tcW w:w="424" w:type="pct"/>
                  <w:noWrap w:val="0"/>
                  <w:tcMar>
                    <w:top w:w="0" w:type="dxa"/>
                    <w:left w:w="0" w:type="dxa"/>
                    <w:bottom w:w="0" w:type="dxa"/>
                    <w:right w:w="0" w:type="dxa"/>
                  </w:tcMar>
                  <w:vAlign w:val="center"/>
                </w:tcPr>
                <w:p w14:paraId="289579AE">
                  <w:pPr>
                    <w:topLinePunct/>
                    <w:adjustRightInd w:val="0"/>
                    <w:snapToGrid w:val="0"/>
                    <w:jc w:val="center"/>
                    <w:rPr>
                      <w:b/>
                      <w:color w:val="auto"/>
                    </w:rPr>
                  </w:pPr>
                  <w:r>
                    <w:rPr>
                      <w:b/>
                      <w:color w:val="auto"/>
                    </w:rPr>
                    <w:t>贮存</w:t>
                  </w:r>
                </w:p>
                <w:p w14:paraId="55DF5381">
                  <w:pPr>
                    <w:topLinePunct/>
                    <w:adjustRightInd w:val="0"/>
                    <w:snapToGrid w:val="0"/>
                    <w:jc w:val="center"/>
                    <w:rPr>
                      <w:b/>
                      <w:color w:val="auto"/>
                      <w:szCs w:val="21"/>
                    </w:rPr>
                  </w:pPr>
                  <w:r>
                    <w:rPr>
                      <w:b/>
                      <w:color w:val="auto"/>
                    </w:rPr>
                    <w:t>周期</w:t>
                  </w:r>
                </w:p>
              </w:tc>
            </w:tr>
            <w:tr w14:paraId="0F356E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8" w:type="pct"/>
                  <w:noWrap w:val="0"/>
                  <w:tcMar>
                    <w:top w:w="0" w:type="dxa"/>
                    <w:left w:w="0" w:type="dxa"/>
                    <w:bottom w:w="0" w:type="dxa"/>
                    <w:right w:w="0" w:type="dxa"/>
                  </w:tcMar>
                  <w:vAlign w:val="center"/>
                </w:tcPr>
                <w:p w14:paraId="7F8582D6">
                  <w:pPr>
                    <w:topLinePunct/>
                    <w:adjustRightInd w:val="0"/>
                    <w:snapToGrid w:val="0"/>
                    <w:jc w:val="center"/>
                    <w:rPr>
                      <w:color w:val="auto"/>
                    </w:rPr>
                  </w:pPr>
                  <w:r>
                    <w:rPr>
                      <w:color w:val="auto"/>
                    </w:rPr>
                    <w:t>1</w:t>
                  </w:r>
                </w:p>
              </w:tc>
              <w:tc>
                <w:tcPr>
                  <w:tcW w:w="341" w:type="pct"/>
                  <w:vMerge w:val="restart"/>
                  <w:noWrap w:val="0"/>
                  <w:tcMar>
                    <w:top w:w="0" w:type="dxa"/>
                    <w:left w:w="0" w:type="dxa"/>
                    <w:bottom w:w="0" w:type="dxa"/>
                    <w:right w:w="0" w:type="dxa"/>
                  </w:tcMar>
                  <w:vAlign w:val="center"/>
                </w:tcPr>
                <w:p w14:paraId="64031C8F">
                  <w:pPr>
                    <w:topLinePunct/>
                    <w:adjustRightInd w:val="0"/>
                    <w:snapToGrid w:val="0"/>
                    <w:jc w:val="center"/>
                    <w:rPr>
                      <w:color w:val="auto"/>
                    </w:rPr>
                  </w:pPr>
                  <w:r>
                    <w:rPr>
                      <w:color w:val="auto"/>
                    </w:rPr>
                    <w:t>危废</w:t>
                  </w:r>
                </w:p>
                <w:p w14:paraId="1BDD5600">
                  <w:pPr>
                    <w:topLinePunct/>
                    <w:adjustRightInd w:val="0"/>
                    <w:snapToGrid w:val="0"/>
                    <w:jc w:val="center"/>
                    <w:rPr>
                      <w:color w:val="auto"/>
                    </w:rPr>
                  </w:pPr>
                  <w:r>
                    <w:rPr>
                      <w:color w:val="auto"/>
                    </w:rPr>
                    <w:t>仓库</w:t>
                  </w:r>
                </w:p>
              </w:tc>
              <w:tc>
                <w:tcPr>
                  <w:tcW w:w="837" w:type="pct"/>
                  <w:shd w:val="clear" w:color="auto" w:fill="auto"/>
                  <w:noWrap w:val="0"/>
                  <w:tcMar>
                    <w:top w:w="0" w:type="dxa"/>
                    <w:left w:w="0" w:type="dxa"/>
                    <w:bottom w:w="0" w:type="dxa"/>
                    <w:right w:w="0" w:type="dxa"/>
                  </w:tcMar>
                  <w:vAlign w:val="center"/>
                </w:tcPr>
                <w:p w14:paraId="6FA6B6D2">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喷淋塔废液</w:t>
                  </w:r>
                </w:p>
              </w:tc>
              <w:tc>
                <w:tcPr>
                  <w:tcW w:w="560" w:type="pct"/>
                  <w:shd w:val="clear" w:color="auto" w:fill="auto"/>
                  <w:noWrap w:val="0"/>
                  <w:tcMar>
                    <w:top w:w="0" w:type="dxa"/>
                    <w:left w:w="0" w:type="dxa"/>
                    <w:bottom w:w="0" w:type="dxa"/>
                    <w:right w:w="0" w:type="dxa"/>
                  </w:tcMar>
                  <w:vAlign w:val="center"/>
                </w:tcPr>
                <w:p w14:paraId="089F883B">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HW09</w:t>
                  </w:r>
                </w:p>
              </w:tc>
              <w:tc>
                <w:tcPr>
                  <w:tcW w:w="733" w:type="pct"/>
                  <w:shd w:val="clear" w:color="auto" w:fill="auto"/>
                  <w:noWrap w:val="0"/>
                  <w:tcMar>
                    <w:top w:w="0" w:type="dxa"/>
                    <w:left w:w="0" w:type="dxa"/>
                    <w:bottom w:w="0" w:type="dxa"/>
                    <w:right w:w="0" w:type="dxa"/>
                  </w:tcMar>
                  <w:vAlign w:val="center"/>
                </w:tcPr>
                <w:p w14:paraId="5E0E492E">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900-007-09</w:t>
                  </w:r>
                </w:p>
              </w:tc>
              <w:tc>
                <w:tcPr>
                  <w:tcW w:w="357" w:type="pct"/>
                  <w:vMerge w:val="restart"/>
                  <w:tcBorders>
                    <w:top w:val="single" w:color="auto" w:sz="4" w:space="0"/>
                  </w:tcBorders>
                  <w:noWrap w:val="0"/>
                  <w:tcMar>
                    <w:top w:w="0" w:type="dxa"/>
                    <w:left w:w="0" w:type="dxa"/>
                    <w:bottom w:w="0" w:type="dxa"/>
                    <w:right w:w="0" w:type="dxa"/>
                  </w:tcMar>
                  <w:vAlign w:val="center"/>
                </w:tcPr>
                <w:p w14:paraId="14658BBA">
                  <w:pPr>
                    <w:topLinePunct/>
                    <w:adjustRightInd w:val="0"/>
                    <w:snapToGrid w:val="0"/>
                    <w:jc w:val="center"/>
                    <w:rPr>
                      <w:rFonts w:hint="default" w:eastAsia="宋体"/>
                      <w:color w:val="auto"/>
                      <w:lang w:val="en-US" w:eastAsia="zh-CN"/>
                    </w:rPr>
                  </w:pPr>
                  <w:r>
                    <w:rPr>
                      <w:rFonts w:hint="eastAsia"/>
                      <w:color w:val="auto"/>
                      <w:lang w:val="en-US" w:eastAsia="zh-CN"/>
                    </w:rPr>
                    <w:t>生产车间内</w:t>
                  </w:r>
                </w:p>
              </w:tc>
              <w:tc>
                <w:tcPr>
                  <w:tcW w:w="483" w:type="pct"/>
                  <w:vMerge w:val="restart"/>
                  <w:tcBorders>
                    <w:top w:val="single" w:color="auto" w:sz="4" w:space="0"/>
                  </w:tcBorders>
                  <w:noWrap w:val="0"/>
                  <w:tcMar>
                    <w:top w:w="0" w:type="dxa"/>
                    <w:left w:w="0" w:type="dxa"/>
                    <w:bottom w:w="0" w:type="dxa"/>
                    <w:right w:w="0" w:type="dxa"/>
                  </w:tcMar>
                  <w:vAlign w:val="center"/>
                </w:tcPr>
                <w:p w14:paraId="062EFAC4">
                  <w:pPr>
                    <w:topLinePunct/>
                    <w:adjustRightInd w:val="0"/>
                    <w:snapToGrid w:val="0"/>
                    <w:jc w:val="center"/>
                    <w:rPr>
                      <w:rFonts w:hint="default" w:eastAsia="宋体"/>
                      <w:color w:val="auto"/>
                      <w:lang w:val="en-US" w:eastAsia="zh-CN"/>
                    </w:rPr>
                  </w:pPr>
                  <w:r>
                    <w:rPr>
                      <w:rFonts w:hint="eastAsia"/>
                      <w:color w:val="auto"/>
                      <w:lang w:val="en-US" w:eastAsia="zh-CN"/>
                    </w:rPr>
                    <w:t>10</w:t>
                  </w:r>
                </w:p>
              </w:tc>
              <w:tc>
                <w:tcPr>
                  <w:tcW w:w="656" w:type="pct"/>
                  <w:noWrap w:val="0"/>
                  <w:tcMar>
                    <w:top w:w="0" w:type="dxa"/>
                    <w:left w:w="0" w:type="dxa"/>
                    <w:bottom w:w="0" w:type="dxa"/>
                    <w:right w:w="0" w:type="dxa"/>
                  </w:tcMar>
                  <w:vAlign w:val="center"/>
                </w:tcPr>
                <w:p w14:paraId="4E66F829">
                  <w:pPr>
                    <w:topLinePunct/>
                    <w:adjustRightInd w:val="0"/>
                    <w:snapToGrid w:val="0"/>
                    <w:jc w:val="center"/>
                    <w:rPr>
                      <w:rFonts w:hint="default" w:eastAsia="宋体"/>
                      <w:color w:val="auto"/>
                      <w:kern w:val="0"/>
                      <w:szCs w:val="21"/>
                      <w:lang w:val="en-US" w:eastAsia="zh-CN"/>
                    </w:rPr>
                  </w:pPr>
                  <w:r>
                    <w:rPr>
                      <w:rFonts w:hint="eastAsia"/>
                      <w:color w:val="auto"/>
                      <w:kern w:val="0"/>
                      <w:szCs w:val="21"/>
                      <w:lang w:val="en-US" w:eastAsia="zh-CN"/>
                    </w:rPr>
                    <w:t>密闭桶装</w:t>
                  </w:r>
                </w:p>
              </w:tc>
              <w:tc>
                <w:tcPr>
                  <w:tcW w:w="346" w:type="pct"/>
                  <w:noWrap w:val="0"/>
                  <w:tcMar>
                    <w:top w:w="0" w:type="dxa"/>
                    <w:left w:w="0" w:type="dxa"/>
                    <w:bottom w:w="0" w:type="dxa"/>
                    <w:right w:w="0" w:type="dxa"/>
                  </w:tcMar>
                  <w:vAlign w:val="center"/>
                </w:tcPr>
                <w:p w14:paraId="70C7281B">
                  <w:pPr>
                    <w:pStyle w:val="55"/>
                    <w:spacing w:before="48" w:beforeLines="20" w:after="48" w:afterLines="20"/>
                    <w:rPr>
                      <w:rFonts w:hint="default"/>
                      <w:color w:val="auto"/>
                      <w:lang w:val="en-US" w:eastAsia="zh-CN"/>
                    </w:rPr>
                  </w:pPr>
                  <w:r>
                    <w:rPr>
                      <w:rFonts w:hint="eastAsia"/>
                      <w:color w:val="auto"/>
                      <w:lang w:val="en-US" w:eastAsia="zh-CN"/>
                    </w:rPr>
                    <w:t>1t</w:t>
                  </w:r>
                </w:p>
              </w:tc>
              <w:tc>
                <w:tcPr>
                  <w:tcW w:w="424" w:type="pct"/>
                  <w:noWrap w:val="0"/>
                  <w:tcMar>
                    <w:top w:w="0" w:type="dxa"/>
                    <w:left w:w="0" w:type="dxa"/>
                    <w:bottom w:w="0" w:type="dxa"/>
                    <w:right w:w="0" w:type="dxa"/>
                  </w:tcMar>
                  <w:vAlign w:val="center"/>
                </w:tcPr>
                <w:p w14:paraId="09CCD0BF">
                  <w:pPr>
                    <w:topLinePunct/>
                    <w:adjustRightInd w:val="0"/>
                    <w:snapToGrid w:val="0"/>
                    <w:jc w:val="center"/>
                    <w:rPr>
                      <w:rFonts w:hint="default"/>
                      <w:color w:val="auto"/>
                      <w:lang w:val="en-US" w:eastAsia="zh-CN"/>
                    </w:rPr>
                  </w:pPr>
                  <w:r>
                    <w:rPr>
                      <w:rFonts w:hint="eastAsia"/>
                      <w:color w:val="auto"/>
                      <w:lang w:val="en-US" w:eastAsia="zh-CN"/>
                    </w:rPr>
                    <w:t>半年</w:t>
                  </w:r>
                </w:p>
              </w:tc>
            </w:tr>
            <w:tr w14:paraId="695F44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8" w:type="pct"/>
                  <w:noWrap w:val="0"/>
                  <w:tcMar>
                    <w:top w:w="0" w:type="dxa"/>
                    <w:left w:w="0" w:type="dxa"/>
                    <w:bottom w:w="0" w:type="dxa"/>
                    <w:right w:w="0" w:type="dxa"/>
                  </w:tcMar>
                  <w:vAlign w:val="center"/>
                </w:tcPr>
                <w:p w14:paraId="5FA5D208">
                  <w:pPr>
                    <w:topLinePunct/>
                    <w:adjustRightInd w:val="0"/>
                    <w:snapToGrid w:val="0"/>
                    <w:jc w:val="center"/>
                    <w:rPr>
                      <w:rFonts w:hint="eastAsia" w:eastAsia="宋体"/>
                      <w:color w:val="auto"/>
                      <w:lang w:val="en-US" w:eastAsia="zh-CN"/>
                    </w:rPr>
                  </w:pPr>
                  <w:r>
                    <w:rPr>
                      <w:rFonts w:hint="eastAsia"/>
                      <w:color w:val="auto"/>
                      <w:lang w:val="en-US" w:eastAsia="zh-CN"/>
                    </w:rPr>
                    <w:t>2</w:t>
                  </w:r>
                </w:p>
              </w:tc>
              <w:tc>
                <w:tcPr>
                  <w:tcW w:w="341" w:type="pct"/>
                  <w:vMerge w:val="continue"/>
                  <w:noWrap w:val="0"/>
                  <w:tcMar>
                    <w:top w:w="0" w:type="dxa"/>
                    <w:left w:w="0" w:type="dxa"/>
                    <w:bottom w:w="0" w:type="dxa"/>
                    <w:right w:w="0" w:type="dxa"/>
                  </w:tcMar>
                  <w:vAlign w:val="center"/>
                </w:tcPr>
                <w:p w14:paraId="6F643BC0">
                  <w:pPr>
                    <w:topLinePunct/>
                    <w:adjustRightInd w:val="0"/>
                    <w:snapToGrid w:val="0"/>
                    <w:jc w:val="center"/>
                    <w:rPr>
                      <w:color w:val="auto"/>
                    </w:rPr>
                  </w:pPr>
                </w:p>
              </w:tc>
              <w:tc>
                <w:tcPr>
                  <w:tcW w:w="837" w:type="pct"/>
                  <w:shd w:val="clear" w:color="auto" w:fill="auto"/>
                  <w:noWrap w:val="0"/>
                  <w:tcMar>
                    <w:top w:w="0" w:type="dxa"/>
                    <w:left w:w="0" w:type="dxa"/>
                    <w:bottom w:w="0" w:type="dxa"/>
                    <w:right w:w="0" w:type="dxa"/>
                  </w:tcMar>
                  <w:vAlign w:val="center"/>
                </w:tcPr>
                <w:p w14:paraId="4AF9D7B5">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b w:val="0"/>
                      <w:bCs w:val="0"/>
                      <w:color w:val="auto"/>
                      <w:kern w:val="2"/>
                      <w:sz w:val="21"/>
                      <w:szCs w:val="21"/>
                      <w:lang w:val="en-US" w:eastAsia="zh-CN" w:bidi="ar-SA"/>
                    </w:rPr>
                  </w:pPr>
                  <w:r>
                    <w:rPr>
                      <w:rFonts w:hint="eastAsia"/>
                      <w:b w:val="0"/>
                      <w:bCs w:val="0"/>
                      <w:color w:val="auto"/>
                      <w:szCs w:val="21"/>
                      <w:lang w:val="en-US" w:eastAsia="zh-CN"/>
                    </w:rPr>
                    <w:t>废润滑油</w:t>
                  </w:r>
                </w:p>
              </w:tc>
              <w:tc>
                <w:tcPr>
                  <w:tcW w:w="560" w:type="pct"/>
                  <w:shd w:val="clear" w:color="auto" w:fill="auto"/>
                  <w:noWrap w:val="0"/>
                  <w:tcMar>
                    <w:top w:w="0" w:type="dxa"/>
                    <w:left w:w="0" w:type="dxa"/>
                    <w:bottom w:w="0" w:type="dxa"/>
                    <w:right w:w="0" w:type="dxa"/>
                  </w:tcMar>
                  <w:vAlign w:val="center"/>
                </w:tcPr>
                <w:p w14:paraId="11879074">
                  <w:pPr>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HW08</w:t>
                  </w:r>
                </w:p>
              </w:tc>
              <w:tc>
                <w:tcPr>
                  <w:tcW w:w="733" w:type="pct"/>
                  <w:shd w:val="clear" w:color="auto" w:fill="auto"/>
                  <w:noWrap w:val="0"/>
                  <w:tcMar>
                    <w:top w:w="0" w:type="dxa"/>
                    <w:left w:w="0" w:type="dxa"/>
                    <w:bottom w:w="0" w:type="dxa"/>
                    <w:right w:w="0" w:type="dxa"/>
                  </w:tcMar>
                  <w:vAlign w:val="center"/>
                </w:tcPr>
                <w:p w14:paraId="738F30AC">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900-217-08</w:t>
                  </w:r>
                </w:p>
              </w:tc>
              <w:tc>
                <w:tcPr>
                  <w:tcW w:w="357" w:type="pct"/>
                  <w:vMerge w:val="continue"/>
                  <w:noWrap w:val="0"/>
                  <w:tcMar>
                    <w:top w:w="0" w:type="dxa"/>
                    <w:left w:w="0" w:type="dxa"/>
                    <w:bottom w:w="0" w:type="dxa"/>
                    <w:right w:w="0" w:type="dxa"/>
                  </w:tcMar>
                  <w:vAlign w:val="center"/>
                </w:tcPr>
                <w:p w14:paraId="28DA8F39">
                  <w:pPr>
                    <w:topLinePunct/>
                    <w:adjustRightInd w:val="0"/>
                    <w:snapToGrid w:val="0"/>
                    <w:jc w:val="center"/>
                    <w:rPr>
                      <w:rFonts w:hint="default" w:eastAsia="宋体"/>
                      <w:color w:val="auto"/>
                      <w:lang w:val="en-US" w:eastAsia="zh-CN"/>
                    </w:rPr>
                  </w:pPr>
                </w:p>
              </w:tc>
              <w:tc>
                <w:tcPr>
                  <w:tcW w:w="483" w:type="pct"/>
                  <w:vMerge w:val="continue"/>
                  <w:noWrap w:val="0"/>
                  <w:tcMar>
                    <w:top w:w="0" w:type="dxa"/>
                    <w:left w:w="0" w:type="dxa"/>
                    <w:bottom w:w="0" w:type="dxa"/>
                    <w:right w:w="0" w:type="dxa"/>
                  </w:tcMar>
                  <w:vAlign w:val="center"/>
                </w:tcPr>
                <w:p w14:paraId="212CD2FB">
                  <w:pPr>
                    <w:topLinePunct/>
                    <w:adjustRightInd w:val="0"/>
                    <w:snapToGrid w:val="0"/>
                    <w:jc w:val="center"/>
                    <w:rPr>
                      <w:rFonts w:hint="default" w:eastAsia="宋体"/>
                      <w:color w:val="auto"/>
                      <w:lang w:val="en-US" w:eastAsia="zh-CN"/>
                    </w:rPr>
                  </w:pPr>
                </w:p>
              </w:tc>
              <w:tc>
                <w:tcPr>
                  <w:tcW w:w="656" w:type="pct"/>
                  <w:shd w:val="clear" w:color="auto" w:fill="auto"/>
                  <w:noWrap w:val="0"/>
                  <w:tcMar>
                    <w:top w:w="0" w:type="dxa"/>
                    <w:left w:w="0" w:type="dxa"/>
                    <w:bottom w:w="0" w:type="dxa"/>
                    <w:right w:w="0" w:type="dxa"/>
                  </w:tcMar>
                  <w:vAlign w:val="center"/>
                </w:tcPr>
                <w:p w14:paraId="35FCB8CB">
                  <w:pPr>
                    <w:topLinePunct/>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color w:val="auto"/>
                      <w:kern w:val="0"/>
                      <w:szCs w:val="21"/>
                      <w:lang w:val="en-US" w:eastAsia="zh-CN"/>
                    </w:rPr>
                    <w:t>密闭桶装</w:t>
                  </w:r>
                </w:p>
              </w:tc>
              <w:tc>
                <w:tcPr>
                  <w:tcW w:w="346" w:type="pct"/>
                  <w:shd w:val="clear" w:color="auto" w:fill="auto"/>
                  <w:noWrap w:val="0"/>
                  <w:tcMar>
                    <w:top w:w="0" w:type="dxa"/>
                    <w:left w:w="0" w:type="dxa"/>
                    <w:bottom w:w="0" w:type="dxa"/>
                    <w:right w:w="0" w:type="dxa"/>
                  </w:tcMar>
                  <w:vAlign w:val="center"/>
                </w:tcPr>
                <w:p w14:paraId="5040DAC4">
                  <w:pPr>
                    <w:pStyle w:val="55"/>
                    <w:spacing w:before="48" w:beforeLines="20" w:after="48" w:afterLines="20"/>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0.4t</w:t>
                  </w:r>
                </w:p>
              </w:tc>
              <w:tc>
                <w:tcPr>
                  <w:tcW w:w="424" w:type="pct"/>
                  <w:noWrap w:val="0"/>
                  <w:tcMar>
                    <w:top w:w="0" w:type="dxa"/>
                    <w:left w:w="0" w:type="dxa"/>
                    <w:bottom w:w="0" w:type="dxa"/>
                    <w:right w:w="0" w:type="dxa"/>
                  </w:tcMar>
                  <w:vAlign w:val="center"/>
                </w:tcPr>
                <w:p w14:paraId="71C0619D">
                  <w:pPr>
                    <w:topLinePunct/>
                    <w:adjustRightInd w:val="0"/>
                    <w:snapToGrid w:val="0"/>
                    <w:jc w:val="center"/>
                    <w:rPr>
                      <w:rFonts w:hint="default"/>
                      <w:color w:val="auto"/>
                      <w:kern w:val="2"/>
                      <w:sz w:val="21"/>
                      <w:szCs w:val="24"/>
                      <w:lang w:val="en-US" w:eastAsia="zh-CN" w:bidi="ar-SA"/>
                    </w:rPr>
                  </w:pPr>
                  <w:r>
                    <w:rPr>
                      <w:rFonts w:hint="eastAsia"/>
                      <w:color w:val="auto"/>
                      <w:lang w:val="en-US" w:eastAsia="zh-CN"/>
                    </w:rPr>
                    <w:t>半年</w:t>
                  </w:r>
                </w:p>
              </w:tc>
            </w:tr>
            <w:tr w14:paraId="25D257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8" w:type="pct"/>
                  <w:noWrap w:val="0"/>
                  <w:tcMar>
                    <w:top w:w="0" w:type="dxa"/>
                    <w:left w:w="0" w:type="dxa"/>
                    <w:bottom w:w="0" w:type="dxa"/>
                    <w:right w:w="0" w:type="dxa"/>
                  </w:tcMar>
                  <w:vAlign w:val="center"/>
                </w:tcPr>
                <w:p w14:paraId="38EEB30B">
                  <w:pPr>
                    <w:topLinePunct/>
                    <w:adjustRightInd w:val="0"/>
                    <w:snapToGrid w:val="0"/>
                    <w:jc w:val="center"/>
                    <w:rPr>
                      <w:rFonts w:hint="eastAsia"/>
                      <w:color w:val="auto"/>
                      <w:lang w:val="en-US" w:eastAsia="zh-CN"/>
                    </w:rPr>
                  </w:pPr>
                  <w:r>
                    <w:rPr>
                      <w:rFonts w:hint="eastAsia"/>
                      <w:color w:val="auto"/>
                      <w:lang w:val="en-US" w:eastAsia="zh-CN"/>
                    </w:rPr>
                    <w:t>3</w:t>
                  </w:r>
                </w:p>
              </w:tc>
              <w:tc>
                <w:tcPr>
                  <w:tcW w:w="341" w:type="pct"/>
                  <w:vMerge w:val="continue"/>
                  <w:noWrap w:val="0"/>
                  <w:tcMar>
                    <w:top w:w="0" w:type="dxa"/>
                    <w:left w:w="0" w:type="dxa"/>
                    <w:bottom w:w="0" w:type="dxa"/>
                    <w:right w:w="0" w:type="dxa"/>
                  </w:tcMar>
                  <w:vAlign w:val="center"/>
                </w:tcPr>
                <w:p w14:paraId="19A7EB40">
                  <w:pPr>
                    <w:topLinePunct/>
                    <w:adjustRightInd w:val="0"/>
                    <w:snapToGrid w:val="0"/>
                    <w:jc w:val="center"/>
                    <w:rPr>
                      <w:color w:val="auto"/>
                    </w:rPr>
                  </w:pPr>
                </w:p>
              </w:tc>
              <w:tc>
                <w:tcPr>
                  <w:tcW w:w="837" w:type="pct"/>
                  <w:shd w:val="clear" w:color="auto" w:fill="auto"/>
                  <w:noWrap w:val="0"/>
                  <w:tcMar>
                    <w:top w:w="0" w:type="dxa"/>
                    <w:left w:w="0" w:type="dxa"/>
                    <w:bottom w:w="0" w:type="dxa"/>
                    <w:right w:w="0" w:type="dxa"/>
                  </w:tcMar>
                  <w:vAlign w:val="center"/>
                </w:tcPr>
                <w:p w14:paraId="1C0FEBA0">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废油桶</w:t>
                  </w:r>
                </w:p>
              </w:tc>
              <w:tc>
                <w:tcPr>
                  <w:tcW w:w="560" w:type="pct"/>
                  <w:shd w:val="clear" w:color="auto" w:fill="auto"/>
                  <w:noWrap w:val="0"/>
                  <w:tcMar>
                    <w:top w:w="0" w:type="dxa"/>
                    <w:left w:w="0" w:type="dxa"/>
                    <w:bottom w:w="0" w:type="dxa"/>
                    <w:right w:w="0" w:type="dxa"/>
                  </w:tcMar>
                  <w:vAlign w:val="center"/>
                </w:tcPr>
                <w:p w14:paraId="40EF593B">
                  <w:pPr>
                    <w:jc w:val="center"/>
                    <w:rPr>
                      <w:rFonts w:hint="eastAsia"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HW08</w:t>
                  </w:r>
                </w:p>
              </w:tc>
              <w:tc>
                <w:tcPr>
                  <w:tcW w:w="733" w:type="pct"/>
                  <w:shd w:val="clear" w:color="auto" w:fill="auto"/>
                  <w:noWrap w:val="0"/>
                  <w:tcMar>
                    <w:top w:w="0" w:type="dxa"/>
                    <w:left w:w="0" w:type="dxa"/>
                    <w:bottom w:w="0" w:type="dxa"/>
                    <w:right w:w="0" w:type="dxa"/>
                  </w:tcMar>
                  <w:vAlign w:val="center"/>
                </w:tcPr>
                <w:p w14:paraId="7DF95BE6">
                  <w:pPr>
                    <w:jc w:val="center"/>
                    <w:rPr>
                      <w:rFonts w:hint="eastAsia"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900-249-08</w:t>
                  </w:r>
                </w:p>
              </w:tc>
              <w:tc>
                <w:tcPr>
                  <w:tcW w:w="357" w:type="pct"/>
                  <w:vMerge w:val="continue"/>
                  <w:noWrap w:val="0"/>
                  <w:tcMar>
                    <w:top w:w="0" w:type="dxa"/>
                    <w:left w:w="0" w:type="dxa"/>
                    <w:bottom w:w="0" w:type="dxa"/>
                    <w:right w:w="0" w:type="dxa"/>
                  </w:tcMar>
                  <w:vAlign w:val="center"/>
                </w:tcPr>
                <w:p w14:paraId="3D4C7391">
                  <w:pPr>
                    <w:topLinePunct/>
                    <w:adjustRightInd w:val="0"/>
                    <w:snapToGrid w:val="0"/>
                    <w:jc w:val="center"/>
                    <w:rPr>
                      <w:rFonts w:hint="default" w:eastAsia="宋体"/>
                      <w:color w:val="auto"/>
                      <w:lang w:val="en-US" w:eastAsia="zh-CN"/>
                    </w:rPr>
                  </w:pPr>
                </w:p>
              </w:tc>
              <w:tc>
                <w:tcPr>
                  <w:tcW w:w="483" w:type="pct"/>
                  <w:vMerge w:val="continue"/>
                  <w:noWrap w:val="0"/>
                  <w:tcMar>
                    <w:top w:w="0" w:type="dxa"/>
                    <w:left w:w="0" w:type="dxa"/>
                    <w:bottom w:w="0" w:type="dxa"/>
                    <w:right w:w="0" w:type="dxa"/>
                  </w:tcMar>
                  <w:vAlign w:val="center"/>
                </w:tcPr>
                <w:p w14:paraId="4443268F">
                  <w:pPr>
                    <w:topLinePunct/>
                    <w:adjustRightInd w:val="0"/>
                    <w:snapToGrid w:val="0"/>
                    <w:jc w:val="center"/>
                    <w:rPr>
                      <w:rFonts w:hint="default" w:eastAsia="宋体"/>
                      <w:color w:val="auto"/>
                      <w:lang w:val="en-US" w:eastAsia="zh-CN"/>
                    </w:rPr>
                  </w:pPr>
                </w:p>
              </w:tc>
              <w:tc>
                <w:tcPr>
                  <w:tcW w:w="656" w:type="pct"/>
                  <w:shd w:val="clear" w:color="auto" w:fill="auto"/>
                  <w:noWrap w:val="0"/>
                  <w:tcMar>
                    <w:top w:w="0" w:type="dxa"/>
                    <w:left w:w="0" w:type="dxa"/>
                    <w:bottom w:w="0" w:type="dxa"/>
                    <w:right w:w="0" w:type="dxa"/>
                  </w:tcMar>
                  <w:vAlign w:val="center"/>
                </w:tcPr>
                <w:p w14:paraId="5A4C352A">
                  <w:pPr>
                    <w:topLinePunct/>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color w:val="auto"/>
                      <w:kern w:val="0"/>
                      <w:szCs w:val="21"/>
                      <w:lang w:val="en-US" w:eastAsia="zh-CN"/>
                    </w:rPr>
                    <w:t>密闭桶装</w:t>
                  </w:r>
                </w:p>
              </w:tc>
              <w:tc>
                <w:tcPr>
                  <w:tcW w:w="346" w:type="pct"/>
                  <w:shd w:val="clear" w:color="auto" w:fill="auto"/>
                  <w:noWrap w:val="0"/>
                  <w:tcMar>
                    <w:top w:w="0" w:type="dxa"/>
                    <w:left w:w="0" w:type="dxa"/>
                    <w:bottom w:w="0" w:type="dxa"/>
                    <w:right w:w="0" w:type="dxa"/>
                  </w:tcMar>
                  <w:vAlign w:val="center"/>
                </w:tcPr>
                <w:p w14:paraId="00AC42E2">
                  <w:pPr>
                    <w:pStyle w:val="55"/>
                    <w:spacing w:before="48" w:beforeLines="20" w:after="48" w:afterLines="20"/>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6t</w:t>
                  </w:r>
                </w:p>
              </w:tc>
              <w:tc>
                <w:tcPr>
                  <w:tcW w:w="424" w:type="pct"/>
                  <w:noWrap w:val="0"/>
                  <w:tcMar>
                    <w:top w:w="0" w:type="dxa"/>
                    <w:left w:w="0" w:type="dxa"/>
                    <w:bottom w:w="0" w:type="dxa"/>
                    <w:right w:w="0" w:type="dxa"/>
                  </w:tcMar>
                  <w:vAlign w:val="center"/>
                </w:tcPr>
                <w:p w14:paraId="208D0C04">
                  <w:pPr>
                    <w:topLinePunct/>
                    <w:adjustRightInd w:val="0"/>
                    <w:snapToGrid w:val="0"/>
                    <w:jc w:val="center"/>
                    <w:rPr>
                      <w:rFonts w:hint="eastAsia"/>
                      <w:color w:val="auto"/>
                      <w:kern w:val="2"/>
                      <w:sz w:val="21"/>
                      <w:szCs w:val="24"/>
                      <w:lang w:val="en-US" w:eastAsia="zh-CN" w:bidi="ar-SA"/>
                    </w:rPr>
                  </w:pPr>
                  <w:r>
                    <w:rPr>
                      <w:rFonts w:hint="eastAsia"/>
                      <w:color w:val="auto"/>
                      <w:lang w:val="en-US" w:eastAsia="zh-CN"/>
                    </w:rPr>
                    <w:t>半年</w:t>
                  </w:r>
                </w:p>
              </w:tc>
            </w:tr>
            <w:tr w14:paraId="153A9F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8" w:type="pct"/>
                  <w:noWrap w:val="0"/>
                  <w:tcMar>
                    <w:top w:w="0" w:type="dxa"/>
                    <w:left w:w="0" w:type="dxa"/>
                    <w:bottom w:w="0" w:type="dxa"/>
                    <w:right w:w="0" w:type="dxa"/>
                  </w:tcMar>
                  <w:vAlign w:val="center"/>
                </w:tcPr>
                <w:p w14:paraId="029426DC">
                  <w:pPr>
                    <w:topLinePunct/>
                    <w:adjustRightInd w:val="0"/>
                    <w:snapToGrid w:val="0"/>
                    <w:jc w:val="center"/>
                    <w:rPr>
                      <w:rFonts w:hint="default"/>
                      <w:color w:val="auto"/>
                      <w:lang w:val="en-US" w:eastAsia="zh-CN"/>
                    </w:rPr>
                  </w:pPr>
                  <w:r>
                    <w:rPr>
                      <w:rFonts w:hint="eastAsia"/>
                      <w:color w:val="auto"/>
                      <w:lang w:val="en-US" w:eastAsia="zh-CN"/>
                    </w:rPr>
                    <w:t>4</w:t>
                  </w:r>
                </w:p>
              </w:tc>
              <w:tc>
                <w:tcPr>
                  <w:tcW w:w="341" w:type="pct"/>
                  <w:vMerge w:val="continue"/>
                  <w:noWrap w:val="0"/>
                  <w:tcMar>
                    <w:top w:w="0" w:type="dxa"/>
                    <w:left w:w="0" w:type="dxa"/>
                    <w:bottom w:w="0" w:type="dxa"/>
                    <w:right w:w="0" w:type="dxa"/>
                  </w:tcMar>
                  <w:vAlign w:val="center"/>
                </w:tcPr>
                <w:p w14:paraId="7D0C511B">
                  <w:pPr>
                    <w:topLinePunct/>
                    <w:adjustRightInd w:val="0"/>
                    <w:snapToGrid w:val="0"/>
                    <w:jc w:val="center"/>
                    <w:rPr>
                      <w:color w:val="auto"/>
                    </w:rPr>
                  </w:pPr>
                </w:p>
              </w:tc>
              <w:tc>
                <w:tcPr>
                  <w:tcW w:w="837" w:type="pct"/>
                  <w:shd w:val="clear" w:color="auto" w:fill="auto"/>
                  <w:noWrap w:val="0"/>
                  <w:tcMar>
                    <w:top w:w="0" w:type="dxa"/>
                    <w:left w:w="0" w:type="dxa"/>
                    <w:bottom w:w="0" w:type="dxa"/>
                    <w:right w:w="0" w:type="dxa"/>
                  </w:tcMar>
                  <w:vAlign w:val="center"/>
                </w:tcPr>
                <w:p w14:paraId="2869071F">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废包装桶</w:t>
                  </w:r>
                </w:p>
              </w:tc>
              <w:tc>
                <w:tcPr>
                  <w:tcW w:w="560" w:type="pct"/>
                  <w:shd w:val="clear" w:color="auto" w:fill="auto"/>
                  <w:noWrap w:val="0"/>
                  <w:tcMar>
                    <w:top w:w="0" w:type="dxa"/>
                    <w:left w:w="0" w:type="dxa"/>
                    <w:bottom w:w="0" w:type="dxa"/>
                    <w:right w:w="0" w:type="dxa"/>
                  </w:tcMar>
                  <w:vAlign w:val="center"/>
                </w:tcPr>
                <w:p w14:paraId="4E8D3740">
                  <w:pPr>
                    <w:jc w:val="center"/>
                    <w:rPr>
                      <w:rFonts w:hint="eastAsia" w:ascii="Times New Roman" w:hAnsi="Times New Roman" w:eastAsia="宋体" w:cs="Times New Roman"/>
                      <w:color w:val="auto"/>
                      <w:kern w:val="2"/>
                      <w:sz w:val="21"/>
                      <w:szCs w:val="21"/>
                      <w:lang w:val="en-US" w:eastAsia="zh-CN" w:bidi="ar-SA"/>
                    </w:rPr>
                  </w:pPr>
                  <w:r>
                    <w:rPr>
                      <w:color w:val="auto"/>
                      <w:szCs w:val="21"/>
                    </w:rPr>
                    <w:t>HW49</w:t>
                  </w:r>
                </w:p>
              </w:tc>
              <w:tc>
                <w:tcPr>
                  <w:tcW w:w="733" w:type="pct"/>
                  <w:shd w:val="clear" w:color="auto" w:fill="auto"/>
                  <w:noWrap w:val="0"/>
                  <w:tcMar>
                    <w:top w:w="0" w:type="dxa"/>
                    <w:left w:w="0" w:type="dxa"/>
                    <w:bottom w:w="0" w:type="dxa"/>
                    <w:right w:w="0" w:type="dxa"/>
                  </w:tcMar>
                  <w:vAlign w:val="center"/>
                </w:tcPr>
                <w:p w14:paraId="26F67798">
                  <w:pPr>
                    <w:jc w:val="center"/>
                    <w:rPr>
                      <w:rFonts w:hint="eastAsia" w:ascii="Times New Roman" w:hAnsi="Times New Roman" w:eastAsia="宋体" w:cs="Times New Roman"/>
                      <w:color w:val="auto"/>
                      <w:kern w:val="2"/>
                      <w:sz w:val="21"/>
                      <w:szCs w:val="21"/>
                      <w:lang w:val="en-US" w:eastAsia="zh-CN" w:bidi="ar-SA"/>
                    </w:rPr>
                  </w:pPr>
                  <w:r>
                    <w:rPr>
                      <w:color w:val="auto"/>
                      <w:szCs w:val="21"/>
                    </w:rPr>
                    <w:t>900-041-49</w:t>
                  </w:r>
                </w:p>
              </w:tc>
              <w:tc>
                <w:tcPr>
                  <w:tcW w:w="357" w:type="pct"/>
                  <w:vMerge w:val="continue"/>
                  <w:noWrap w:val="0"/>
                  <w:tcMar>
                    <w:top w:w="0" w:type="dxa"/>
                    <w:left w:w="0" w:type="dxa"/>
                    <w:bottom w:w="0" w:type="dxa"/>
                    <w:right w:w="0" w:type="dxa"/>
                  </w:tcMar>
                  <w:vAlign w:val="center"/>
                </w:tcPr>
                <w:p w14:paraId="1667FFB5">
                  <w:pPr>
                    <w:topLinePunct/>
                    <w:adjustRightInd w:val="0"/>
                    <w:snapToGrid w:val="0"/>
                    <w:jc w:val="center"/>
                    <w:rPr>
                      <w:rFonts w:hint="default" w:eastAsia="宋体"/>
                      <w:color w:val="auto"/>
                      <w:lang w:val="en-US" w:eastAsia="zh-CN"/>
                    </w:rPr>
                  </w:pPr>
                </w:p>
              </w:tc>
              <w:tc>
                <w:tcPr>
                  <w:tcW w:w="483" w:type="pct"/>
                  <w:vMerge w:val="continue"/>
                  <w:noWrap w:val="0"/>
                  <w:tcMar>
                    <w:top w:w="0" w:type="dxa"/>
                    <w:left w:w="0" w:type="dxa"/>
                    <w:bottom w:w="0" w:type="dxa"/>
                    <w:right w:w="0" w:type="dxa"/>
                  </w:tcMar>
                  <w:vAlign w:val="center"/>
                </w:tcPr>
                <w:p w14:paraId="6F1BF921">
                  <w:pPr>
                    <w:topLinePunct/>
                    <w:adjustRightInd w:val="0"/>
                    <w:snapToGrid w:val="0"/>
                    <w:jc w:val="center"/>
                    <w:rPr>
                      <w:rFonts w:hint="default" w:eastAsia="宋体"/>
                      <w:color w:val="auto"/>
                      <w:lang w:val="en-US" w:eastAsia="zh-CN"/>
                    </w:rPr>
                  </w:pPr>
                </w:p>
              </w:tc>
              <w:tc>
                <w:tcPr>
                  <w:tcW w:w="656" w:type="pct"/>
                  <w:shd w:val="clear" w:color="auto" w:fill="auto"/>
                  <w:noWrap w:val="0"/>
                  <w:tcMar>
                    <w:top w:w="0" w:type="dxa"/>
                    <w:left w:w="0" w:type="dxa"/>
                    <w:bottom w:w="0" w:type="dxa"/>
                    <w:right w:w="0" w:type="dxa"/>
                  </w:tcMar>
                  <w:vAlign w:val="center"/>
                </w:tcPr>
                <w:p w14:paraId="1F2FEE19">
                  <w:pPr>
                    <w:topLinePunct/>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color w:val="auto"/>
                      <w:kern w:val="0"/>
                      <w:szCs w:val="21"/>
                      <w:lang w:val="en-US" w:eastAsia="zh-CN"/>
                    </w:rPr>
                    <w:t>密闭桶装</w:t>
                  </w:r>
                </w:p>
              </w:tc>
              <w:tc>
                <w:tcPr>
                  <w:tcW w:w="346" w:type="pct"/>
                  <w:shd w:val="clear" w:color="auto" w:fill="auto"/>
                  <w:noWrap w:val="0"/>
                  <w:tcMar>
                    <w:top w:w="0" w:type="dxa"/>
                    <w:left w:w="0" w:type="dxa"/>
                    <w:bottom w:w="0" w:type="dxa"/>
                    <w:right w:w="0" w:type="dxa"/>
                  </w:tcMar>
                  <w:vAlign w:val="center"/>
                </w:tcPr>
                <w:p w14:paraId="6DC09F2A">
                  <w:pPr>
                    <w:pStyle w:val="55"/>
                    <w:spacing w:before="48" w:beforeLines="20" w:after="48" w:afterLines="20"/>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0.5t</w:t>
                  </w:r>
                </w:p>
              </w:tc>
              <w:tc>
                <w:tcPr>
                  <w:tcW w:w="424" w:type="pct"/>
                  <w:noWrap w:val="0"/>
                  <w:tcMar>
                    <w:top w:w="0" w:type="dxa"/>
                    <w:left w:w="0" w:type="dxa"/>
                    <w:bottom w:w="0" w:type="dxa"/>
                    <w:right w:w="0" w:type="dxa"/>
                  </w:tcMar>
                  <w:vAlign w:val="center"/>
                </w:tcPr>
                <w:p w14:paraId="4B751C8D">
                  <w:pPr>
                    <w:topLinePunct/>
                    <w:adjustRightInd w:val="0"/>
                    <w:snapToGrid w:val="0"/>
                    <w:jc w:val="center"/>
                    <w:rPr>
                      <w:rFonts w:hint="eastAsia"/>
                      <w:color w:val="auto"/>
                      <w:kern w:val="2"/>
                      <w:sz w:val="21"/>
                      <w:szCs w:val="24"/>
                      <w:lang w:val="en-US" w:eastAsia="zh-CN" w:bidi="ar-SA"/>
                    </w:rPr>
                  </w:pPr>
                  <w:r>
                    <w:rPr>
                      <w:rFonts w:hint="eastAsia"/>
                      <w:color w:val="auto"/>
                      <w:lang w:val="en-US" w:eastAsia="zh-CN"/>
                    </w:rPr>
                    <w:t>半年</w:t>
                  </w:r>
                </w:p>
              </w:tc>
            </w:tr>
            <w:tr w14:paraId="30D6BE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vAlign w:val="center"/>
                </w:tcPr>
                <w:p w14:paraId="0548BDA5">
                  <w:pPr>
                    <w:topLinePunct/>
                    <w:adjustRightInd w:val="0"/>
                    <w:snapToGrid w:val="0"/>
                    <w:jc w:val="center"/>
                    <w:rPr>
                      <w:rFonts w:hint="default"/>
                      <w:color w:val="auto"/>
                      <w:lang w:val="en-US" w:eastAsia="zh-CN"/>
                    </w:rPr>
                  </w:pPr>
                  <w:r>
                    <w:rPr>
                      <w:rFonts w:hint="eastAsia"/>
                      <w:color w:val="auto"/>
                      <w:lang w:val="en-US" w:eastAsia="zh-CN"/>
                    </w:rPr>
                    <w:t>5</w:t>
                  </w:r>
                </w:p>
              </w:tc>
              <w:tc>
                <w:tcPr>
                  <w:tcW w:w="341" w:type="pct"/>
                  <w:vMerge w:val="continue"/>
                  <w:vAlign w:val="center"/>
                </w:tcPr>
                <w:p w14:paraId="21AEEC71">
                  <w:pPr>
                    <w:topLinePunct/>
                    <w:adjustRightInd w:val="0"/>
                    <w:snapToGrid w:val="0"/>
                    <w:jc w:val="center"/>
                    <w:rPr>
                      <w:color w:val="auto"/>
                    </w:rPr>
                  </w:pPr>
                </w:p>
              </w:tc>
              <w:tc>
                <w:tcPr>
                  <w:tcW w:w="837" w:type="pct"/>
                  <w:shd w:val="clear" w:color="auto" w:fill="auto"/>
                  <w:vAlign w:val="center"/>
                </w:tcPr>
                <w:p w14:paraId="1B83B119">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废含油抹布</w:t>
                  </w:r>
                </w:p>
              </w:tc>
              <w:tc>
                <w:tcPr>
                  <w:tcW w:w="560" w:type="pct"/>
                  <w:shd w:val="clear" w:color="auto" w:fill="auto"/>
                  <w:vAlign w:val="center"/>
                </w:tcPr>
                <w:p w14:paraId="365131E5">
                  <w:pPr>
                    <w:jc w:val="center"/>
                    <w:rPr>
                      <w:rFonts w:hint="eastAsia" w:ascii="Times New Roman" w:hAnsi="Times New Roman" w:eastAsia="宋体" w:cs="Times New Roman"/>
                      <w:color w:val="auto"/>
                      <w:kern w:val="2"/>
                      <w:sz w:val="21"/>
                      <w:szCs w:val="21"/>
                      <w:lang w:val="en-US" w:eastAsia="zh-CN" w:bidi="ar-SA"/>
                    </w:rPr>
                  </w:pPr>
                  <w:r>
                    <w:rPr>
                      <w:color w:val="auto"/>
                      <w:szCs w:val="21"/>
                    </w:rPr>
                    <w:t>HW49</w:t>
                  </w:r>
                </w:p>
              </w:tc>
              <w:tc>
                <w:tcPr>
                  <w:tcW w:w="733" w:type="pct"/>
                  <w:shd w:val="clear" w:color="auto" w:fill="auto"/>
                  <w:vAlign w:val="center"/>
                </w:tcPr>
                <w:p w14:paraId="06AC2D30">
                  <w:pPr>
                    <w:jc w:val="center"/>
                    <w:rPr>
                      <w:rFonts w:hint="eastAsia" w:ascii="Times New Roman" w:hAnsi="Times New Roman" w:eastAsia="宋体" w:cs="Times New Roman"/>
                      <w:color w:val="auto"/>
                      <w:kern w:val="2"/>
                      <w:sz w:val="21"/>
                      <w:szCs w:val="21"/>
                      <w:lang w:val="en-US" w:eastAsia="zh-CN" w:bidi="ar-SA"/>
                    </w:rPr>
                  </w:pPr>
                  <w:r>
                    <w:rPr>
                      <w:color w:val="auto"/>
                      <w:szCs w:val="21"/>
                    </w:rPr>
                    <w:t>900-041-49</w:t>
                  </w:r>
                </w:p>
              </w:tc>
              <w:tc>
                <w:tcPr>
                  <w:tcW w:w="357" w:type="pct"/>
                  <w:vMerge w:val="continue"/>
                </w:tcPr>
                <w:p w14:paraId="6C4C747D">
                  <w:pPr>
                    <w:topLinePunct/>
                    <w:adjustRightInd w:val="0"/>
                    <w:snapToGrid w:val="0"/>
                    <w:jc w:val="center"/>
                    <w:rPr>
                      <w:rFonts w:hint="default" w:eastAsia="宋体"/>
                      <w:color w:val="auto"/>
                      <w:lang w:val="en-US" w:eastAsia="zh-CN"/>
                    </w:rPr>
                  </w:pPr>
                </w:p>
              </w:tc>
              <w:tc>
                <w:tcPr>
                  <w:tcW w:w="483" w:type="pct"/>
                  <w:vMerge w:val="continue"/>
                </w:tcPr>
                <w:p w14:paraId="369ED79C">
                  <w:pPr>
                    <w:topLinePunct/>
                    <w:adjustRightInd w:val="0"/>
                    <w:snapToGrid w:val="0"/>
                    <w:jc w:val="center"/>
                    <w:rPr>
                      <w:rFonts w:hint="default" w:eastAsia="宋体"/>
                      <w:color w:val="auto"/>
                      <w:lang w:val="en-US" w:eastAsia="zh-CN"/>
                    </w:rPr>
                  </w:pPr>
                </w:p>
              </w:tc>
              <w:tc>
                <w:tcPr>
                  <w:tcW w:w="656" w:type="pct"/>
                  <w:shd w:val="clear" w:color="auto" w:fill="auto"/>
                  <w:vAlign w:val="center"/>
                </w:tcPr>
                <w:p w14:paraId="1CFB02A4">
                  <w:pPr>
                    <w:topLinePunct/>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color w:val="auto"/>
                      <w:kern w:val="0"/>
                      <w:szCs w:val="21"/>
                      <w:lang w:val="en-US" w:eastAsia="zh-CN"/>
                    </w:rPr>
                    <w:t>密闭袋装</w:t>
                  </w:r>
                </w:p>
              </w:tc>
              <w:tc>
                <w:tcPr>
                  <w:tcW w:w="346" w:type="pct"/>
                  <w:shd w:val="clear" w:color="auto" w:fill="auto"/>
                  <w:vAlign w:val="center"/>
                </w:tcPr>
                <w:p w14:paraId="57DA9431">
                  <w:pPr>
                    <w:pStyle w:val="55"/>
                    <w:spacing w:before="48" w:beforeLines="20" w:after="48" w:afterLines="20"/>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0.2t</w:t>
                  </w:r>
                </w:p>
              </w:tc>
              <w:tc>
                <w:tcPr>
                  <w:tcW w:w="424" w:type="pct"/>
                  <w:vAlign w:val="center"/>
                </w:tcPr>
                <w:p w14:paraId="7BB7A96C">
                  <w:pPr>
                    <w:topLinePunct/>
                    <w:adjustRightInd w:val="0"/>
                    <w:snapToGrid w:val="0"/>
                    <w:jc w:val="center"/>
                    <w:rPr>
                      <w:rFonts w:hint="eastAsia"/>
                      <w:color w:val="auto"/>
                      <w:kern w:val="2"/>
                      <w:sz w:val="21"/>
                      <w:szCs w:val="24"/>
                      <w:lang w:val="en-US" w:eastAsia="zh-CN" w:bidi="ar-SA"/>
                    </w:rPr>
                  </w:pPr>
                  <w:r>
                    <w:rPr>
                      <w:rFonts w:hint="eastAsia"/>
                      <w:color w:val="auto"/>
                      <w:lang w:val="en-US" w:eastAsia="zh-CN"/>
                    </w:rPr>
                    <w:t>半年</w:t>
                  </w:r>
                </w:p>
              </w:tc>
            </w:tr>
            <w:tr w14:paraId="0D31F9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vAlign w:val="center"/>
                </w:tcPr>
                <w:p w14:paraId="42A2EB35">
                  <w:pPr>
                    <w:topLinePunct/>
                    <w:adjustRightInd w:val="0"/>
                    <w:snapToGrid w:val="0"/>
                    <w:jc w:val="center"/>
                    <w:rPr>
                      <w:rFonts w:hint="default"/>
                      <w:color w:val="auto"/>
                      <w:lang w:val="en-US" w:eastAsia="zh-CN"/>
                    </w:rPr>
                  </w:pPr>
                  <w:r>
                    <w:rPr>
                      <w:rFonts w:hint="eastAsia"/>
                      <w:color w:val="auto"/>
                      <w:lang w:val="en-US" w:eastAsia="zh-CN"/>
                    </w:rPr>
                    <w:t>6</w:t>
                  </w:r>
                </w:p>
              </w:tc>
              <w:tc>
                <w:tcPr>
                  <w:tcW w:w="341" w:type="pct"/>
                  <w:vMerge w:val="continue"/>
                  <w:vAlign w:val="center"/>
                </w:tcPr>
                <w:p w14:paraId="2F310F83">
                  <w:pPr>
                    <w:topLinePunct/>
                    <w:adjustRightInd w:val="0"/>
                    <w:snapToGrid w:val="0"/>
                    <w:jc w:val="center"/>
                    <w:rPr>
                      <w:color w:val="auto"/>
                    </w:rPr>
                  </w:pPr>
                </w:p>
              </w:tc>
              <w:tc>
                <w:tcPr>
                  <w:tcW w:w="837" w:type="pct"/>
                  <w:shd w:val="clear" w:color="auto" w:fill="auto"/>
                  <w:vAlign w:val="center"/>
                </w:tcPr>
                <w:p w14:paraId="4150A217">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废活性炭</w:t>
                  </w:r>
                </w:p>
              </w:tc>
              <w:tc>
                <w:tcPr>
                  <w:tcW w:w="560" w:type="pct"/>
                  <w:shd w:val="clear" w:color="auto" w:fill="auto"/>
                  <w:vAlign w:val="center"/>
                </w:tcPr>
                <w:p w14:paraId="1CD68AB5">
                  <w:pPr>
                    <w:jc w:val="center"/>
                    <w:rPr>
                      <w:rFonts w:hint="eastAsia" w:ascii="Times New Roman" w:hAnsi="Times New Roman" w:eastAsia="宋体" w:cs="Times New Roman"/>
                      <w:color w:val="auto"/>
                      <w:kern w:val="2"/>
                      <w:sz w:val="21"/>
                      <w:szCs w:val="21"/>
                      <w:lang w:val="en-US" w:eastAsia="zh-CN" w:bidi="ar-SA"/>
                    </w:rPr>
                  </w:pPr>
                  <w:r>
                    <w:rPr>
                      <w:color w:val="auto"/>
                      <w:szCs w:val="21"/>
                    </w:rPr>
                    <w:t>HW49</w:t>
                  </w:r>
                </w:p>
              </w:tc>
              <w:tc>
                <w:tcPr>
                  <w:tcW w:w="733" w:type="pct"/>
                  <w:shd w:val="clear" w:color="auto" w:fill="auto"/>
                  <w:vAlign w:val="center"/>
                </w:tcPr>
                <w:p w14:paraId="54DA5B3F">
                  <w:pPr>
                    <w:jc w:val="center"/>
                    <w:rPr>
                      <w:rFonts w:hint="eastAsia" w:ascii="Times New Roman" w:hAnsi="Times New Roman" w:eastAsia="宋体" w:cs="Times New Roman"/>
                      <w:color w:val="auto"/>
                      <w:kern w:val="2"/>
                      <w:sz w:val="21"/>
                      <w:szCs w:val="21"/>
                      <w:lang w:val="en-US" w:eastAsia="zh-CN" w:bidi="ar-SA"/>
                    </w:rPr>
                  </w:pPr>
                  <w:r>
                    <w:rPr>
                      <w:color w:val="auto"/>
                      <w:szCs w:val="21"/>
                    </w:rPr>
                    <w:t>900-0</w:t>
                  </w:r>
                  <w:r>
                    <w:rPr>
                      <w:rFonts w:hint="eastAsia"/>
                      <w:color w:val="auto"/>
                      <w:szCs w:val="21"/>
                      <w:lang w:val="en-US" w:eastAsia="zh-CN"/>
                    </w:rPr>
                    <w:t>39</w:t>
                  </w:r>
                  <w:r>
                    <w:rPr>
                      <w:color w:val="auto"/>
                      <w:szCs w:val="21"/>
                    </w:rPr>
                    <w:t>-49</w:t>
                  </w:r>
                </w:p>
              </w:tc>
              <w:tc>
                <w:tcPr>
                  <w:tcW w:w="357" w:type="pct"/>
                  <w:vMerge w:val="continue"/>
                </w:tcPr>
                <w:p w14:paraId="232AE599">
                  <w:pPr>
                    <w:topLinePunct/>
                    <w:adjustRightInd w:val="0"/>
                    <w:snapToGrid w:val="0"/>
                    <w:jc w:val="center"/>
                    <w:rPr>
                      <w:rFonts w:hint="default" w:eastAsia="宋体"/>
                      <w:color w:val="auto"/>
                      <w:lang w:val="en-US" w:eastAsia="zh-CN"/>
                    </w:rPr>
                  </w:pPr>
                </w:p>
              </w:tc>
              <w:tc>
                <w:tcPr>
                  <w:tcW w:w="483" w:type="pct"/>
                  <w:vMerge w:val="continue"/>
                </w:tcPr>
                <w:p w14:paraId="227F3933">
                  <w:pPr>
                    <w:topLinePunct/>
                    <w:adjustRightInd w:val="0"/>
                    <w:snapToGrid w:val="0"/>
                    <w:jc w:val="center"/>
                    <w:rPr>
                      <w:rFonts w:hint="default" w:eastAsia="宋体"/>
                      <w:color w:val="auto"/>
                      <w:lang w:val="en-US" w:eastAsia="zh-CN"/>
                    </w:rPr>
                  </w:pPr>
                </w:p>
              </w:tc>
              <w:tc>
                <w:tcPr>
                  <w:tcW w:w="656" w:type="pct"/>
                  <w:shd w:val="clear" w:color="auto" w:fill="auto"/>
                  <w:vAlign w:val="center"/>
                </w:tcPr>
                <w:p w14:paraId="70B5C4CE">
                  <w:pPr>
                    <w:topLinePunct/>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color w:val="auto"/>
                      <w:kern w:val="0"/>
                      <w:szCs w:val="21"/>
                      <w:lang w:val="en-US" w:eastAsia="zh-CN"/>
                    </w:rPr>
                    <w:t>密闭袋装</w:t>
                  </w:r>
                </w:p>
              </w:tc>
              <w:tc>
                <w:tcPr>
                  <w:tcW w:w="346" w:type="pct"/>
                  <w:shd w:val="clear" w:color="auto" w:fill="auto"/>
                  <w:vAlign w:val="center"/>
                </w:tcPr>
                <w:p w14:paraId="145A159E">
                  <w:pPr>
                    <w:pStyle w:val="55"/>
                    <w:spacing w:before="48" w:beforeLines="20" w:after="48" w:afterLines="20"/>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1t</w:t>
                  </w:r>
                </w:p>
              </w:tc>
              <w:tc>
                <w:tcPr>
                  <w:tcW w:w="424" w:type="pct"/>
                  <w:vAlign w:val="center"/>
                </w:tcPr>
                <w:p w14:paraId="673204FA">
                  <w:pPr>
                    <w:topLinePunct/>
                    <w:adjustRightInd w:val="0"/>
                    <w:snapToGrid w:val="0"/>
                    <w:jc w:val="center"/>
                    <w:rPr>
                      <w:rFonts w:hint="eastAsia"/>
                      <w:color w:val="auto"/>
                      <w:kern w:val="2"/>
                      <w:sz w:val="21"/>
                      <w:szCs w:val="24"/>
                      <w:lang w:val="en-US" w:eastAsia="zh-CN" w:bidi="ar-SA"/>
                    </w:rPr>
                  </w:pPr>
                  <w:r>
                    <w:rPr>
                      <w:rFonts w:hint="eastAsia"/>
                      <w:color w:val="auto"/>
                      <w:lang w:val="en-US" w:eastAsia="zh-CN"/>
                    </w:rPr>
                    <w:t>半年</w:t>
                  </w:r>
                </w:p>
              </w:tc>
            </w:tr>
          </w:tbl>
          <w:p w14:paraId="0C0EEA5C">
            <w:pPr>
              <w:spacing w:before="120" w:beforeLines="50" w:line="360" w:lineRule="auto"/>
              <w:ind w:firstLine="420" w:firstLineChars="200"/>
              <w:rPr>
                <w:color w:val="auto"/>
                <w:szCs w:val="21"/>
              </w:rPr>
            </w:pPr>
            <w:r>
              <w:rPr>
                <w:bCs/>
                <w:color w:val="auto"/>
                <w:szCs w:val="21"/>
              </w:rPr>
              <w:t>本项目</w:t>
            </w:r>
            <w:r>
              <w:rPr>
                <w:color w:val="auto"/>
                <w:szCs w:val="21"/>
              </w:rPr>
              <w:t>危废仓库密闭设置，应做到</w:t>
            </w:r>
            <w:r>
              <w:rPr>
                <w:rFonts w:hint="eastAsia"/>
                <w:bCs/>
                <w:color w:val="auto"/>
                <w:szCs w:val="21"/>
              </w:rPr>
              <w:t>“六</w:t>
            </w:r>
            <w:r>
              <w:rPr>
                <w:bCs/>
                <w:color w:val="auto"/>
                <w:szCs w:val="21"/>
              </w:rPr>
              <w:t>防</w:t>
            </w:r>
            <w:r>
              <w:rPr>
                <w:rFonts w:hint="eastAsia"/>
                <w:bCs/>
                <w:color w:val="auto"/>
                <w:szCs w:val="21"/>
              </w:rPr>
              <w:t>”</w:t>
            </w:r>
            <w:r>
              <w:rPr>
                <w:bCs/>
                <w:color w:val="auto"/>
                <w:szCs w:val="21"/>
              </w:rPr>
              <w:t>，即：防风、防晒、防雨、防漏、防渗、防腐</w:t>
            </w:r>
            <w:r>
              <w:rPr>
                <w:color w:val="auto"/>
                <w:szCs w:val="21"/>
              </w:rPr>
              <w:t>，危废暂存场地面与裙脚为坚固、防渗材料，建筑材料与危险废物相容。</w:t>
            </w:r>
            <w:r>
              <w:rPr>
                <w:rFonts w:hint="eastAsia"/>
                <w:color w:val="auto"/>
                <w:szCs w:val="21"/>
                <w:lang w:val="en-US" w:eastAsia="zh-CN"/>
              </w:rPr>
              <w:t>按上表，本项目危废1年清运2次，设置10m</w:t>
            </w:r>
            <w:r>
              <w:rPr>
                <w:rFonts w:hint="eastAsia"/>
                <w:color w:val="auto"/>
                <w:szCs w:val="21"/>
                <w:vertAlign w:val="superscript"/>
                <w:lang w:val="en-US" w:eastAsia="zh-CN"/>
              </w:rPr>
              <w:t>2</w:t>
            </w:r>
            <w:r>
              <w:rPr>
                <w:rFonts w:hint="eastAsia"/>
                <w:color w:val="auto"/>
                <w:szCs w:val="21"/>
                <w:lang w:val="en-US" w:eastAsia="zh-CN"/>
              </w:rPr>
              <w:t>的危废仓库满足需求</w:t>
            </w:r>
            <w:r>
              <w:rPr>
                <w:rFonts w:hint="eastAsia"/>
                <w:color w:val="auto"/>
                <w:szCs w:val="21"/>
              </w:rPr>
              <w:t>，现有项目与本项目危废利用包装桶、包装袋等分类进行包装、存放，</w:t>
            </w:r>
            <w:r>
              <w:rPr>
                <w:rFonts w:hint="eastAsia"/>
                <w:color w:val="auto"/>
              </w:rPr>
              <w:t>危废暂存不会发生二次反应</w:t>
            </w:r>
            <w:r>
              <w:rPr>
                <w:color w:val="auto"/>
                <w:szCs w:val="21"/>
              </w:rPr>
              <w:t>，满足危险废物堆放需求。</w:t>
            </w:r>
          </w:p>
          <w:p w14:paraId="7525C701">
            <w:pPr>
              <w:adjustRightInd w:val="0"/>
              <w:snapToGrid w:val="0"/>
              <w:spacing w:line="360" w:lineRule="auto"/>
              <w:ind w:firstLine="420" w:firstLineChars="200"/>
              <w:rPr>
                <w:color w:val="auto"/>
                <w:szCs w:val="21"/>
              </w:rPr>
            </w:pPr>
            <w:r>
              <w:rPr>
                <w:color w:val="auto"/>
                <w:szCs w:val="21"/>
              </w:rPr>
              <w:t>综上所述，本项目危废按上述要求贮存于该危废仓库可行。</w:t>
            </w:r>
          </w:p>
          <w:p w14:paraId="43CB5603">
            <w:pPr>
              <w:adjustRightInd w:val="0"/>
              <w:snapToGrid w:val="0"/>
              <w:spacing w:line="360" w:lineRule="auto"/>
              <w:ind w:firstLine="420" w:firstLineChars="200"/>
              <w:rPr>
                <w:color w:val="auto"/>
                <w:szCs w:val="21"/>
              </w:rPr>
            </w:pPr>
            <w:r>
              <w:rPr>
                <w:color w:val="auto"/>
                <w:szCs w:val="21"/>
              </w:rPr>
              <w:t>3）危险废物贮存要求</w:t>
            </w:r>
          </w:p>
          <w:p w14:paraId="1710FD12">
            <w:pPr>
              <w:adjustRightInd w:val="0"/>
              <w:snapToGrid w:val="0"/>
              <w:spacing w:line="360" w:lineRule="auto"/>
              <w:ind w:firstLine="420" w:firstLineChars="200"/>
              <w:rPr>
                <w:color w:val="auto"/>
                <w:szCs w:val="21"/>
              </w:rPr>
            </w:pPr>
            <w:r>
              <w:rPr>
                <w:color w:val="auto"/>
                <w:szCs w:val="21"/>
              </w:rPr>
              <w:t>根据《危险废物贮存污染控制标准》（GB18597-2023），对危险废物的贮存要求如下：</w:t>
            </w:r>
          </w:p>
          <w:p w14:paraId="31CDCAC6">
            <w:pPr>
              <w:adjustRightInd w:val="0"/>
              <w:snapToGrid w:val="0"/>
              <w:spacing w:line="360" w:lineRule="auto"/>
              <w:ind w:firstLine="420" w:firstLineChars="200"/>
              <w:rPr>
                <w:rFonts w:hint="eastAsia" w:eastAsia="宋体"/>
                <w:color w:val="auto"/>
                <w:szCs w:val="21"/>
                <w:lang w:eastAsia="zh-CN"/>
              </w:rPr>
            </w:pPr>
            <w:r>
              <w:rPr>
                <w:color w:val="auto"/>
                <w:szCs w:val="21"/>
              </w:rPr>
              <w:t>①在常温常压下不易水解、不易挥发的固态危险废物可分类堆放贮存，其他固态危险废物应装入容器或包装物内贮存</w:t>
            </w:r>
            <w:r>
              <w:rPr>
                <w:rFonts w:hint="eastAsia"/>
                <w:color w:val="auto"/>
                <w:szCs w:val="21"/>
                <w:lang w:eastAsia="zh-CN"/>
              </w:rPr>
              <w:t>。</w:t>
            </w:r>
          </w:p>
          <w:p w14:paraId="7E282003">
            <w:pPr>
              <w:adjustRightInd w:val="0"/>
              <w:snapToGrid w:val="0"/>
              <w:spacing w:line="360" w:lineRule="auto"/>
              <w:ind w:firstLine="420" w:firstLineChars="200"/>
              <w:rPr>
                <w:rFonts w:hint="eastAsia" w:eastAsia="宋体"/>
                <w:color w:val="auto"/>
                <w:szCs w:val="21"/>
                <w:lang w:eastAsia="zh-CN"/>
              </w:rPr>
            </w:pPr>
            <w:r>
              <w:rPr>
                <w:color w:val="auto"/>
                <w:szCs w:val="21"/>
              </w:rPr>
              <w:t>②液态危险废物应装入容器内贮存，或直接采用贮存池、贮存罐区贮存</w:t>
            </w:r>
            <w:r>
              <w:rPr>
                <w:rFonts w:hint="eastAsia"/>
                <w:color w:val="auto"/>
                <w:szCs w:val="21"/>
                <w:lang w:eastAsia="zh-CN"/>
              </w:rPr>
              <w:t>。</w:t>
            </w:r>
          </w:p>
          <w:p w14:paraId="76BC4D50">
            <w:pPr>
              <w:adjustRightInd w:val="0"/>
              <w:snapToGrid w:val="0"/>
              <w:spacing w:line="360" w:lineRule="auto"/>
              <w:ind w:firstLine="420" w:firstLineChars="200"/>
              <w:rPr>
                <w:rFonts w:hint="eastAsia" w:eastAsia="宋体"/>
                <w:color w:val="auto"/>
                <w:szCs w:val="21"/>
                <w:lang w:eastAsia="zh-CN"/>
              </w:rPr>
            </w:pPr>
            <w:r>
              <w:rPr>
                <w:color w:val="auto"/>
                <w:szCs w:val="21"/>
              </w:rPr>
              <w:t>③半固态危险废物应装入容器或包装袋内贮存，或直接采用贮存池贮存</w:t>
            </w:r>
            <w:r>
              <w:rPr>
                <w:rFonts w:hint="eastAsia"/>
                <w:color w:val="auto"/>
                <w:szCs w:val="21"/>
                <w:lang w:eastAsia="zh-CN"/>
              </w:rPr>
              <w:t>。</w:t>
            </w:r>
          </w:p>
          <w:p w14:paraId="4E0AE455">
            <w:pPr>
              <w:adjustRightInd w:val="0"/>
              <w:snapToGrid w:val="0"/>
              <w:spacing w:line="360" w:lineRule="auto"/>
              <w:ind w:firstLine="420" w:firstLineChars="200"/>
              <w:rPr>
                <w:rFonts w:hint="eastAsia" w:eastAsia="宋体"/>
                <w:color w:val="auto"/>
                <w:szCs w:val="21"/>
                <w:lang w:eastAsia="zh-CN"/>
              </w:rPr>
            </w:pPr>
            <w:r>
              <w:rPr>
                <w:color w:val="auto"/>
                <w:szCs w:val="21"/>
              </w:rPr>
              <w:t>④具有热塑性的危险废物应装入容器或包装袋内进行贮存</w:t>
            </w:r>
            <w:r>
              <w:rPr>
                <w:rFonts w:hint="eastAsia"/>
                <w:color w:val="auto"/>
                <w:szCs w:val="21"/>
                <w:lang w:eastAsia="zh-CN"/>
              </w:rPr>
              <w:t>。</w:t>
            </w:r>
          </w:p>
          <w:p w14:paraId="60F366FA">
            <w:pPr>
              <w:adjustRightInd w:val="0"/>
              <w:snapToGrid w:val="0"/>
              <w:spacing w:line="360" w:lineRule="auto"/>
              <w:ind w:firstLine="420" w:firstLineChars="200"/>
              <w:rPr>
                <w:rFonts w:hint="eastAsia"/>
                <w:color w:val="auto"/>
                <w:szCs w:val="21"/>
              </w:rPr>
            </w:pPr>
            <w:r>
              <w:rPr>
                <w:rFonts w:hint="eastAsia"/>
                <w:color w:val="auto"/>
                <w:szCs w:val="21"/>
              </w:rPr>
              <w:t>⑤危险废物贮存过程中易产生粉尘等无组织排放的，应采取抑尘等有效措施。</w:t>
            </w:r>
          </w:p>
          <w:p w14:paraId="6F668603">
            <w:pPr>
              <w:adjustRightInd w:val="0"/>
              <w:snapToGrid w:val="0"/>
              <w:spacing w:line="360" w:lineRule="auto"/>
              <w:ind w:firstLine="420" w:firstLineChars="200"/>
              <w:rPr>
                <w:color w:val="auto"/>
                <w:szCs w:val="21"/>
              </w:rPr>
            </w:pPr>
            <w:r>
              <w:rPr>
                <w:color w:val="auto"/>
                <w:szCs w:val="21"/>
              </w:rPr>
              <w:t>4）危险废物贮存容器要求</w:t>
            </w:r>
          </w:p>
          <w:p w14:paraId="37061B15">
            <w:pPr>
              <w:adjustRightInd w:val="0"/>
              <w:snapToGrid w:val="0"/>
              <w:spacing w:line="360" w:lineRule="auto"/>
              <w:ind w:firstLine="420" w:firstLineChars="200"/>
              <w:rPr>
                <w:color w:val="auto"/>
                <w:szCs w:val="21"/>
              </w:rPr>
            </w:pPr>
            <w:r>
              <w:rPr>
                <w:color w:val="auto"/>
                <w:szCs w:val="21"/>
              </w:rPr>
              <w:t>根据《危险废物贮存污染控制标准》（GB18597-2023），危险废物贮存容器要求如下：</w:t>
            </w:r>
          </w:p>
          <w:p w14:paraId="23A01331">
            <w:pPr>
              <w:adjustRightInd w:val="0"/>
              <w:snapToGrid w:val="0"/>
              <w:spacing w:line="360" w:lineRule="auto"/>
              <w:ind w:firstLine="420" w:firstLineChars="200"/>
              <w:rPr>
                <w:rFonts w:hint="eastAsia" w:eastAsia="宋体"/>
                <w:color w:val="auto"/>
                <w:szCs w:val="21"/>
                <w:lang w:eastAsia="zh-CN"/>
              </w:rPr>
            </w:pPr>
            <w:r>
              <w:rPr>
                <w:color w:val="auto"/>
                <w:szCs w:val="21"/>
              </w:rPr>
              <w:t>①容器和包装物材质、内衬应与盛装的危险废物相容</w:t>
            </w:r>
            <w:r>
              <w:rPr>
                <w:rFonts w:hint="eastAsia"/>
                <w:color w:val="auto"/>
                <w:szCs w:val="21"/>
                <w:lang w:eastAsia="zh-CN"/>
              </w:rPr>
              <w:t>。</w:t>
            </w:r>
          </w:p>
          <w:p w14:paraId="0076BFA7">
            <w:pPr>
              <w:adjustRightInd w:val="0"/>
              <w:snapToGrid w:val="0"/>
              <w:spacing w:line="360" w:lineRule="auto"/>
              <w:ind w:firstLine="420" w:firstLineChars="200"/>
              <w:rPr>
                <w:rFonts w:hint="eastAsia" w:eastAsia="宋体"/>
                <w:color w:val="auto"/>
                <w:szCs w:val="21"/>
                <w:lang w:eastAsia="zh-CN"/>
              </w:rPr>
            </w:pPr>
            <w:r>
              <w:rPr>
                <w:color w:val="auto"/>
                <w:szCs w:val="21"/>
              </w:rPr>
              <w:t>②针对不同类别、形态、物理化学性质的危险废物，其容器和包装物应满足相应的防渗、防漏、防腐和强度等要求</w:t>
            </w:r>
            <w:r>
              <w:rPr>
                <w:rFonts w:hint="eastAsia"/>
                <w:color w:val="auto"/>
                <w:szCs w:val="21"/>
                <w:lang w:eastAsia="zh-CN"/>
              </w:rPr>
              <w:t>。</w:t>
            </w:r>
          </w:p>
          <w:p w14:paraId="075B7460">
            <w:pPr>
              <w:adjustRightInd w:val="0"/>
              <w:snapToGrid w:val="0"/>
              <w:spacing w:line="360" w:lineRule="auto"/>
              <w:ind w:firstLine="420" w:firstLineChars="200"/>
              <w:rPr>
                <w:rFonts w:hint="eastAsia" w:eastAsia="宋体"/>
                <w:color w:val="auto"/>
                <w:szCs w:val="21"/>
                <w:lang w:eastAsia="zh-CN"/>
              </w:rPr>
            </w:pPr>
            <w:r>
              <w:rPr>
                <w:color w:val="auto"/>
                <w:szCs w:val="21"/>
              </w:rPr>
              <w:t>③硬质容器和包装物及其支护结构堆叠码放时不应有明显变形，无破损泄漏</w:t>
            </w:r>
            <w:r>
              <w:rPr>
                <w:rFonts w:hint="eastAsia"/>
                <w:color w:val="auto"/>
                <w:szCs w:val="21"/>
                <w:lang w:eastAsia="zh-CN"/>
              </w:rPr>
              <w:t>。</w:t>
            </w:r>
          </w:p>
          <w:p w14:paraId="1D3316D8">
            <w:pPr>
              <w:adjustRightInd w:val="0"/>
              <w:snapToGrid w:val="0"/>
              <w:spacing w:line="360" w:lineRule="auto"/>
              <w:ind w:firstLine="420" w:firstLineChars="200"/>
              <w:rPr>
                <w:rFonts w:hint="eastAsia" w:eastAsia="宋体"/>
                <w:color w:val="auto"/>
                <w:szCs w:val="21"/>
                <w:lang w:eastAsia="zh-CN"/>
              </w:rPr>
            </w:pPr>
            <w:r>
              <w:rPr>
                <w:color w:val="auto"/>
                <w:szCs w:val="21"/>
              </w:rPr>
              <w:t>④柔性容器和包装物堆叠码放时应封口严密，无破损泄漏</w:t>
            </w:r>
            <w:r>
              <w:rPr>
                <w:rFonts w:hint="eastAsia"/>
                <w:color w:val="auto"/>
                <w:szCs w:val="21"/>
                <w:lang w:eastAsia="zh-CN"/>
              </w:rPr>
              <w:t>。</w:t>
            </w:r>
          </w:p>
          <w:p w14:paraId="1632A6B1">
            <w:pPr>
              <w:adjustRightInd w:val="0"/>
              <w:snapToGrid w:val="0"/>
              <w:spacing w:line="360" w:lineRule="auto"/>
              <w:ind w:firstLine="420" w:firstLineChars="200"/>
              <w:rPr>
                <w:rFonts w:hint="eastAsia" w:eastAsia="宋体"/>
                <w:color w:val="auto"/>
                <w:szCs w:val="21"/>
                <w:lang w:eastAsia="zh-CN"/>
              </w:rPr>
            </w:pPr>
            <w:r>
              <w:rPr>
                <w:color w:val="auto"/>
                <w:szCs w:val="21"/>
              </w:rPr>
              <w:t>⑤使用容器盛装液态、半固态危险废物时，容器内部应留有适当的空间，以适应因温度变化等可能引发的收缩和膨胀，防止其导致容器渗漏或永久变形</w:t>
            </w:r>
            <w:r>
              <w:rPr>
                <w:rFonts w:hint="eastAsia"/>
                <w:color w:val="auto"/>
                <w:szCs w:val="21"/>
                <w:lang w:eastAsia="zh-CN"/>
              </w:rPr>
              <w:t>。</w:t>
            </w:r>
          </w:p>
          <w:p w14:paraId="7815F9A8">
            <w:pPr>
              <w:spacing w:line="360" w:lineRule="auto"/>
              <w:ind w:firstLine="420" w:firstLineChars="200"/>
              <w:rPr>
                <w:rFonts w:hint="eastAsia"/>
                <w:color w:val="auto"/>
                <w:szCs w:val="21"/>
              </w:rPr>
            </w:pPr>
            <w:r>
              <w:rPr>
                <w:rFonts w:hint="eastAsia"/>
                <w:color w:val="auto"/>
                <w:szCs w:val="21"/>
              </w:rPr>
              <w:t>⑥容器和包装物外表面应保持清洁。</w:t>
            </w:r>
          </w:p>
          <w:p w14:paraId="1B054F0F">
            <w:pPr>
              <w:spacing w:line="360" w:lineRule="auto"/>
              <w:ind w:firstLine="420" w:firstLineChars="200"/>
              <w:rPr>
                <w:color w:val="auto"/>
                <w:szCs w:val="21"/>
              </w:rPr>
            </w:pPr>
            <w:r>
              <w:rPr>
                <w:color w:val="auto"/>
                <w:szCs w:val="21"/>
              </w:rPr>
              <w:t>5）运输过程的污染防治措施</w:t>
            </w:r>
          </w:p>
          <w:p w14:paraId="4C9D4298">
            <w:pPr>
              <w:spacing w:line="360" w:lineRule="auto"/>
              <w:ind w:firstLine="420" w:firstLineChars="200"/>
              <w:rPr>
                <w:color w:val="auto"/>
                <w:szCs w:val="21"/>
              </w:rPr>
            </w:pPr>
            <w:r>
              <w:rPr>
                <w:color w:val="auto"/>
                <w:szCs w:val="21"/>
              </w:rPr>
              <w:t>危险废物运输必须按照《危险废物收集贮存运输技术规范》（HJ2025-2012）的要求并做到以下几点：</w:t>
            </w:r>
          </w:p>
          <w:p w14:paraId="4445FC49">
            <w:pPr>
              <w:spacing w:line="360" w:lineRule="auto"/>
              <w:ind w:firstLine="420" w:firstLineChars="200"/>
              <w:rPr>
                <w:color w:val="auto"/>
                <w:szCs w:val="21"/>
              </w:rPr>
            </w:pPr>
            <w:r>
              <w:rPr>
                <w:color w:val="auto"/>
                <w:szCs w:val="21"/>
              </w:rPr>
              <w:t>①危险废物运输应由持有危险废物经营许可证的单位按照其许可证的经营范围组织实施，承担危险废物运输的单位应获得交通运输部门颁发的危险货物运输资质。</w:t>
            </w:r>
          </w:p>
          <w:p w14:paraId="69D30B8E">
            <w:pPr>
              <w:spacing w:line="360" w:lineRule="auto"/>
              <w:ind w:firstLine="420" w:firstLineChars="200"/>
              <w:rPr>
                <w:color w:val="auto"/>
                <w:szCs w:val="21"/>
              </w:rPr>
            </w:pPr>
            <w:r>
              <w:rPr>
                <w:color w:val="auto"/>
                <w:szCs w:val="21"/>
              </w:rPr>
              <w:t>②危险废物公路运输应按照《道路危险货物运输管理规定》（交通部令[2015年]第9号）、JT617以及JT618执行。</w:t>
            </w:r>
          </w:p>
          <w:p w14:paraId="0396F82D">
            <w:pPr>
              <w:spacing w:line="360" w:lineRule="auto"/>
              <w:ind w:firstLine="420" w:firstLineChars="200"/>
              <w:rPr>
                <w:color w:val="auto"/>
                <w:szCs w:val="21"/>
              </w:rPr>
            </w:pPr>
            <w:r>
              <w:rPr>
                <w:color w:val="auto"/>
                <w:szCs w:val="21"/>
              </w:rPr>
              <w:t>③运输单位在承运危险废物时，应在危险废物包装上按照GB18597附录A设置标志。</w:t>
            </w:r>
          </w:p>
          <w:p w14:paraId="35F13994">
            <w:pPr>
              <w:spacing w:line="360" w:lineRule="auto"/>
              <w:ind w:firstLine="420" w:firstLineChars="200"/>
              <w:rPr>
                <w:color w:val="auto"/>
                <w:szCs w:val="21"/>
              </w:rPr>
            </w:pPr>
            <w:r>
              <w:rPr>
                <w:color w:val="auto"/>
                <w:szCs w:val="21"/>
              </w:rPr>
              <w:t>④危险废物公路运输时，运输车辆按GB13392设置车辆标志。铁路运输和水路运输危险废物时应在集装箱外按GB190规定悬挂标志。</w:t>
            </w:r>
          </w:p>
          <w:p w14:paraId="46632A18">
            <w:pPr>
              <w:spacing w:line="360" w:lineRule="auto"/>
              <w:ind w:firstLine="420" w:firstLineChars="200"/>
              <w:rPr>
                <w:color w:val="auto"/>
                <w:szCs w:val="21"/>
              </w:rPr>
            </w:pPr>
            <w:r>
              <w:rPr>
                <w:color w:val="auto"/>
                <w:szCs w:val="21"/>
              </w:rPr>
              <w:t>⑤危险废物运输时的中转、装卸过程应遵守如下技术要求：</w:t>
            </w:r>
          </w:p>
          <w:p w14:paraId="134B415F">
            <w:pPr>
              <w:spacing w:line="360" w:lineRule="auto"/>
              <w:ind w:firstLine="420" w:firstLineChars="200"/>
              <w:rPr>
                <w:color w:val="auto"/>
                <w:szCs w:val="21"/>
              </w:rPr>
            </w:pPr>
            <w:r>
              <w:rPr>
                <w:color w:val="auto"/>
                <w:szCs w:val="21"/>
              </w:rPr>
              <w:t>装卸区的工作人员应熟悉废物的危险特性，并配备适当的个人防护装备；装卸区应配备必要的消防设备和设施，并设置明显的指示标志；危险废物装卸区应设置隔离设施，液态废物装卸区应设置收集槽和缓冲罐。</w:t>
            </w:r>
          </w:p>
          <w:p w14:paraId="077A26B8">
            <w:pPr>
              <w:spacing w:line="360" w:lineRule="auto"/>
              <w:ind w:firstLine="422" w:firstLineChars="200"/>
              <w:rPr>
                <w:b/>
                <w:color w:val="auto"/>
                <w:szCs w:val="21"/>
              </w:rPr>
            </w:pPr>
            <w:r>
              <w:rPr>
                <w:b/>
                <w:color w:val="auto"/>
                <w:szCs w:val="21"/>
              </w:rPr>
              <w:t>（2）一般固废</w:t>
            </w:r>
          </w:p>
          <w:p w14:paraId="38ED2CC7">
            <w:pPr>
              <w:adjustRightInd w:val="0"/>
              <w:snapToGrid w:val="0"/>
              <w:spacing w:line="360" w:lineRule="auto"/>
              <w:ind w:firstLine="420" w:firstLineChars="200"/>
              <w:rPr>
                <w:color w:val="auto"/>
                <w:szCs w:val="21"/>
              </w:rPr>
            </w:pPr>
            <w:r>
              <w:rPr>
                <w:color w:val="auto"/>
                <w:szCs w:val="21"/>
              </w:rPr>
              <w:t>本项目一般固废为</w:t>
            </w:r>
            <w:r>
              <w:rPr>
                <w:rFonts w:hint="eastAsia"/>
                <w:color w:val="auto"/>
                <w:szCs w:val="21"/>
                <w:lang w:val="en-US" w:eastAsia="zh-CN"/>
              </w:rPr>
              <w:t>废边角料</w:t>
            </w:r>
            <w:r>
              <w:rPr>
                <w:color w:val="auto"/>
                <w:szCs w:val="21"/>
              </w:rPr>
              <w:t>等，均外售综合利用</w:t>
            </w:r>
            <w:r>
              <w:rPr>
                <w:bCs/>
                <w:color w:val="auto"/>
                <w:szCs w:val="21"/>
              </w:rPr>
              <w:t>。本项目</w:t>
            </w:r>
            <w:r>
              <w:rPr>
                <w:rFonts w:hint="eastAsia"/>
                <w:bCs/>
                <w:color w:val="auto"/>
                <w:szCs w:val="21"/>
                <w:lang w:val="en-US" w:eastAsia="zh-CN"/>
              </w:rPr>
              <w:t>新建</w:t>
            </w:r>
            <w:r>
              <w:rPr>
                <w:bCs/>
                <w:color w:val="auto"/>
                <w:szCs w:val="21"/>
              </w:rPr>
              <w:t>一般固废仓库</w:t>
            </w:r>
            <w:r>
              <w:rPr>
                <w:rFonts w:hint="eastAsia"/>
                <w:bCs/>
                <w:color w:val="auto"/>
                <w:szCs w:val="21"/>
                <w:lang w:val="en-US" w:eastAsia="zh-CN"/>
              </w:rPr>
              <w:t>5</w:t>
            </w:r>
            <w:r>
              <w:rPr>
                <w:bCs/>
                <w:color w:val="auto"/>
                <w:szCs w:val="21"/>
              </w:rPr>
              <w:t>m</w:t>
            </w:r>
            <w:r>
              <w:rPr>
                <w:bCs/>
                <w:color w:val="auto"/>
                <w:szCs w:val="21"/>
                <w:vertAlign w:val="superscript"/>
              </w:rPr>
              <w:t>2</w:t>
            </w:r>
            <w:r>
              <w:rPr>
                <w:bCs/>
                <w:color w:val="auto"/>
                <w:szCs w:val="21"/>
              </w:rPr>
              <w:t>，</w:t>
            </w:r>
            <w:r>
              <w:rPr>
                <w:rFonts w:hint="eastAsia"/>
                <w:bCs/>
                <w:color w:val="auto"/>
                <w:szCs w:val="21"/>
              </w:rPr>
              <w:t>已</w:t>
            </w:r>
            <w:r>
              <w:rPr>
                <w:bCs/>
                <w:color w:val="auto"/>
                <w:szCs w:val="21"/>
              </w:rPr>
              <w:t>按照</w:t>
            </w:r>
            <w:r>
              <w:rPr>
                <w:color w:val="auto"/>
                <w:szCs w:val="21"/>
              </w:rPr>
              <w:t>《一般工业固体废物贮存和填埋污染控制标准》（GB18599-2020）</w:t>
            </w:r>
            <w:r>
              <w:rPr>
                <w:bCs/>
                <w:color w:val="auto"/>
                <w:szCs w:val="21"/>
              </w:rPr>
              <w:t>要求建设，</w:t>
            </w:r>
            <w:r>
              <w:rPr>
                <w:color w:val="auto"/>
                <w:szCs w:val="21"/>
              </w:rPr>
              <w:t>运行管理要求如下：</w:t>
            </w:r>
          </w:p>
          <w:p w14:paraId="0D7C6FC6">
            <w:pPr>
              <w:adjustRightInd w:val="0"/>
              <w:snapToGrid w:val="0"/>
              <w:spacing w:line="360" w:lineRule="auto"/>
              <w:ind w:firstLine="420" w:firstLineChars="200"/>
              <w:rPr>
                <w:rFonts w:hint="eastAsia" w:eastAsia="宋体"/>
                <w:color w:val="auto"/>
                <w:szCs w:val="21"/>
                <w:lang w:eastAsia="zh-CN"/>
              </w:rPr>
            </w:pPr>
            <w:r>
              <w:rPr>
                <w:color w:val="auto"/>
                <w:szCs w:val="21"/>
              </w:rPr>
              <w:t>①贮存、处置场的建设类型，必须与将要堆放的一般工业固体废物的类别相一致</w:t>
            </w:r>
            <w:r>
              <w:rPr>
                <w:rFonts w:hint="eastAsia"/>
                <w:color w:val="auto"/>
                <w:szCs w:val="21"/>
                <w:lang w:eastAsia="zh-CN"/>
              </w:rPr>
              <w:t>。</w:t>
            </w:r>
          </w:p>
          <w:p w14:paraId="65832586">
            <w:pPr>
              <w:adjustRightInd w:val="0"/>
              <w:snapToGrid w:val="0"/>
              <w:spacing w:line="360" w:lineRule="auto"/>
              <w:ind w:firstLine="420" w:firstLineChars="200"/>
              <w:rPr>
                <w:rFonts w:hint="eastAsia" w:eastAsia="宋体"/>
                <w:color w:val="auto"/>
                <w:szCs w:val="21"/>
                <w:lang w:eastAsia="zh-CN"/>
              </w:rPr>
            </w:pPr>
            <w:r>
              <w:rPr>
                <w:color w:val="auto"/>
                <w:szCs w:val="21"/>
              </w:rPr>
              <w:t>②贮存、处置场应采取防止粉尘污染的措施</w:t>
            </w:r>
            <w:r>
              <w:rPr>
                <w:rFonts w:hint="eastAsia"/>
                <w:color w:val="auto"/>
                <w:szCs w:val="21"/>
                <w:lang w:eastAsia="zh-CN"/>
              </w:rPr>
              <w:t>。</w:t>
            </w:r>
          </w:p>
          <w:p w14:paraId="0BD9CD9C">
            <w:pPr>
              <w:adjustRightInd w:val="0"/>
              <w:snapToGrid w:val="0"/>
              <w:spacing w:line="360" w:lineRule="auto"/>
              <w:ind w:firstLine="420" w:firstLineChars="200"/>
              <w:rPr>
                <w:rFonts w:hint="eastAsia" w:eastAsia="宋体"/>
                <w:color w:val="auto"/>
                <w:szCs w:val="21"/>
                <w:lang w:eastAsia="zh-CN"/>
              </w:rPr>
            </w:pPr>
            <w:r>
              <w:rPr>
                <w:color w:val="auto"/>
                <w:szCs w:val="21"/>
              </w:rPr>
              <w:t>③为加强监督管理，贮存、处置场应按GB15562.2设置环境保护图形标志</w:t>
            </w:r>
            <w:r>
              <w:rPr>
                <w:rFonts w:hint="eastAsia"/>
                <w:color w:val="auto"/>
                <w:szCs w:val="21"/>
                <w:lang w:eastAsia="zh-CN"/>
              </w:rPr>
              <w:t>。</w:t>
            </w:r>
          </w:p>
          <w:p w14:paraId="17584D34">
            <w:pPr>
              <w:adjustRightInd w:val="0"/>
              <w:snapToGrid w:val="0"/>
              <w:spacing w:line="360" w:lineRule="auto"/>
              <w:ind w:firstLine="420" w:firstLineChars="200"/>
              <w:rPr>
                <w:rFonts w:hint="eastAsia" w:eastAsia="宋体"/>
                <w:color w:val="auto"/>
                <w:szCs w:val="21"/>
                <w:lang w:eastAsia="zh-CN"/>
              </w:rPr>
            </w:pPr>
            <w:r>
              <w:rPr>
                <w:color w:val="auto"/>
                <w:szCs w:val="21"/>
              </w:rPr>
              <w:t>④一般工业固体废物贮存、处置场禁止危险废物和生活垃圾混入</w:t>
            </w:r>
            <w:r>
              <w:rPr>
                <w:rFonts w:hint="eastAsia"/>
                <w:color w:val="auto"/>
                <w:szCs w:val="21"/>
                <w:lang w:eastAsia="zh-CN"/>
              </w:rPr>
              <w:t>。</w:t>
            </w:r>
          </w:p>
          <w:p w14:paraId="112066CA">
            <w:pPr>
              <w:adjustRightInd w:val="0"/>
              <w:snapToGrid w:val="0"/>
              <w:spacing w:line="360" w:lineRule="auto"/>
              <w:ind w:firstLine="420" w:firstLineChars="200"/>
              <w:rPr>
                <w:color w:val="auto"/>
                <w:szCs w:val="21"/>
              </w:rPr>
            </w:pPr>
            <w:r>
              <w:rPr>
                <w:color w:val="auto"/>
                <w:szCs w:val="21"/>
              </w:rPr>
              <w:t>⑤贮存、处置场的使用单位，应建立档案制度。应将入场的一般工业固体废物的种类和数量等资料详细记录在案，长期保存，供随时查阅。</w:t>
            </w:r>
          </w:p>
          <w:p w14:paraId="7D652647">
            <w:pPr>
              <w:adjustRightInd w:val="0"/>
              <w:snapToGrid w:val="0"/>
              <w:spacing w:line="360" w:lineRule="auto"/>
              <w:ind w:firstLine="420" w:firstLineChars="200"/>
              <w:rPr>
                <w:color w:val="auto"/>
                <w:kern w:val="0"/>
                <w:szCs w:val="21"/>
              </w:rPr>
            </w:pPr>
            <w:r>
              <w:rPr>
                <w:color w:val="auto"/>
                <w:kern w:val="0"/>
                <w:szCs w:val="21"/>
              </w:rPr>
              <w:t>（3）生活垃圾</w:t>
            </w:r>
          </w:p>
          <w:p w14:paraId="66FD6CA4">
            <w:pPr>
              <w:adjustRightInd w:val="0"/>
              <w:snapToGrid w:val="0"/>
              <w:spacing w:line="360" w:lineRule="auto"/>
              <w:ind w:firstLine="420" w:firstLineChars="200"/>
              <w:rPr>
                <w:color w:val="auto"/>
                <w:szCs w:val="21"/>
              </w:rPr>
            </w:pPr>
            <w:r>
              <w:rPr>
                <w:color w:val="auto"/>
                <w:szCs w:val="21"/>
              </w:rPr>
              <w:t>本项目职工生活垃圾</w:t>
            </w:r>
            <w:r>
              <w:rPr>
                <w:rFonts w:hint="eastAsia"/>
                <w:color w:val="auto"/>
                <w:szCs w:val="21"/>
                <w:lang w:val="en-US" w:eastAsia="zh-CN"/>
              </w:rPr>
              <w:t>0.9</w:t>
            </w:r>
            <w:r>
              <w:rPr>
                <w:color w:val="auto"/>
                <w:szCs w:val="21"/>
              </w:rPr>
              <w:t>t/a由环卫部门负责定期清运，可得到有效处置。</w:t>
            </w:r>
          </w:p>
          <w:p w14:paraId="5E250CDB">
            <w:pPr>
              <w:spacing w:line="360" w:lineRule="auto"/>
              <w:ind w:firstLine="420" w:firstLineChars="200"/>
              <w:rPr>
                <w:color w:val="auto"/>
                <w:szCs w:val="21"/>
              </w:rPr>
            </w:pPr>
            <w:r>
              <w:rPr>
                <w:color w:val="auto"/>
                <w:szCs w:val="21"/>
              </w:rPr>
              <w:t>综上所述，本项目固废均可得到有效处置，固废污染防治措施可行，对周围环境影响较小。</w:t>
            </w:r>
          </w:p>
          <w:p w14:paraId="7B48DC58">
            <w:pPr>
              <w:pStyle w:val="17"/>
              <w:spacing w:before="0" w:line="360" w:lineRule="auto"/>
              <w:ind w:firstLine="414" w:firstLineChars="200"/>
              <w:rPr>
                <w:rFonts w:ascii="Times New Roman" w:hAnsi="Times New Roman"/>
                <w:b/>
                <w:color w:val="auto"/>
                <w:szCs w:val="21"/>
              </w:rPr>
            </w:pPr>
            <w:r>
              <w:rPr>
                <w:rFonts w:ascii="Times New Roman" w:hAnsi="Times New Roman"/>
                <w:b/>
                <w:color w:val="auto"/>
                <w:szCs w:val="21"/>
              </w:rPr>
              <w:t>五、地下水及土壤污染防治措施</w:t>
            </w:r>
          </w:p>
          <w:p w14:paraId="0127363C">
            <w:pPr>
              <w:spacing w:line="360" w:lineRule="auto"/>
              <w:ind w:firstLine="422" w:firstLineChars="200"/>
              <w:rPr>
                <w:color w:val="auto"/>
                <w:szCs w:val="21"/>
              </w:rPr>
            </w:pPr>
            <w:r>
              <w:rPr>
                <w:b/>
                <w:bCs/>
                <w:color w:val="auto"/>
                <w:szCs w:val="21"/>
              </w:rPr>
              <w:t>1、影响途径</w:t>
            </w:r>
          </w:p>
          <w:p w14:paraId="2FD83E27">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left"/>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本项目可能造成地下水和土壤污染影响的区域有：</w:t>
            </w:r>
            <w:r>
              <w:rPr>
                <w:rFonts w:hint="eastAsia" w:cs="Times New Roman"/>
                <w:color w:val="auto"/>
                <w:sz w:val="21"/>
                <w:szCs w:val="21"/>
                <w:lang w:val="en-US" w:eastAsia="zh-CN"/>
              </w:rPr>
              <w:t>原料仓库</w:t>
            </w:r>
            <w:r>
              <w:rPr>
                <w:rFonts w:hint="eastAsia" w:ascii="Times New Roman" w:hAnsi="Times New Roman" w:cs="Times New Roman"/>
                <w:color w:val="auto"/>
                <w:sz w:val="21"/>
                <w:szCs w:val="21"/>
                <w:lang w:val="en-US" w:eastAsia="zh-CN"/>
              </w:rPr>
              <w:t>、</w:t>
            </w:r>
            <w:r>
              <w:rPr>
                <w:rFonts w:hint="eastAsia" w:cs="Times New Roman"/>
                <w:color w:val="auto"/>
                <w:sz w:val="21"/>
                <w:szCs w:val="21"/>
                <w:lang w:val="en-US" w:eastAsia="zh-CN"/>
              </w:rPr>
              <w:t>危废仓库</w:t>
            </w:r>
            <w:r>
              <w:rPr>
                <w:rFonts w:hint="default" w:ascii="Times New Roman" w:hAnsi="Times New Roman" w:eastAsia="宋体" w:cs="Times New Roman"/>
                <w:color w:val="auto"/>
                <w:sz w:val="21"/>
                <w:szCs w:val="21"/>
              </w:rPr>
              <w:t>。可能的污染途径为：</w:t>
            </w:r>
            <w:r>
              <w:rPr>
                <w:rFonts w:hint="eastAsia" w:ascii="Times New Roman" w:hAnsi="Times New Roman" w:cs="Times New Roman"/>
                <w:color w:val="auto"/>
                <w:sz w:val="21"/>
                <w:szCs w:val="21"/>
                <w:lang w:val="en-US" w:eastAsia="zh-CN"/>
              </w:rPr>
              <w:t>化学品、</w:t>
            </w:r>
            <w:r>
              <w:rPr>
                <w:rFonts w:hint="default" w:ascii="Times New Roman" w:hAnsi="Times New Roman" w:eastAsia="宋体" w:cs="Times New Roman"/>
                <w:color w:val="auto"/>
                <w:sz w:val="21"/>
                <w:szCs w:val="21"/>
              </w:rPr>
              <w:t>危险废物在装卸、贮存、使用、输送过程中发生倾覆或者包装容器破损，由此导致危险物质发生泄漏，泄漏后渗入到泄漏区附近的土壤和地下水中，从而发生污染事故。</w:t>
            </w:r>
            <w:r>
              <w:rPr>
                <w:rFonts w:hint="default" w:ascii="Times New Roman" w:hAnsi="Times New Roman" w:eastAsia="宋体" w:cs="Times New Roman"/>
                <w:bCs/>
                <w:color w:val="auto"/>
                <w:sz w:val="21"/>
                <w:szCs w:val="21"/>
              </w:rPr>
              <w:t>若不加强本项目生产车间、原料库、危废仓库等区域的防渗处理和及时处置，存在污染土壤、地下水的可能</w:t>
            </w:r>
            <w:r>
              <w:rPr>
                <w:rFonts w:hint="eastAsia" w:ascii="Times New Roman" w:hAnsi="Times New Roman" w:eastAsia="宋体" w:cs="Times New Roman"/>
                <w:bCs/>
                <w:color w:val="auto"/>
                <w:sz w:val="21"/>
                <w:szCs w:val="21"/>
                <w:lang w:eastAsia="zh-CN"/>
              </w:rPr>
              <w:t>。</w:t>
            </w:r>
          </w:p>
          <w:p w14:paraId="63A90A6E">
            <w:pPr>
              <w:adjustRightInd w:val="0"/>
              <w:snapToGrid w:val="0"/>
              <w:spacing w:line="360" w:lineRule="auto"/>
              <w:ind w:firstLine="422" w:firstLineChars="200"/>
              <w:jc w:val="left"/>
              <w:rPr>
                <w:bCs/>
                <w:color w:val="auto"/>
                <w:szCs w:val="21"/>
              </w:rPr>
            </w:pPr>
            <w:r>
              <w:rPr>
                <w:b/>
                <w:color w:val="auto"/>
                <w:szCs w:val="21"/>
              </w:rPr>
              <w:t>2、防渗原则</w:t>
            </w:r>
          </w:p>
          <w:p w14:paraId="3443CDCA">
            <w:pPr>
              <w:adjustRightInd w:val="0"/>
              <w:snapToGrid w:val="0"/>
              <w:spacing w:line="360" w:lineRule="auto"/>
              <w:ind w:firstLine="420" w:firstLineChars="200"/>
              <w:jc w:val="left"/>
              <w:rPr>
                <w:bCs/>
                <w:color w:val="auto"/>
                <w:szCs w:val="21"/>
              </w:rPr>
            </w:pPr>
            <w:r>
              <w:rPr>
                <w:bCs/>
                <w:color w:val="auto"/>
                <w:szCs w:val="21"/>
              </w:rPr>
              <w:t>针对本项目可能发生的土壤和地下水污染，土壤及地下水污染防治措施按照“源头控制、末端防治、分区管理和控制”相结合的原则，</w:t>
            </w:r>
            <w:r>
              <w:rPr>
                <w:rFonts w:hint="eastAsia"/>
                <w:color w:val="auto"/>
                <w:szCs w:val="21"/>
              </w:rPr>
              <w:t>建设单位</w:t>
            </w:r>
            <w:r>
              <w:rPr>
                <w:bCs/>
                <w:color w:val="auto"/>
                <w:szCs w:val="21"/>
              </w:rPr>
              <w:t>危废仓库等处均需要进行防腐、防渗设计。为减少对土壤及地下水的影响，本项目应从污染物的产生、入渗、扩散、应急响应全阶段进行控制。</w:t>
            </w:r>
          </w:p>
          <w:p w14:paraId="0A9C6D21">
            <w:pPr>
              <w:adjustRightInd w:val="0"/>
              <w:snapToGrid w:val="0"/>
              <w:spacing w:line="360" w:lineRule="auto"/>
              <w:ind w:firstLine="420" w:firstLineChars="200"/>
              <w:jc w:val="left"/>
              <w:rPr>
                <w:bCs/>
                <w:color w:val="auto"/>
                <w:szCs w:val="21"/>
              </w:rPr>
            </w:pPr>
            <w:r>
              <w:rPr>
                <w:bCs/>
                <w:color w:val="auto"/>
                <w:szCs w:val="21"/>
              </w:rPr>
              <w:t>（1）源头控制原则</w:t>
            </w:r>
          </w:p>
          <w:p w14:paraId="3FD313C0">
            <w:pPr>
              <w:adjustRightInd w:val="0"/>
              <w:snapToGrid w:val="0"/>
              <w:spacing w:line="360" w:lineRule="auto"/>
              <w:ind w:firstLine="420" w:firstLineChars="200"/>
              <w:jc w:val="left"/>
              <w:rPr>
                <w:bCs/>
                <w:color w:val="auto"/>
                <w:szCs w:val="21"/>
              </w:rPr>
            </w:pPr>
            <w:r>
              <w:rPr>
                <w:bCs/>
                <w:color w:val="auto"/>
                <w:szCs w:val="21"/>
              </w:rPr>
              <w:t>源头控制主要包括在工艺、管理、设备、污水储存及处理构筑物采取相应措施，防止和降低污染物跑、冒、滴、漏，将污染物泄漏的环境风险事故降到最低程度。</w:t>
            </w:r>
          </w:p>
          <w:p w14:paraId="795F187D">
            <w:pPr>
              <w:adjustRightInd w:val="0"/>
              <w:snapToGrid w:val="0"/>
              <w:spacing w:line="360" w:lineRule="auto"/>
              <w:ind w:firstLine="420" w:firstLineChars="200"/>
              <w:jc w:val="left"/>
              <w:rPr>
                <w:bCs/>
                <w:color w:val="auto"/>
                <w:szCs w:val="21"/>
              </w:rPr>
            </w:pPr>
            <w:r>
              <w:rPr>
                <w:bCs/>
                <w:color w:val="auto"/>
                <w:szCs w:val="21"/>
              </w:rPr>
              <w:t>（2）末端控制措施原则</w:t>
            </w:r>
          </w:p>
          <w:p w14:paraId="40F7F1DF">
            <w:pPr>
              <w:adjustRightInd w:val="0"/>
              <w:snapToGrid w:val="0"/>
              <w:spacing w:line="360" w:lineRule="auto"/>
              <w:ind w:firstLine="420" w:firstLineChars="200"/>
              <w:jc w:val="left"/>
              <w:rPr>
                <w:bCs/>
                <w:color w:val="auto"/>
                <w:szCs w:val="21"/>
              </w:rPr>
            </w:pPr>
            <w:r>
              <w:rPr>
                <w:bCs/>
                <w:color w:val="auto"/>
                <w:szCs w:val="21"/>
              </w:rPr>
              <w:t>末端控制措施主要包括厂内污染区地面的防渗措施和泄漏、渗漏污染物收集措施，即在污染区地面进行防渗处理，防止洒落地面的污染物渗入地下。</w:t>
            </w:r>
          </w:p>
          <w:p w14:paraId="682942BE">
            <w:pPr>
              <w:adjustRightInd w:val="0"/>
              <w:snapToGrid w:val="0"/>
              <w:spacing w:line="360" w:lineRule="auto"/>
              <w:ind w:firstLine="420" w:firstLineChars="200"/>
              <w:jc w:val="left"/>
              <w:rPr>
                <w:bCs/>
                <w:color w:val="auto"/>
                <w:szCs w:val="21"/>
              </w:rPr>
            </w:pPr>
            <w:r>
              <w:rPr>
                <w:bCs/>
                <w:color w:val="auto"/>
                <w:szCs w:val="21"/>
              </w:rPr>
              <w:t>（3）分区管理和控制原则</w:t>
            </w:r>
          </w:p>
          <w:p w14:paraId="0BF53F4C">
            <w:pPr>
              <w:adjustRightInd w:val="0"/>
              <w:snapToGrid w:val="0"/>
              <w:spacing w:line="360" w:lineRule="auto"/>
              <w:ind w:firstLine="420" w:firstLineChars="200"/>
              <w:jc w:val="left"/>
              <w:rPr>
                <w:bCs/>
                <w:color w:val="auto"/>
                <w:szCs w:val="21"/>
              </w:rPr>
            </w:pPr>
            <w:r>
              <w:rPr>
                <w:bCs/>
                <w:color w:val="auto"/>
                <w:szCs w:val="21"/>
              </w:rPr>
              <w:t>分区管理和控制原则，即根据场址所在地的工程地质、水文地质条件和全厂可能发生泄漏的物料性质、排放量并参照相应标准要求有针对性的分区，并分别设计地面防渗层结构。</w:t>
            </w:r>
          </w:p>
          <w:p w14:paraId="7798A357">
            <w:pPr>
              <w:adjustRightInd w:val="0"/>
              <w:snapToGrid w:val="0"/>
              <w:spacing w:line="360" w:lineRule="auto"/>
              <w:ind w:firstLine="422" w:firstLineChars="200"/>
              <w:jc w:val="left"/>
              <w:rPr>
                <w:bCs/>
                <w:color w:val="auto"/>
                <w:szCs w:val="21"/>
              </w:rPr>
            </w:pPr>
            <w:r>
              <w:rPr>
                <w:b/>
                <w:color w:val="auto"/>
                <w:szCs w:val="21"/>
              </w:rPr>
              <w:t>3、土壤及地下水污染防治措施</w:t>
            </w:r>
          </w:p>
          <w:p w14:paraId="5467F3F0">
            <w:pPr>
              <w:adjustRightInd w:val="0"/>
              <w:snapToGrid w:val="0"/>
              <w:spacing w:line="360" w:lineRule="auto"/>
              <w:ind w:firstLine="420" w:firstLineChars="200"/>
              <w:rPr>
                <w:bCs/>
                <w:color w:val="auto"/>
                <w:szCs w:val="21"/>
              </w:rPr>
            </w:pPr>
            <w:r>
              <w:rPr>
                <w:bCs/>
                <w:color w:val="auto"/>
                <w:szCs w:val="21"/>
              </w:rPr>
              <w:t>（1）为了防止各类污染物泄漏造成地下水污染，建设单位应从原料产品储存、装卸、运输、生产过程等全过程控制各种有毒有害原辅材料、中间材料、产品泄漏（含跑、冒、滴、漏），同时对有害物质可能泄漏到地面的区域采取防渗措施，阻止其渗入地下水中，即从源头到末端全方位采取控制措施。</w:t>
            </w:r>
          </w:p>
          <w:p w14:paraId="039DB304">
            <w:pPr>
              <w:adjustRightInd w:val="0"/>
              <w:snapToGrid w:val="0"/>
              <w:spacing w:line="360" w:lineRule="auto"/>
              <w:ind w:firstLine="420" w:firstLineChars="200"/>
              <w:jc w:val="left"/>
              <w:rPr>
                <w:bCs/>
                <w:color w:val="auto"/>
                <w:szCs w:val="21"/>
              </w:rPr>
            </w:pPr>
            <w:r>
              <w:rPr>
                <w:bCs/>
                <w:color w:val="auto"/>
                <w:szCs w:val="21"/>
              </w:rPr>
              <w:t>（2）根据本项目可能泄漏至地面区域污染物的性质和生产单元的构筑方式，将厂区划分为</w:t>
            </w:r>
            <w:r>
              <w:rPr>
                <w:color w:val="auto"/>
                <w:kern w:val="0"/>
                <w:szCs w:val="21"/>
              </w:rPr>
              <w:t>重点防渗区</w:t>
            </w:r>
            <w:r>
              <w:rPr>
                <w:bCs/>
                <w:color w:val="auto"/>
                <w:szCs w:val="21"/>
              </w:rPr>
              <w:t>、</w:t>
            </w:r>
            <w:r>
              <w:rPr>
                <w:color w:val="auto"/>
                <w:kern w:val="0"/>
                <w:szCs w:val="21"/>
              </w:rPr>
              <w:t>一般防渗区</w:t>
            </w:r>
            <w:r>
              <w:rPr>
                <w:bCs/>
                <w:color w:val="auto"/>
                <w:szCs w:val="21"/>
              </w:rPr>
              <w:t>和</w:t>
            </w:r>
            <w:r>
              <w:rPr>
                <w:color w:val="auto"/>
                <w:szCs w:val="21"/>
              </w:rPr>
              <w:t>简单防渗区</w:t>
            </w:r>
            <w:r>
              <w:rPr>
                <w:bCs/>
                <w:color w:val="auto"/>
                <w:szCs w:val="21"/>
              </w:rPr>
              <w:t>。</w:t>
            </w:r>
          </w:p>
          <w:p w14:paraId="233F7287">
            <w:pPr>
              <w:adjustRightInd w:val="0"/>
              <w:snapToGrid w:val="0"/>
              <w:spacing w:line="360" w:lineRule="auto"/>
              <w:ind w:firstLine="420" w:firstLineChars="200"/>
              <w:jc w:val="left"/>
              <w:rPr>
                <w:bCs/>
                <w:color w:val="auto"/>
                <w:szCs w:val="21"/>
              </w:rPr>
            </w:pPr>
            <w:r>
              <w:rPr>
                <w:color w:val="auto"/>
                <w:kern w:val="0"/>
                <w:szCs w:val="21"/>
              </w:rPr>
              <w:t>重点防渗区</w:t>
            </w:r>
            <w:r>
              <w:rPr>
                <w:bCs/>
                <w:color w:val="auto"/>
                <w:szCs w:val="21"/>
              </w:rPr>
              <w:t>：本项目</w:t>
            </w:r>
            <w:r>
              <w:rPr>
                <w:color w:val="auto"/>
                <w:kern w:val="0"/>
                <w:szCs w:val="21"/>
              </w:rPr>
              <w:t>重点防渗区</w:t>
            </w:r>
            <w:r>
              <w:rPr>
                <w:bCs/>
                <w:color w:val="auto"/>
                <w:szCs w:val="21"/>
              </w:rPr>
              <w:t>主要为</w:t>
            </w:r>
            <w:r>
              <w:rPr>
                <w:rFonts w:hint="eastAsia"/>
                <w:bCs/>
                <w:color w:val="auto"/>
                <w:szCs w:val="21"/>
                <w:lang w:val="en-US" w:eastAsia="zh-CN"/>
              </w:rPr>
              <w:t>原料仓库</w:t>
            </w:r>
            <w:r>
              <w:rPr>
                <w:color w:val="auto"/>
                <w:szCs w:val="21"/>
              </w:rPr>
              <w:t>、</w:t>
            </w:r>
            <w:r>
              <w:rPr>
                <w:bCs/>
                <w:color w:val="auto"/>
                <w:szCs w:val="21"/>
              </w:rPr>
              <w:t>危废仓库所在区域。</w:t>
            </w:r>
          </w:p>
          <w:p w14:paraId="0CECE6BE">
            <w:pPr>
              <w:adjustRightInd w:val="0"/>
              <w:snapToGrid w:val="0"/>
              <w:spacing w:line="360" w:lineRule="auto"/>
              <w:ind w:firstLine="420" w:firstLineChars="200"/>
              <w:jc w:val="left"/>
              <w:rPr>
                <w:bCs/>
                <w:color w:val="auto"/>
                <w:szCs w:val="21"/>
              </w:rPr>
            </w:pPr>
            <w:r>
              <w:rPr>
                <w:color w:val="auto"/>
                <w:kern w:val="0"/>
                <w:szCs w:val="21"/>
              </w:rPr>
              <w:t>一般防渗区</w:t>
            </w:r>
            <w:r>
              <w:rPr>
                <w:bCs/>
                <w:color w:val="auto"/>
                <w:szCs w:val="21"/>
              </w:rPr>
              <w:t>：本项目</w:t>
            </w:r>
            <w:r>
              <w:rPr>
                <w:color w:val="auto"/>
                <w:kern w:val="0"/>
                <w:szCs w:val="21"/>
              </w:rPr>
              <w:t>一般防渗区</w:t>
            </w:r>
            <w:r>
              <w:rPr>
                <w:bCs/>
                <w:color w:val="auto"/>
                <w:szCs w:val="21"/>
              </w:rPr>
              <w:t>主要为生产车间其他生产区域。</w:t>
            </w:r>
          </w:p>
          <w:p w14:paraId="230454E0">
            <w:pPr>
              <w:adjustRightInd w:val="0"/>
              <w:snapToGrid w:val="0"/>
              <w:spacing w:line="360" w:lineRule="auto"/>
              <w:ind w:firstLine="420" w:firstLineChars="200"/>
              <w:jc w:val="left"/>
              <w:rPr>
                <w:bCs/>
                <w:color w:val="auto"/>
                <w:szCs w:val="21"/>
              </w:rPr>
            </w:pPr>
            <w:r>
              <w:rPr>
                <w:color w:val="auto"/>
                <w:szCs w:val="21"/>
              </w:rPr>
              <w:t>简单防渗区</w:t>
            </w:r>
            <w:r>
              <w:rPr>
                <w:bCs/>
                <w:color w:val="auto"/>
                <w:szCs w:val="21"/>
              </w:rPr>
              <w:t>：本项目</w:t>
            </w:r>
            <w:r>
              <w:rPr>
                <w:color w:val="auto"/>
                <w:szCs w:val="21"/>
              </w:rPr>
              <w:t>简单防渗区</w:t>
            </w:r>
            <w:r>
              <w:rPr>
                <w:bCs/>
                <w:color w:val="auto"/>
                <w:szCs w:val="21"/>
              </w:rPr>
              <w:t>为办公</w:t>
            </w:r>
            <w:r>
              <w:rPr>
                <w:rFonts w:hint="eastAsia"/>
                <w:bCs/>
                <w:color w:val="auto"/>
                <w:szCs w:val="21"/>
                <w:lang w:eastAsia="zh-CN"/>
              </w:rPr>
              <w:t>、</w:t>
            </w:r>
            <w:r>
              <w:rPr>
                <w:rFonts w:hint="eastAsia"/>
                <w:bCs/>
                <w:color w:val="auto"/>
                <w:szCs w:val="21"/>
                <w:lang w:val="en-US" w:eastAsia="zh-CN"/>
              </w:rPr>
              <w:t>原料仓库等</w:t>
            </w:r>
            <w:r>
              <w:rPr>
                <w:bCs/>
                <w:color w:val="auto"/>
                <w:szCs w:val="21"/>
              </w:rPr>
              <w:t>所在区域。</w:t>
            </w:r>
          </w:p>
          <w:p w14:paraId="46112AA4">
            <w:pPr>
              <w:keepNext w:val="0"/>
              <w:keepLines w:val="0"/>
              <w:pageBreakBefore w:val="0"/>
              <w:widowControl w:val="0"/>
              <w:kinsoku/>
              <w:wordWrap/>
              <w:overflowPunct/>
              <w:topLinePunct w:val="0"/>
              <w:autoSpaceDE/>
              <w:autoSpaceDN/>
              <w:bidi w:val="0"/>
              <w:adjustRightInd w:val="0"/>
              <w:snapToGrid w:val="0"/>
              <w:jc w:val="center"/>
              <w:textAlignment w:val="auto"/>
              <w:rPr>
                <w:b/>
                <w:color w:val="auto"/>
                <w:szCs w:val="21"/>
              </w:rPr>
            </w:pPr>
            <w:r>
              <w:rPr>
                <w:b/>
                <w:color w:val="auto"/>
                <w:szCs w:val="21"/>
              </w:rPr>
              <w:t>表4-</w:t>
            </w:r>
            <w:r>
              <w:rPr>
                <w:rFonts w:hint="eastAsia"/>
                <w:b/>
                <w:color w:val="auto"/>
                <w:szCs w:val="21"/>
              </w:rPr>
              <w:t>2</w:t>
            </w:r>
            <w:r>
              <w:rPr>
                <w:rFonts w:hint="eastAsia"/>
                <w:b/>
                <w:color w:val="auto"/>
                <w:szCs w:val="21"/>
                <w:lang w:val="en-US" w:eastAsia="zh-CN"/>
              </w:rPr>
              <w:t>8</w:t>
            </w:r>
            <w:r>
              <w:rPr>
                <w:b/>
                <w:color w:val="auto"/>
                <w:szCs w:val="21"/>
              </w:rPr>
              <w:t xml:space="preserve"> 本项目污染防治分区划分及防渗要求</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83"/>
              <w:gridCol w:w="1149"/>
              <w:gridCol w:w="1182"/>
              <w:gridCol w:w="2287"/>
              <w:gridCol w:w="2479"/>
            </w:tblGrid>
            <w:tr w14:paraId="416656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5" w:type="pct"/>
                  <w:noWrap w:val="0"/>
                  <w:tcMar>
                    <w:top w:w="0" w:type="dxa"/>
                    <w:left w:w="0" w:type="dxa"/>
                    <w:bottom w:w="0" w:type="dxa"/>
                    <w:right w:w="0" w:type="dxa"/>
                  </w:tcMar>
                  <w:vAlign w:val="center"/>
                </w:tcPr>
                <w:p w14:paraId="724F3D91">
                  <w:pPr>
                    <w:adjustRightInd w:val="0"/>
                    <w:snapToGrid w:val="0"/>
                    <w:jc w:val="center"/>
                    <w:textAlignment w:val="baseline"/>
                    <w:rPr>
                      <w:b/>
                      <w:bCs/>
                      <w:color w:val="auto"/>
                      <w:kern w:val="0"/>
                      <w:szCs w:val="21"/>
                    </w:rPr>
                  </w:pPr>
                  <w:r>
                    <w:rPr>
                      <w:b/>
                      <w:bCs/>
                      <w:color w:val="auto"/>
                      <w:kern w:val="0"/>
                      <w:szCs w:val="21"/>
                    </w:rPr>
                    <w:t>防渗单元</w:t>
                  </w:r>
                </w:p>
              </w:tc>
              <w:tc>
                <w:tcPr>
                  <w:tcW w:w="685" w:type="pct"/>
                  <w:noWrap w:val="0"/>
                  <w:tcMar>
                    <w:top w:w="0" w:type="dxa"/>
                    <w:left w:w="0" w:type="dxa"/>
                    <w:bottom w:w="0" w:type="dxa"/>
                    <w:right w:w="0" w:type="dxa"/>
                  </w:tcMar>
                  <w:vAlign w:val="center"/>
                </w:tcPr>
                <w:p w14:paraId="62CB6320">
                  <w:pPr>
                    <w:adjustRightInd w:val="0"/>
                    <w:snapToGrid w:val="0"/>
                    <w:jc w:val="center"/>
                    <w:textAlignment w:val="baseline"/>
                    <w:rPr>
                      <w:b/>
                      <w:bCs/>
                      <w:color w:val="auto"/>
                      <w:kern w:val="0"/>
                      <w:szCs w:val="21"/>
                    </w:rPr>
                  </w:pPr>
                  <w:r>
                    <w:rPr>
                      <w:b/>
                      <w:bCs/>
                      <w:color w:val="auto"/>
                      <w:kern w:val="0"/>
                      <w:szCs w:val="21"/>
                    </w:rPr>
                    <w:t>污染物</w:t>
                  </w:r>
                </w:p>
              </w:tc>
              <w:tc>
                <w:tcPr>
                  <w:tcW w:w="705" w:type="pct"/>
                  <w:noWrap w:val="0"/>
                  <w:tcMar>
                    <w:top w:w="0" w:type="dxa"/>
                    <w:left w:w="0" w:type="dxa"/>
                    <w:bottom w:w="0" w:type="dxa"/>
                    <w:right w:w="0" w:type="dxa"/>
                  </w:tcMar>
                  <w:vAlign w:val="center"/>
                </w:tcPr>
                <w:p w14:paraId="71AABCC6">
                  <w:pPr>
                    <w:adjustRightInd w:val="0"/>
                    <w:snapToGrid w:val="0"/>
                    <w:jc w:val="center"/>
                    <w:textAlignment w:val="baseline"/>
                    <w:rPr>
                      <w:b/>
                      <w:bCs/>
                      <w:color w:val="auto"/>
                      <w:kern w:val="0"/>
                      <w:szCs w:val="21"/>
                    </w:rPr>
                  </w:pPr>
                  <w:r>
                    <w:rPr>
                      <w:b/>
                      <w:bCs/>
                      <w:color w:val="auto"/>
                      <w:kern w:val="0"/>
                      <w:szCs w:val="21"/>
                    </w:rPr>
                    <w:t>污染物类型</w:t>
                  </w:r>
                </w:p>
              </w:tc>
              <w:tc>
                <w:tcPr>
                  <w:tcW w:w="1364" w:type="pct"/>
                  <w:noWrap w:val="0"/>
                  <w:tcMar>
                    <w:top w:w="0" w:type="dxa"/>
                    <w:left w:w="0" w:type="dxa"/>
                    <w:bottom w:w="0" w:type="dxa"/>
                    <w:right w:w="0" w:type="dxa"/>
                  </w:tcMar>
                  <w:vAlign w:val="center"/>
                </w:tcPr>
                <w:p w14:paraId="635FA37D">
                  <w:pPr>
                    <w:adjustRightInd w:val="0"/>
                    <w:snapToGrid w:val="0"/>
                    <w:jc w:val="center"/>
                    <w:textAlignment w:val="baseline"/>
                    <w:rPr>
                      <w:b/>
                      <w:bCs/>
                      <w:color w:val="auto"/>
                      <w:kern w:val="0"/>
                      <w:szCs w:val="21"/>
                    </w:rPr>
                  </w:pPr>
                  <w:r>
                    <w:rPr>
                      <w:b/>
                      <w:bCs/>
                      <w:color w:val="auto"/>
                      <w:kern w:val="0"/>
                      <w:szCs w:val="21"/>
                    </w:rPr>
                    <w:t>规定的防渗要求</w:t>
                  </w:r>
                </w:p>
              </w:tc>
              <w:tc>
                <w:tcPr>
                  <w:tcW w:w="1478" w:type="pct"/>
                  <w:noWrap w:val="0"/>
                  <w:tcMar>
                    <w:top w:w="0" w:type="dxa"/>
                    <w:left w:w="0" w:type="dxa"/>
                    <w:bottom w:w="0" w:type="dxa"/>
                    <w:right w:w="0" w:type="dxa"/>
                  </w:tcMar>
                  <w:vAlign w:val="center"/>
                </w:tcPr>
                <w:p w14:paraId="65B6AFF5">
                  <w:pPr>
                    <w:adjustRightInd w:val="0"/>
                    <w:snapToGrid w:val="0"/>
                    <w:jc w:val="center"/>
                    <w:textAlignment w:val="baseline"/>
                    <w:rPr>
                      <w:b/>
                      <w:bCs/>
                      <w:color w:val="auto"/>
                      <w:kern w:val="0"/>
                      <w:szCs w:val="21"/>
                    </w:rPr>
                  </w:pPr>
                  <w:r>
                    <w:rPr>
                      <w:b/>
                      <w:bCs/>
                      <w:color w:val="auto"/>
                      <w:kern w:val="0"/>
                      <w:szCs w:val="21"/>
                    </w:rPr>
                    <w:t>本项目防渗措施</w:t>
                  </w:r>
                </w:p>
              </w:tc>
            </w:tr>
            <w:tr w14:paraId="23539A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5" w:type="pct"/>
                  <w:noWrap w:val="0"/>
                  <w:tcMar>
                    <w:top w:w="0" w:type="dxa"/>
                    <w:left w:w="0" w:type="dxa"/>
                    <w:bottom w:w="0" w:type="dxa"/>
                    <w:right w:w="0" w:type="dxa"/>
                  </w:tcMar>
                  <w:vAlign w:val="center"/>
                </w:tcPr>
                <w:p w14:paraId="1832B899">
                  <w:pPr>
                    <w:adjustRightInd w:val="0"/>
                    <w:snapToGrid w:val="0"/>
                    <w:jc w:val="center"/>
                    <w:textAlignment w:val="baseline"/>
                    <w:rPr>
                      <w:color w:val="auto"/>
                      <w:kern w:val="0"/>
                      <w:szCs w:val="21"/>
                    </w:rPr>
                  </w:pPr>
                  <w:r>
                    <w:rPr>
                      <w:color w:val="auto"/>
                      <w:szCs w:val="21"/>
                    </w:rPr>
                    <w:t>办公</w:t>
                  </w:r>
                  <w:r>
                    <w:rPr>
                      <w:rFonts w:hint="eastAsia"/>
                      <w:color w:val="auto"/>
                      <w:szCs w:val="21"/>
                      <w:lang w:eastAsia="zh-CN"/>
                    </w:rPr>
                    <w:t>、</w:t>
                  </w:r>
                  <w:r>
                    <w:rPr>
                      <w:rFonts w:hint="eastAsia"/>
                      <w:color w:val="auto"/>
                      <w:szCs w:val="21"/>
                      <w:lang w:val="en-US" w:eastAsia="zh-CN"/>
                    </w:rPr>
                    <w:t>原料仓库等</w:t>
                  </w:r>
                  <w:r>
                    <w:rPr>
                      <w:color w:val="auto"/>
                      <w:szCs w:val="21"/>
                    </w:rPr>
                    <w:t>所在区域</w:t>
                  </w:r>
                </w:p>
              </w:tc>
              <w:tc>
                <w:tcPr>
                  <w:tcW w:w="685" w:type="pct"/>
                  <w:noWrap w:val="0"/>
                  <w:tcMar>
                    <w:top w:w="0" w:type="dxa"/>
                    <w:left w:w="0" w:type="dxa"/>
                    <w:bottom w:w="0" w:type="dxa"/>
                    <w:right w:w="0" w:type="dxa"/>
                  </w:tcMar>
                  <w:vAlign w:val="center"/>
                </w:tcPr>
                <w:p w14:paraId="42D8E80B">
                  <w:pPr>
                    <w:adjustRightInd w:val="0"/>
                    <w:snapToGrid w:val="0"/>
                    <w:jc w:val="center"/>
                    <w:textAlignment w:val="baseline"/>
                    <w:rPr>
                      <w:color w:val="auto"/>
                      <w:kern w:val="0"/>
                      <w:szCs w:val="21"/>
                    </w:rPr>
                  </w:pPr>
                  <w:r>
                    <w:rPr>
                      <w:color w:val="auto"/>
                      <w:szCs w:val="21"/>
                    </w:rPr>
                    <w:t>/</w:t>
                  </w:r>
                </w:p>
              </w:tc>
              <w:tc>
                <w:tcPr>
                  <w:tcW w:w="705" w:type="pct"/>
                  <w:noWrap w:val="0"/>
                  <w:tcMar>
                    <w:top w:w="0" w:type="dxa"/>
                    <w:left w:w="0" w:type="dxa"/>
                    <w:bottom w:w="0" w:type="dxa"/>
                    <w:right w:w="0" w:type="dxa"/>
                  </w:tcMar>
                  <w:vAlign w:val="center"/>
                </w:tcPr>
                <w:p w14:paraId="63D40DAD">
                  <w:pPr>
                    <w:adjustRightInd w:val="0"/>
                    <w:snapToGrid w:val="0"/>
                    <w:jc w:val="center"/>
                    <w:textAlignment w:val="baseline"/>
                    <w:rPr>
                      <w:color w:val="auto"/>
                      <w:kern w:val="0"/>
                      <w:szCs w:val="21"/>
                    </w:rPr>
                  </w:pPr>
                  <w:r>
                    <w:rPr>
                      <w:color w:val="auto"/>
                      <w:kern w:val="0"/>
                      <w:szCs w:val="21"/>
                    </w:rPr>
                    <w:t>其他污染物</w:t>
                  </w:r>
                </w:p>
              </w:tc>
              <w:tc>
                <w:tcPr>
                  <w:tcW w:w="1364" w:type="pct"/>
                  <w:noWrap w:val="0"/>
                  <w:tcMar>
                    <w:top w:w="0" w:type="dxa"/>
                    <w:left w:w="0" w:type="dxa"/>
                    <w:bottom w:w="0" w:type="dxa"/>
                    <w:right w:w="0" w:type="dxa"/>
                  </w:tcMar>
                  <w:vAlign w:val="center"/>
                </w:tcPr>
                <w:p w14:paraId="75CC62C3">
                  <w:pPr>
                    <w:adjustRightInd w:val="0"/>
                    <w:snapToGrid w:val="0"/>
                    <w:jc w:val="center"/>
                    <w:textAlignment w:val="baseline"/>
                    <w:rPr>
                      <w:color w:val="auto"/>
                      <w:kern w:val="0"/>
                      <w:szCs w:val="21"/>
                    </w:rPr>
                  </w:pPr>
                  <w:r>
                    <w:rPr>
                      <w:color w:val="auto"/>
                      <w:szCs w:val="21"/>
                    </w:rPr>
                    <w:t>简单防渗区</w:t>
                  </w:r>
                </w:p>
              </w:tc>
              <w:tc>
                <w:tcPr>
                  <w:tcW w:w="1478" w:type="pct"/>
                  <w:noWrap w:val="0"/>
                  <w:tcMar>
                    <w:top w:w="0" w:type="dxa"/>
                    <w:left w:w="0" w:type="dxa"/>
                    <w:bottom w:w="0" w:type="dxa"/>
                    <w:right w:w="0" w:type="dxa"/>
                  </w:tcMar>
                  <w:vAlign w:val="center"/>
                </w:tcPr>
                <w:p w14:paraId="20EF8B8F">
                  <w:pPr>
                    <w:adjustRightInd w:val="0"/>
                    <w:snapToGrid w:val="0"/>
                    <w:jc w:val="center"/>
                    <w:textAlignment w:val="baseline"/>
                    <w:rPr>
                      <w:color w:val="auto"/>
                      <w:kern w:val="0"/>
                      <w:szCs w:val="21"/>
                    </w:rPr>
                  </w:pPr>
                  <w:r>
                    <w:rPr>
                      <w:color w:val="auto"/>
                      <w:szCs w:val="21"/>
                    </w:rPr>
                    <w:t>一般地面硬化</w:t>
                  </w:r>
                </w:p>
              </w:tc>
            </w:tr>
            <w:tr w14:paraId="06B634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5" w:type="pct"/>
                  <w:noWrap w:val="0"/>
                  <w:tcMar>
                    <w:top w:w="0" w:type="dxa"/>
                    <w:left w:w="0" w:type="dxa"/>
                    <w:bottom w:w="0" w:type="dxa"/>
                    <w:right w:w="0" w:type="dxa"/>
                  </w:tcMar>
                  <w:vAlign w:val="center"/>
                </w:tcPr>
                <w:p w14:paraId="3106CDA2">
                  <w:pPr>
                    <w:adjustRightInd w:val="0"/>
                    <w:snapToGrid w:val="0"/>
                    <w:jc w:val="center"/>
                    <w:textAlignment w:val="baseline"/>
                    <w:rPr>
                      <w:color w:val="auto"/>
                      <w:kern w:val="0"/>
                      <w:szCs w:val="21"/>
                    </w:rPr>
                  </w:pPr>
                  <w:r>
                    <w:rPr>
                      <w:bCs/>
                      <w:color w:val="auto"/>
                      <w:szCs w:val="21"/>
                    </w:rPr>
                    <w:t>生产车间其他生产区域</w:t>
                  </w:r>
                </w:p>
              </w:tc>
              <w:tc>
                <w:tcPr>
                  <w:tcW w:w="685" w:type="pct"/>
                  <w:noWrap w:val="0"/>
                  <w:tcMar>
                    <w:top w:w="0" w:type="dxa"/>
                    <w:left w:w="0" w:type="dxa"/>
                    <w:bottom w:w="0" w:type="dxa"/>
                    <w:right w:w="0" w:type="dxa"/>
                  </w:tcMar>
                  <w:vAlign w:val="center"/>
                </w:tcPr>
                <w:p w14:paraId="65E2207C">
                  <w:pPr>
                    <w:adjustRightInd w:val="0"/>
                    <w:snapToGrid w:val="0"/>
                    <w:jc w:val="center"/>
                    <w:textAlignment w:val="baseline"/>
                    <w:rPr>
                      <w:color w:val="auto"/>
                      <w:kern w:val="0"/>
                      <w:szCs w:val="21"/>
                    </w:rPr>
                  </w:pPr>
                  <w:r>
                    <w:rPr>
                      <w:color w:val="auto"/>
                      <w:szCs w:val="21"/>
                    </w:rPr>
                    <w:t>/</w:t>
                  </w:r>
                </w:p>
              </w:tc>
              <w:tc>
                <w:tcPr>
                  <w:tcW w:w="705" w:type="pct"/>
                  <w:noWrap w:val="0"/>
                  <w:tcMar>
                    <w:top w:w="0" w:type="dxa"/>
                    <w:left w:w="0" w:type="dxa"/>
                    <w:bottom w:w="0" w:type="dxa"/>
                    <w:right w:w="0" w:type="dxa"/>
                  </w:tcMar>
                  <w:vAlign w:val="center"/>
                </w:tcPr>
                <w:p w14:paraId="39B3CE7F">
                  <w:pPr>
                    <w:adjustRightInd w:val="0"/>
                    <w:snapToGrid w:val="0"/>
                    <w:jc w:val="center"/>
                    <w:textAlignment w:val="baseline"/>
                    <w:rPr>
                      <w:color w:val="auto"/>
                      <w:kern w:val="0"/>
                      <w:szCs w:val="21"/>
                    </w:rPr>
                  </w:pPr>
                  <w:r>
                    <w:rPr>
                      <w:color w:val="auto"/>
                      <w:kern w:val="0"/>
                      <w:szCs w:val="21"/>
                    </w:rPr>
                    <w:t>其他污染物</w:t>
                  </w:r>
                </w:p>
              </w:tc>
              <w:tc>
                <w:tcPr>
                  <w:tcW w:w="1364" w:type="pct"/>
                  <w:noWrap w:val="0"/>
                  <w:tcMar>
                    <w:top w:w="0" w:type="dxa"/>
                    <w:left w:w="0" w:type="dxa"/>
                    <w:bottom w:w="0" w:type="dxa"/>
                    <w:right w:w="0" w:type="dxa"/>
                  </w:tcMar>
                  <w:vAlign w:val="center"/>
                </w:tcPr>
                <w:p w14:paraId="42B9BBBF">
                  <w:pPr>
                    <w:adjustRightInd w:val="0"/>
                    <w:snapToGrid w:val="0"/>
                    <w:jc w:val="center"/>
                    <w:textAlignment w:val="baseline"/>
                    <w:rPr>
                      <w:color w:val="auto"/>
                      <w:kern w:val="0"/>
                      <w:szCs w:val="21"/>
                    </w:rPr>
                  </w:pPr>
                  <w:r>
                    <w:rPr>
                      <w:color w:val="auto"/>
                      <w:kern w:val="0"/>
                      <w:szCs w:val="21"/>
                    </w:rPr>
                    <w:t>一般防渗区，</w:t>
                  </w:r>
                  <w:r>
                    <w:rPr>
                      <w:color w:val="auto"/>
                      <w:szCs w:val="21"/>
                    </w:rPr>
                    <w:t>渗透系数≤10</w:t>
                  </w:r>
                  <w:r>
                    <w:rPr>
                      <w:color w:val="auto"/>
                      <w:szCs w:val="21"/>
                      <w:vertAlign w:val="superscript"/>
                    </w:rPr>
                    <w:t>-7</w:t>
                  </w:r>
                  <w:r>
                    <w:rPr>
                      <w:color w:val="auto"/>
                      <w:szCs w:val="21"/>
                    </w:rPr>
                    <w:t>cm/s，等效粘土防渗层不小于1.5m厚粘土层</w:t>
                  </w:r>
                </w:p>
              </w:tc>
              <w:tc>
                <w:tcPr>
                  <w:tcW w:w="1478" w:type="pct"/>
                  <w:noWrap w:val="0"/>
                  <w:tcMar>
                    <w:top w:w="0" w:type="dxa"/>
                    <w:left w:w="0" w:type="dxa"/>
                    <w:bottom w:w="0" w:type="dxa"/>
                    <w:right w:w="0" w:type="dxa"/>
                  </w:tcMar>
                  <w:vAlign w:val="center"/>
                </w:tcPr>
                <w:p w14:paraId="783926D0">
                  <w:pPr>
                    <w:adjustRightInd w:val="0"/>
                    <w:snapToGrid w:val="0"/>
                    <w:jc w:val="center"/>
                    <w:textAlignment w:val="baseline"/>
                    <w:rPr>
                      <w:color w:val="auto"/>
                      <w:kern w:val="0"/>
                      <w:szCs w:val="21"/>
                    </w:rPr>
                  </w:pPr>
                  <w:r>
                    <w:rPr>
                      <w:color w:val="auto"/>
                      <w:kern w:val="0"/>
                      <w:szCs w:val="21"/>
                    </w:rPr>
                    <w:t>铺设2mm厚的耐腐蚀环氧树脂</w:t>
                  </w:r>
                </w:p>
              </w:tc>
            </w:tr>
            <w:tr w14:paraId="4A267A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5" w:type="pct"/>
                  <w:noWrap w:val="0"/>
                  <w:tcMar>
                    <w:top w:w="0" w:type="dxa"/>
                    <w:left w:w="0" w:type="dxa"/>
                    <w:bottom w:w="0" w:type="dxa"/>
                    <w:right w:w="0" w:type="dxa"/>
                  </w:tcMar>
                  <w:vAlign w:val="center"/>
                </w:tcPr>
                <w:p w14:paraId="68309451">
                  <w:pPr>
                    <w:adjustRightInd w:val="0"/>
                    <w:snapToGrid w:val="0"/>
                    <w:jc w:val="center"/>
                    <w:textAlignment w:val="baseline"/>
                    <w:rPr>
                      <w:rFonts w:hint="default"/>
                      <w:color w:val="auto"/>
                      <w:kern w:val="0"/>
                      <w:szCs w:val="21"/>
                      <w:lang w:val="en-US" w:eastAsia="zh-CN"/>
                    </w:rPr>
                  </w:pPr>
                  <w:r>
                    <w:rPr>
                      <w:rFonts w:hint="eastAsia"/>
                      <w:color w:val="auto"/>
                      <w:kern w:val="0"/>
                      <w:szCs w:val="21"/>
                      <w:lang w:val="en-US" w:eastAsia="zh-CN"/>
                    </w:rPr>
                    <w:t>原料仓库</w:t>
                  </w:r>
                </w:p>
              </w:tc>
              <w:tc>
                <w:tcPr>
                  <w:tcW w:w="685" w:type="pct"/>
                  <w:noWrap w:val="0"/>
                  <w:tcMar>
                    <w:top w:w="0" w:type="dxa"/>
                    <w:left w:w="0" w:type="dxa"/>
                    <w:bottom w:w="0" w:type="dxa"/>
                    <w:right w:w="0" w:type="dxa"/>
                  </w:tcMar>
                  <w:vAlign w:val="center"/>
                </w:tcPr>
                <w:p w14:paraId="63C5FBDB">
                  <w:pPr>
                    <w:adjustRightInd w:val="0"/>
                    <w:snapToGrid w:val="0"/>
                    <w:jc w:val="center"/>
                    <w:textAlignment w:val="baseline"/>
                    <w:rPr>
                      <w:rFonts w:hint="default" w:eastAsia="宋体"/>
                      <w:color w:val="auto"/>
                      <w:szCs w:val="21"/>
                      <w:lang w:val="en-US" w:eastAsia="zh-CN"/>
                    </w:rPr>
                  </w:pPr>
                  <w:r>
                    <w:rPr>
                      <w:rFonts w:ascii="Times New Roman" w:hAnsi="Times New Roman"/>
                      <w:color w:val="auto"/>
                      <w:szCs w:val="21"/>
                    </w:rPr>
                    <w:t>环保增塑剂</w:t>
                  </w:r>
                  <w:r>
                    <w:rPr>
                      <w:rFonts w:hint="eastAsia" w:ascii="Times New Roman" w:hAnsi="Times New Roman"/>
                      <w:color w:val="auto"/>
                      <w:szCs w:val="21"/>
                      <w:lang w:eastAsia="zh-CN"/>
                    </w:rPr>
                    <w:t>、</w:t>
                  </w:r>
                  <w:r>
                    <w:rPr>
                      <w:rFonts w:hint="eastAsia" w:ascii="Times New Roman" w:hAnsi="Times New Roman"/>
                      <w:color w:val="auto"/>
                      <w:szCs w:val="21"/>
                      <w:lang w:val="en-US" w:eastAsia="zh-CN"/>
                    </w:rPr>
                    <w:t>润滑油</w:t>
                  </w:r>
                </w:p>
              </w:tc>
              <w:tc>
                <w:tcPr>
                  <w:tcW w:w="705" w:type="pct"/>
                  <w:noWrap w:val="0"/>
                  <w:tcMar>
                    <w:top w:w="0" w:type="dxa"/>
                    <w:left w:w="0" w:type="dxa"/>
                    <w:bottom w:w="0" w:type="dxa"/>
                    <w:right w:w="0" w:type="dxa"/>
                  </w:tcMar>
                  <w:vAlign w:val="center"/>
                </w:tcPr>
                <w:p w14:paraId="1ED017CC">
                  <w:pPr>
                    <w:adjustRightInd w:val="0"/>
                    <w:snapToGrid w:val="0"/>
                    <w:jc w:val="center"/>
                    <w:textAlignment w:val="baseline"/>
                    <w:rPr>
                      <w:color w:val="auto"/>
                      <w:kern w:val="0"/>
                      <w:sz w:val="21"/>
                      <w:szCs w:val="21"/>
                      <w:lang w:val="en-US" w:eastAsia="zh-CN" w:bidi="ar-SA"/>
                    </w:rPr>
                  </w:pPr>
                  <w:r>
                    <w:rPr>
                      <w:color w:val="auto"/>
                      <w:kern w:val="0"/>
                      <w:szCs w:val="21"/>
                    </w:rPr>
                    <w:t>其他污染物</w:t>
                  </w:r>
                </w:p>
              </w:tc>
              <w:tc>
                <w:tcPr>
                  <w:tcW w:w="1364" w:type="pct"/>
                  <w:vMerge w:val="restart"/>
                  <w:noWrap w:val="0"/>
                  <w:tcMar>
                    <w:top w:w="0" w:type="dxa"/>
                    <w:left w:w="0" w:type="dxa"/>
                    <w:bottom w:w="0" w:type="dxa"/>
                    <w:right w:w="0" w:type="dxa"/>
                  </w:tcMar>
                  <w:vAlign w:val="center"/>
                </w:tcPr>
                <w:p w14:paraId="17F70CE1">
                  <w:pPr>
                    <w:adjustRightInd w:val="0"/>
                    <w:snapToGrid w:val="0"/>
                    <w:jc w:val="center"/>
                    <w:textAlignment w:val="baseline"/>
                    <w:rPr>
                      <w:color w:val="auto"/>
                      <w:kern w:val="0"/>
                      <w:szCs w:val="21"/>
                    </w:rPr>
                  </w:pPr>
                  <w:r>
                    <w:rPr>
                      <w:color w:val="auto"/>
                      <w:kern w:val="0"/>
                      <w:szCs w:val="21"/>
                    </w:rPr>
                    <w:t>重点防渗区，等效黏土防渗层Mb≥6.0m，K≤1×10</w:t>
                  </w:r>
                  <w:r>
                    <w:rPr>
                      <w:color w:val="auto"/>
                      <w:kern w:val="0"/>
                      <w:szCs w:val="21"/>
                      <w:vertAlign w:val="superscript"/>
                    </w:rPr>
                    <w:t>-7</w:t>
                  </w:r>
                  <w:r>
                    <w:rPr>
                      <w:color w:val="auto"/>
                      <w:kern w:val="0"/>
                      <w:szCs w:val="21"/>
                    </w:rPr>
                    <w:t>cm/s；或参照GB18598执行</w:t>
                  </w:r>
                </w:p>
              </w:tc>
              <w:tc>
                <w:tcPr>
                  <w:tcW w:w="1478" w:type="pct"/>
                  <w:vMerge w:val="restart"/>
                  <w:noWrap w:val="0"/>
                  <w:tcMar>
                    <w:top w:w="0" w:type="dxa"/>
                    <w:left w:w="0" w:type="dxa"/>
                    <w:bottom w:w="0" w:type="dxa"/>
                    <w:right w:w="0" w:type="dxa"/>
                  </w:tcMar>
                  <w:vAlign w:val="center"/>
                </w:tcPr>
                <w:p w14:paraId="5E27643D">
                  <w:pPr>
                    <w:adjustRightInd w:val="0"/>
                    <w:snapToGrid w:val="0"/>
                    <w:jc w:val="center"/>
                    <w:textAlignment w:val="baseline"/>
                    <w:rPr>
                      <w:color w:val="auto"/>
                      <w:kern w:val="0"/>
                      <w:szCs w:val="21"/>
                    </w:rPr>
                  </w:pPr>
                  <w:r>
                    <w:rPr>
                      <w:color w:val="auto"/>
                      <w:kern w:val="0"/>
                      <w:szCs w:val="21"/>
                    </w:rPr>
                    <w:t>地面应铺设抗渗混凝土及耐腐蚀硬化材料，至少采用2mm厚的耐腐蚀环氧树脂硬化地面，且地面无裂缝</w:t>
                  </w:r>
                </w:p>
              </w:tc>
            </w:tr>
            <w:tr w14:paraId="117A2E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5" w:type="pct"/>
                  <w:noWrap w:val="0"/>
                  <w:tcMar>
                    <w:top w:w="0" w:type="dxa"/>
                    <w:left w:w="0" w:type="dxa"/>
                    <w:bottom w:w="0" w:type="dxa"/>
                    <w:right w:w="0" w:type="dxa"/>
                  </w:tcMar>
                  <w:vAlign w:val="center"/>
                </w:tcPr>
                <w:p w14:paraId="72EACE37">
                  <w:pPr>
                    <w:adjustRightInd w:val="0"/>
                    <w:snapToGrid w:val="0"/>
                    <w:jc w:val="center"/>
                    <w:textAlignment w:val="baseline"/>
                    <w:rPr>
                      <w:color w:val="auto"/>
                      <w:kern w:val="0"/>
                      <w:szCs w:val="21"/>
                    </w:rPr>
                  </w:pPr>
                  <w:r>
                    <w:rPr>
                      <w:rFonts w:hint="eastAsia"/>
                      <w:color w:val="auto"/>
                      <w:kern w:val="0"/>
                      <w:szCs w:val="21"/>
                    </w:rPr>
                    <w:t>危废</w:t>
                  </w:r>
                  <w:r>
                    <w:rPr>
                      <w:color w:val="auto"/>
                      <w:kern w:val="0"/>
                      <w:szCs w:val="21"/>
                    </w:rPr>
                    <w:t>仓库</w:t>
                  </w:r>
                </w:p>
              </w:tc>
              <w:tc>
                <w:tcPr>
                  <w:tcW w:w="685" w:type="pct"/>
                  <w:noWrap w:val="0"/>
                  <w:tcMar>
                    <w:top w:w="0" w:type="dxa"/>
                    <w:left w:w="0" w:type="dxa"/>
                    <w:bottom w:w="0" w:type="dxa"/>
                    <w:right w:w="0" w:type="dxa"/>
                  </w:tcMar>
                  <w:vAlign w:val="center"/>
                </w:tcPr>
                <w:p w14:paraId="43B3172C">
                  <w:pPr>
                    <w:adjustRightInd w:val="0"/>
                    <w:snapToGrid w:val="0"/>
                    <w:jc w:val="center"/>
                    <w:textAlignment w:val="baseline"/>
                    <w:rPr>
                      <w:rFonts w:hint="default" w:eastAsia="宋体"/>
                      <w:color w:val="auto"/>
                      <w:kern w:val="0"/>
                      <w:szCs w:val="21"/>
                      <w:lang w:val="en-US" w:eastAsia="zh-CN"/>
                    </w:rPr>
                  </w:pPr>
                  <w:r>
                    <w:rPr>
                      <w:rFonts w:hint="eastAsia"/>
                      <w:color w:val="auto"/>
                      <w:szCs w:val="21"/>
                      <w:lang w:val="en-US" w:eastAsia="zh-CN"/>
                    </w:rPr>
                    <w:t>喷淋塔废液、废包装桶等</w:t>
                  </w:r>
                </w:p>
              </w:tc>
              <w:tc>
                <w:tcPr>
                  <w:tcW w:w="705" w:type="pct"/>
                  <w:noWrap w:val="0"/>
                  <w:tcMar>
                    <w:top w:w="0" w:type="dxa"/>
                    <w:left w:w="0" w:type="dxa"/>
                    <w:bottom w:w="0" w:type="dxa"/>
                    <w:right w:w="0" w:type="dxa"/>
                  </w:tcMar>
                  <w:vAlign w:val="center"/>
                </w:tcPr>
                <w:p w14:paraId="18E1417D">
                  <w:pPr>
                    <w:adjustRightInd w:val="0"/>
                    <w:snapToGrid w:val="0"/>
                    <w:jc w:val="center"/>
                    <w:textAlignment w:val="baseline"/>
                    <w:rPr>
                      <w:color w:val="auto"/>
                      <w:kern w:val="0"/>
                      <w:szCs w:val="21"/>
                    </w:rPr>
                  </w:pPr>
                  <w:r>
                    <w:rPr>
                      <w:color w:val="auto"/>
                      <w:kern w:val="0"/>
                      <w:szCs w:val="21"/>
                    </w:rPr>
                    <w:t>其他污染物</w:t>
                  </w:r>
                </w:p>
              </w:tc>
              <w:tc>
                <w:tcPr>
                  <w:tcW w:w="1364" w:type="pct"/>
                  <w:vMerge w:val="continue"/>
                  <w:noWrap w:val="0"/>
                  <w:tcMar>
                    <w:top w:w="0" w:type="dxa"/>
                    <w:left w:w="0" w:type="dxa"/>
                    <w:bottom w:w="0" w:type="dxa"/>
                    <w:right w:w="0" w:type="dxa"/>
                  </w:tcMar>
                  <w:vAlign w:val="center"/>
                </w:tcPr>
                <w:p w14:paraId="3186AE78">
                  <w:pPr>
                    <w:adjustRightInd w:val="0"/>
                    <w:snapToGrid w:val="0"/>
                    <w:jc w:val="center"/>
                    <w:textAlignment w:val="baseline"/>
                    <w:rPr>
                      <w:color w:val="auto"/>
                      <w:kern w:val="0"/>
                      <w:szCs w:val="21"/>
                    </w:rPr>
                  </w:pPr>
                </w:p>
              </w:tc>
              <w:tc>
                <w:tcPr>
                  <w:tcW w:w="1478" w:type="pct"/>
                  <w:vMerge w:val="continue"/>
                  <w:noWrap w:val="0"/>
                  <w:tcMar>
                    <w:top w:w="0" w:type="dxa"/>
                    <w:left w:w="0" w:type="dxa"/>
                    <w:bottom w:w="0" w:type="dxa"/>
                    <w:right w:w="0" w:type="dxa"/>
                  </w:tcMar>
                  <w:vAlign w:val="center"/>
                </w:tcPr>
                <w:p w14:paraId="4216E5E6">
                  <w:pPr>
                    <w:adjustRightInd w:val="0"/>
                    <w:snapToGrid w:val="0"/>
                    <w:jc w:val="center"/>
                    <w:textAlignment w:val="baseline"/>
                    <w:rPr>
                      <w:color w:val="auto"/>
                      <w:kern w:val="0"/>
                      <w:szCs w:val="21"/>
                    </w:rPr>
                  </w:pPr>
                </w:p>
              </w:tc>
            </w:tr>
          </w:tbl>
          <w:p w14:paraId="5AA69696">
            <w:pPr>
              <w:pStyle w:val="11"/>
              <w:adjustRightInd/>
              <w:snapToGrid/>
              <w:spacing w:before="120" w:beforeLines="50" w:line="360" w:lineRule="auto"/>
              <w:ind w:left="0" w:leftChars="0" w:right="0" w:rightChars="0" w:firstLine="422"/>
              <w:jc w:val="left"/>
              <w:rPr>
                <w:b/>
                <w:color w:val="auto"/>
                <w:sz w:val="21"/>
                <w:szCs w:val="21"/>
              </w:rPr>
            </w:pPr>
            <w:r>
              <w:rPr>
                <w:rFonts w:hint="eastAsia"/>
                <w:b/>
                <w:color w:val="auto"/>
                <w:sz w:val="21"/>
                <w:szCs w:val="21"/>
              </w:rPr>
              <w:t>六</w:t>
            </w:r>
            <w:r>
              <w:rPr>
                <w:b/>
                <w:color w:val="auto"/>
                <w:sz w:val="21"/>
                <w:szCs w:val="21"/>
              </w:rPr>
              <w:t>、环境风险评价</w:t>
            </w:r>
          </w:p>
          <w:p w14:paraId="122259F3">
            <w:pPr>
              <w:pStyle w:val="10"/>
              <w:spacing w:before="0" w:line="360" w:lineRule="auto"/>
              <w:ind w:firstLine="422" w:firstLineChars="200"/>
              <w:rPr>
                <w:b/>
                <w:color w:val="auto"/>
                <w:sz w:val="21"/>
                <w:szCs w:val="21"/>
              </w:rPr>
            </w:pPr>
            <w:r>
              <w:rPr>
                <w:b/>
                <w:color w:val="auto"/>
                <w:sz w:val="21"/>
                <w:szCs w:val="21"/>
              </w:rPr>
              <w:t>1、风险源调查及识别</w:t>
            </w:r>
          </w:p>
          <w:p w14:paraId="6F6A7870">
            <w:pPr>
              <w:pStyle w:val="10"/>
              <w:spacing w:before="0" w:line="360" w:lineRule="auto"/>
              <w:ind w:firstLine="422" w:firstLineChars="200"/>
              <w:rPr>
                <w:color w:val="auto"/>
                <w:sz w:val="21"/>
                <w:szCs w:val="21"/>
              </w:rPr>
            </w:pPr>
            <w:r>
              <w:rPr>
                <w:rFonts w:hint="eastAsia"/>
                <w:b/>
                <w:color w:val="auto"/>
                <w:sz w:val="21"/>
                <w:szCs w:val="21"/>
              </w:rPr>
              <w:t>（1）风险物质</w:t>
            </w:r>
          </w:p>
          <w:p w14:paraId="213C157C">
            <w:pPr>
              <w:pStyle w:val="10"/>
              <w:spacing w:before="0" w:line="360" w:lineRule="auto"/>
              <w:ind w:firstLine="420" w:firstLineChars="200"/>
              <w:rPr>
                <w:color w:val="auto"/>
                <w:sz w:val="21"/>
                <w:szCs w:val="21"/>
              </w:rPr>
            </w:pPr>
            <w:r>
              <w:rPr>
                <w:color w:val="auto"/>
                <w:sz w:val="21"/>
                <w:szCs w:val="21"/>
              </w:rPr>
              <w:t>根据《建设项目环境风险评价技术导则》（HJ/T169-2018）附录B,全厂涉及的</w:t>
            </w:r>
            <w:r>
              <w:rPr>
                <w:rFonts w:hint="eastAsia"/>
                <w:color w:val="auto"/>
                <w:sz w:val="21"/>
                <w:szCs w:val="21"/>
              </w:rPr>
              <w:t>风险物质</w:t>
            </w:r>
            <w:r>
              <w:rPr>
                <w:color w:val="auto"/>
                <w:sz w:val="21"/>
                <w:szCs w:val="21"/>
              </w:rPr>
              <w:t>数量及分布情况见下表。</w:t>
            </w:r>
          </w:p>
          <w:p w14:paraId="2E0C11B0">
            <w:pPr>
              <w:keepNext w:val="0"/>
              <w:keepLines w:val="0"/>
              <w:pageBreakBefore w:val="0"/>
              <w:widowControl w:val="0"/>
              <w:kinsoku/>
              <w:wordWrap/>
              <w:overflowPunct/>
              <w:topLinePunct w:val="0"/>
              <w:autoSpaceDE/>
              <w:autoSpaceDN/>
              <w:bidi w:val="0"/>
              <w:adjustRightInd w:val="0"/>
              <w:snapToGrid w:val="0"/>
              <w:jc w:val="center"/>
              <w:textAlignment w:val="auto"/>
              <w:rPr>
                <w:color w:val="auto"/>
                <w:szCs w:val="21"/>
                <w:lang w:val="zh-CN"/>
              </w:rPr>
            </w:pPr>
            <w:r>
              <w:rPr>
                <w:b/>
                <w:bCs/>
                <w:color w:val="auto"/>
                <w:szCs w:val="21"/>
              </w:rPr>
              <w:t>表4-</w:t>
            </w:r>
            <w:r>
              <w:rPr>
                <w:rFonts w:hint="eastAsia"/>
                <w:b/>
                <w:bCs/>
                <w:color w:val="auto"/>
                <w:szCs w:val="21"/>
                <w:lang w:val="en-US" w:eastAsia="zh-CN"/>
              </w:rPr>
              <w:t>29</w:t>
            </w:r>
            <w:r>
              <w:rPr>
                <w:rFonts w:hint="eastAsia"/>
                <w:b/>
                <w:bCs/>
                <w:color w:val="auto"/>
                <w:szCs w:val="21"/>
              </w:rPr>
              <w:t xml:space="preserve"> </w:t>
            </w:r>
            <w:r>
              <w:rPr>
                <w:rFonts w:hint="eastAsia"/>
                <w:b/>
                <w:bCs/>
                <w:color w:val="auto"/>
                <w:szCs w:val="21"/>
                <w:lang w:val="en-US" w:eastAsia="zh-CN"/>
              </w:rPr>
              <w:t>全厂</w:t>
            </w:r>
            <w:r>
              <w:rPr>
                <w:b/>
                <w:bCs/>
                <w:color w:val="auto"/>
                <w:szCs w:val="21"/>
              </w:rPr>
              <w:t>涉及的危险物质数量及分布情况表</w:t>
            </w:r>
          </w:p>
          <w:tbl>
            <w:tblPr>
              <w:tblStyle w:val="28"/>
              <w:tblW w:w="5041"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356"/>
              <w:gridCol w:w="2243"/>
              <w:gridCol w:w="2358"/>
              <w:gridCol w:w="2493"/>
            </w:tblGrid>
            <w:tr w14:paraId="3892AE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802" w:type="pct"/>
                  <w:noWrap w:val="0"/>
                  <w:vAlign w:val="center"/>
                </w:tcPr>
                <w:p w14:paraId="5D9B81E4">
                  <w:pPr>
                    <w:jc w:val="center"/>
                    <w:rPr>
                      <w:b/>
                      <w:bCs/>
                      <w:color w:val="auto"/>
                      <w:kern w:val="0"/>
                      <w:szCs w:val="21"/>
                    </w:rPr>
                  </w:pPr>
                  <w:r>
                    <w:rPr>
                      <w:b/>
                      <w:bCs/>
                      <w:color w:val="auto"/>
                      <w:kern w:val="0"/>
                      <w:szCs w:val="21"/>
                    </w:rPr>
                    <w:t>序号</w:t>
                  </w:r>
                </w:p>
              </w:tc>
              <w:tc>
                <w:tcPr>
                  <w:tcW w:w="1327" w:type="pct"/>
                  <w:noWrap w:val="0"/>
                  <w:vAlign w:val="center"/>
                </w:tcPr>
                <w:p w14:paraId="15CD3840">
                  <w:pPr>
                    <w:jc w:val="center"/>
                    <w:rPr>
                      <w:b/>
                      <w:bCs/>
                      <w:color w:val="auto"/>
                      <w:szCs w:val="21"/>
                    </w:rPr>
                  </w:pPr>
                  <w:r>
                    <w:rPr>
                      <w:b/>
                      <w:bCs/>
                      <w:color w:val="auto"/>
                      <w:kern w:val="0"/>
                      <w:szCs w:val="21"/>
                    </w:rPr>
                    <w:t>原料名称</w:t>
                  </w:r>
                </w:p>
              </w:tc>
              <w:tc>
                <w:tcPr>
                  <w:tcW w:w="1395" w:type="pct"/>
                  <w:noWrap w:val="0"/>
                  <w:vAlign w:val="center"/>
                </w:tcPr>
                <w:p w14:paraId="33E04648">
                  <w:pPr>
                    <w:jc w:val="center"/>
                    <w:rPr>
                      <w:b/>
                      <w:bCs/>
                      <w:color w:val="auto"/>
                      <w:szCs w:val="21"/>
                      <w:lang w:val="en-GB"/>
                    </w:rPr>
                  </w:pPr>
                  <w:r>
                    <w:rPr>
                      <w:b/>
                      <w:bCs/>
                      <w:color w:val="auto"/>
                      <w:szCs w:val="21"/>
                      <w:lang w:val="en-GB"/>
                    </w:rPr>
                    <w:t>最大储存量（t）</w:t>
                  </w:r>
                </w:p>
              </w:tc>
              <w:tc>
                <w:tcPr>
                  <w:tcW w:w="1475" w:type="pct"/>
                  <w:noWrap w:val="0"/>
                  <w:vAlign w:val="center"/>
                </w:tcPr>
                <w:p w14:paraId="432C2EC4">
                  <w:pPr>
                    <w:jc w:val="center"/>
                    <w:rPr>
                      <w:b/>
                      <w:bCs/>
                      <w:color w:val="auto"/>
                      <w:szCs w:val="21"/>
                      <w:lang w:val="en-GB"/>
                    </w:rPr>
                  </w:pPr>
                  <w:r>
                    <w:rPr>
                      <w:b/>
                      <w:bCs/>
                      <w:color w:val="auto"/>
                      <w:szCs w:val="21"/>
                      <w:lang w:val="en-GB"/>
                    </w:rPr>
                    <w:t>存储位置</w:t>
                  </w:r>
                </w:p>
              </w:tc>
            </w:tr>
            <w:tr w14:paraId="106242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802" w:type="pct"/>
                  <w:noWrap w:val="0"/>
                  <w:vAlign w:val="center"/>
                </w:tcPr>
                <w:p w14:paraId="7C9E3B21">
                  <w:pPr>
                    <w:jc w:val="center"/>
                    <w:rPr>
                      <w:color w:val="auto"/>
                      <w:szCs w:val="21"/>
                    </w:rPr>
                  </w:pPr>
                  <w:r>
                    <w:rPr>
                      <w:color w:val="auto"/>
                      <w:szCs w:val="21"/>
                    </w:rPr>
                    <w:t>1</w:t>
                  </w:r>
                </w:p>
              </w:tc>
              <w:tc>
                <w:tcPr>
                  <w:tcW w:w="1327" w:type="pct"/>
                  <w:noWrap w:val="0"/>
                  <w:vAlign w:val="center"/>
                </w:tcPr>
                <w:p w14:paraId="316832F8">
                  <w:pPr>
                    <w:jc w:val="center"/>
                    <w:rPr>
                      <w:rFonts w:hint="default" w:ascii="Times New Roman" w:hAnsi="Times New Roman" w:eastAsia="宋体" w:cs="Times New Roman"/>
                      <w:color w:val="auto"/>
                      <w:kern w:val="0"/>
                      <w:sz w:val="21"/>
                      <w:szCs w:val="21"/>
                      <w:lang w:val="en-US" w:eastAsia="zh-CN" w:bidi="ar-SA"/>
                    </w:rPr>
                  </w:pPr>
                  <w:r>
                    <w:rPr>
                      <w:rFonts w:hint="eastAsia" w:cs="Times New Roman"/>
                      <w:color w:val="auto"/>
                      <w:kern w:val="0"/>
                      <w:sz w:val="21"/>
                      <w:szCs w:val="21"/>
                      <w:lang w:val="en-US" w:eastAsia="zh-CN" w:bidi="ar-SA"/>
                    </w:rPr>
                    <w:t>环保增塑剂</w:t>
                  </w:r>
                </w:p>
              </w:tc>
              <w:tc>
                <w:tcPr>
                  <w:tcW w:w="1395" w:type="pct"/>
                  <w:noWrap w:val="0"/>
                  <w:vAlign w:val="center"/>
                </w:tcPr>
                <w:p w14:paraId="7BD32BCF">
                  <w:pPr>
                    <w:adjustRightInd w:val="0"/>
                    <w:snapToGrid w:val="0"/>
                    <w:jc w:val="center"/>
                    <w:rPr>
                      <w:rFonts w:hint="default" w:eastAsia="宋体"/>
                      <w:color w:val="auto"/>
                      <w:kern w:val="2"/>
                      <w:sz w:val="21"/>
                      <w:szCs w:val="21"/>
                      <w:lang w:val="en-US" w:eastAsia="zh-CN" w:bidi="ar-SA"/>
                    </w:rPr>
                  </w:pPr>
                  <w:r>
                    <w:rPr>
                      <w:rFonts w:hint="eastAsia"/>
                      <w:color w:val="auto"/>
                      <w:szCs w:val="21"/>
                      <w:lang w:val="en-US" w:eastAsia="zh-CN"/>
                    </w:rPr>
                    <w:t>10</w:t>
                  </w:r>
                </w:p>
              </w:tc>
              <w:tc>
                <w:tcPr>
                  <w:tcW w:w="1475" w:type="pct"/>
                  <w:noWrap w:val="0"/>
                  <w:vAlign w:val="center"/>
                </w:tcPr>
                <w:p w14:paraId="58826A9F">
                  <w:pPr>
                    <w:jc w:val="center"/>
                    <w:rPr>
                      <w:rFonts w:hint="default"/>
                      <w:b/>
                      <w:bCs/>
                      <w:color w:val="auto"/>
                      <w:szCs w:val="21"/>
                      <w:lang w:val="en-US"/>
                    </w:rPr>
                  </w:pPr>
                  <w:r>
                    <w:rPr>
                      <w:rFonts w:hint="eastAsia"/>
                      <w:color w:val="auto"/>
                      <w:szCs w:val="21"/>
                      <w:lang w:val="en-US" w:eastAsia="zh-CN"/>
                    </w:rPr>
                    <w:t>原料仓库</w:t>
                  </w:r>
                </w:p>
              </w:tc>
            </w:tr>
            <w:tr w14:paraId="4F9758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802" w:type="pct"/>
                  <w:shd w:val="clear" w:color="auto" w:fill="auto"/>
                  <w:noWrap w:val="0"/>
                  <w:vAlign w:val="center"/>
                </w:tcPr>
                <w:p w14:paraId="7661ED8B">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2</w:t>
                  </w:r>
                </w:p>
              </w:tc>
              <w:tc>
                <w:tcPr>
                  <w:tcW w:w="1327" w:type="pct"/>
                  <w:noWrap w:val="0"/>
                  <w:vAlign w:val="center"/>
                </w:tcPr>
                <w:p w14:paraId="4B4A1716">
                  <w:pPr>
                    <w:jc w:val="center"/>
                    <w:rPr>
                      <w:rFonts w:hint="eastAsia" w:ascii="Times New Roman" w:hAnsi="Times New Roman" w:eastAsia="宋体" w:cs="Times New Roman"/>
                      <w:color w:val="auto"/>
                      <w:kern w:val="0"/>
                      <w:szCs w:val="21"/>
                      <w:lang w:val="en-US" w:eastAsia="zh-CN"/>
                    </w:rPr>
                  </w:pPr>
                  <w:r>
                    <w:rPr>
                      <w:rFonts w:ascii="Times New Roman" w:hAnsi="Times New Roman"/>
                      <w:color w:val="auto"/>
                      <w:szCs w:val="21"/>
                    </w:rPr>
                    <w:t>抗氧剂</w:t>
                  </w:r>
                </w:p>
              </w:tc>
              <w:tc>
                <w:tcPr>
                  <w:tcW w:w="1395" w:type="pct"/>
                  <w:noWrap w:val="0"/>
                  <w:vAlign w:val="center"/>
                </w:tcPr>
                <w:p w14:paraId="123DF09D">
                  <w:pPr>
                    <w:adjustRightInd w:val="0"/>
                    <w:snapToGrid w:val="0"/>
                    <w:jc w:val="center"/>
                    <w:rPr>
                      <w:rFonts w:hint="default"/>
                      <w:color w:val="auto"/>
                      <w:szCs w:val="21"/>
                      <w:lang w:val="en-US" w:eastAsia="zh-CN"/>
                    </w:rPr>
                  </w:pPr>
                  <w:r>
                    <w:rPr>
                      <w:rFonts w:hint="eastAsia"/>
                      <w:color w:val="auto"/>
                      <w:szCs w:val="21"/>
                      <w:lang w:val="en-US" w:eastAsia="zh-CN"/>
                    </w:rPr>
                    <w:t>0.1</w:t>
                  </w:r>
                </w:p>
              </w:tc>
              <w:tc>
                <w:tcPr>
                  <w:tcW w:w="1475" w:type="pct"/>
                  <w:noWrap w:val="0"/>
                  <w:vAlign w:val="center"/>
                </w:tcPr>
                <w:p w14:paraId="2AB88668">
                  <w:pPr>
                    <w:jc w:val="center"/>
                    <w:rPr>
                      <w:rFonts w:hint="eastAsia"/>
                      <w:color w:val="auto"/>
                      <w:szCs w:val="21"/>
                      <w:lang w:val="en-US" w:eastAsia="zh-CN"/>
                    </w:rPr>
                  </w:pPr>
                  <w:r>
                    <w:rPr>
                      <w:rFonts w:hint="eastAsia"/>
                      <w:color w:val="auto"/>
                      <w:szCs w:val="21"/>
                      <w:lang w:val="en-US" w:eastAsia="zh-CN"/>
                    </w:rPr>
                    <w:t>原料仓库</w:t>
                  </w:r>
                </w:p>
              </w:tc>
            </w:tr>
            <w:tr w14:paraId="15FF36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802" w:type="pct"/>
                  <w:shd w:val="clear" w:color="auto" w:fill="auto"/>
                  <w:noWrap w:val="0"/>
                  <w:vAlign w:val="center"/>
                </w:tcPr>
                <w:p w14:paraId="4E1F1DF5">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3</w:t>
                  </w:r>
                </w:p>
              </w:tc>
              <w:tc>
                <w:tcPr>
                  <w:tcW w:w="1327" w:type="pct"/>
                  <w:noWrap w:val="0"/>
                  <w:vAlign w:val="center"/>
                </w:tcPr>
                <w:p w14:paraId="0541C462">
                  <w:pPr>
                    <w:jc w:val="center"/>
                    <w:rPr>
                      <w:rFonts w:hint="eastAsia" w:ascii="Times New Roman" w:hAnsi="Times New Roman" w:eastAsia="宋体"/>
                      <w:color w:val="auto"/>
                      <w:szCs w:val="21"/>
                      <w:lang w:val="en-US" w:eastAsia="zh-CN"/>
                    </w:rPr>
                  </w:pPr>
                  <w:r>
                    <w:rPr>
                      <w:rFonts w:hint="eastAsia" w:ascii="Times New Roman" w:hAnsi="Times New Roman"/>
                      <w:color w:val="auto"/>
                      <w:szCs w:val="21"/>
                      <w:lang w:val="en-US" w:eastAsia="zh-CN"/>
                    </w:rPr>
                    <w:t>润滑油</w:t>
                  </w:r>
                </w:p>
              </w:tc>
              <w:tc>
                <w:tcPr>
                  <w:tcW w:w="1395" w:type="pct"/>
                  <w:noWrap w:val="0"/>
                  <w:vAlign w:val="center"/>
                </w:tcPr>
                <w:p w14:paraId="70C31B97">
                  <w:pPr>
                    <w:adjustRightInd w:val="0"/>
                    <w:snapToGrid w:val="0"/>
                    <w:jc w:val="center"/>
                    <w:rPr>
                      <w:rFonts w:hint="default"/>
                      <w:color w:val="auto"/>
                      <w:szCs w:val="21"/>
                      <w:lang w:val="en-US" w:eastAsia="zh-CN"/>
                    </w:rPr>
                  </w:pPr>
                  <w:r>
                    <w:rPr>
                      <w:rFonts w:hint="eastAsia"/>
                      <w:color w:val="auto"/>
                      <w:szCs w:val="21"/>
                      <w:lang w:val="en-US" w:eastAsia="zh-CN"/>
                    </w:rPr>
                    <w:t>0.025</w:t>
                  </w:r>
                </w:p>
              </w:tc>
              <w:tc>
                <w:tcPr>
                  <w:tcW w:w="1475" w:type="pct"/>
                  <w:noWrap w:val="0"/>
                  <w:vAlign w:val="center"/>
                </w:tcPr>
                <w:p w14:paraId="152FCC8C">
                  <w:pPr>
                    <w:jc w:val="center"/>
                    <w:rPr>
                      <w:rFonts w:hint="eastAsia"/>
                      <w:color w:val="auto"/>
                      <w:szCs w:val="21"/>
                      <w:lang w:val="en-US" w:eastAsia="zh-CN"/>
                    </w:rPr>
                  </w:pPr>
                  <w:r>
                    <w:rPr>
                      <w:rFonts w:hint="eastAsia"/>
                      <w:color w:val="auto"/>
                      <w:szCs w:val="21"/>
                      <w:lang w:val="en-US" w:eastAsia="zh-CN"/>
                    </w:rPr>
                    <w:t>原料仓库</w:t>
                  </w:r>
                </w:p>
              </w:tc>
            </w:tr>
            <w:tr w14:paraId="5BCA96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802" w:type="pct"/>
                  <w:shd w:val="clear" w:color="auto" w:fill="auto"/>
                  <w:noWrap w:val="0"/>
                  <w:vAlign w:val="center"/>
                </w:tcPr>
                <w:p w14:paraId="12EC17AB">
                  <w:pPr>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4</w:t>
                  </w:r>
                </w:p>
              </w:tc>
              <w:tc>
                <w:tcPr>
                  <w:tcW w:w="1327" w:type="pct"/>
                  <w:noWrap w:val="0"/>
                  <w:vAlign w:val="center"/>
                </w:tcPr>
                <w:p w14:paraId="30230753">
                  <w:pPr>
                    <w:keepNext w:val="0"/>
                    <w:keepLines w:val="0"/>
                    <w:widowControl/>
                    <w:suppressLineNumbers w:val="0"/>
                    <w:jc w:val="center"/>
                    <w:textAlignment w:val="center"/>
                    <w:rPr>
                      <w:rFonts w:hint="default"/>
                      <w:color w:val="auto"/>
                      <w:szCs w:val="21"/>
                      <w:lang w:val="en-US" w:eastAsia="zh-CN"/>
                    </w:rPr>
                  </w:pPr>
                  <w:r>
                    <w:rPr>
                      <w:rFonts w:hint="eastAsia" w:ascii="宋体" w:hAnsi="宋体" w:eastAsia="宋体" w:cs="宋体"/>
                      <w:i w:val="0"/>
                      <w:iCs w:val="0"/>
                      <w:color w:val="auto"/>
                      <w:kern w:val="0"/>
                      <w:sz w:val="21"/>
                      <w:szCs w:val="21"/>
                      <w:u w:val="none"/>
                      <w:lang w:val="en-US" w:eastAsia="zh-CN" w:bidi="ar"/>
                    </w:rPr>
                    <w:t>喷淋塔废液</w:t>
                  </w:r>
                </w:p>
              </w:tc>
              <w:tc>
                <w:tcPr>
                  <w:tcW w:w="1395" w:type="pct"/>
                  <w:noWrap w:val="0"/>
                  <w:vAlign w:val="center"/>
                </w:tcPr>
                <w:p w14:paraId="4C0FAF17">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0.5</w:t>
                  </w:r>
                </w:p>
              </w:tc>
              <w:tc>
                <w:tcPr>
                  <w:tcW w:w="1475" w:type="pct"/>
                  <w:noWrap w:val="0"/>
                  <w:vAlign w:val="center"/>
                </w:tcPr>
                <w:p w14:paraId="4A1B6B39">
                  <w:pPr>
                    <w:jc w:val="center"/>
                    <w:rPr>
                      <w:color w:val="auto"/>
                      <w:kern w:val="2"/>
                      <w:sz w:val="21"/>
                      <w:szCs w:val="21"/>
                      <w:lang w:val="en-US" w:eastAsia="zh-CN" w:bidi="ar-SA"/>
                    </w:rPr>
                  </w:pPr>
                  <w:r>
                    <w:rPr>
                      <w:color w:val="auto"/>
                      <w:szCs w:val="21"/>
                    </w:rPr>
                    <w:t>危废仓库</w:t>
                  </w:r>
                </w:p>
              </w:tc>
            </w:tr>
            <w:tr w14:paraId="5C7B04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802" w:type="pct"/>
                  <w:shd w:val="clear" w:color="auto" w:fill="auto"/>
                  <w:noWrap w:val="0"/>
                  <w:vAlign w:val="center"/>
                </w:tcPr>
                <w:p w14:paraId="28EED4D2">
                  <w:pPr>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5</w:t>
                  </w:r>
                </w:p>
              </w:tc>
              <w:tc>
                <w:tcPr>
                  <w:tcW w:w="1327" w:type="pct"/>
                  <w:noWrap w:val="0"/>
                  <w:vAlign w:val="center"/>
                </w:tcPr>
                <w:p w14:paraId="45AA50B5">
                  <w:pPr>
                    <w:keepNext w:val="0"/>
                    <w:keepLines w:val="0"/>
                    <w:widowControl/>
                    <w:suppressLineNumbers w:val="0"/>
                    <w:jc w:val="center"/>
                    <w:textAlignment w:val="center"/>
                    <w:rPr>
                      <w:rFonts w:hint="default"/>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废润滑油</w:t>
                  </w:r>
                </w:p>
              </w:tc>
              <w:tc>
                <w:tcPr>
                  <w:tcW w:w="1395" w:type="pct"/>
                  <w:noWrap w:val="0"/>
                  <w:vAlign w:val="center"/>
                </w:tcPr>
                <w:p w14:paraId="460430BA">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0.2</w:t>
                  </w:r>
                </w:p>
              </w:tc>
              <w:tc>
                <w:tcPr>
                  <w:tcW w:w="1475" w:type="pct"/>
                  <w:noWrap w:val="0"/>
                  <w:vAlign w:val="center"/>
                </w:tcPr>
                <w:p w14:paraId="39D7B804">
                  <w:pPr>
                    <w:jc w:val="center"/>
                    <w:rPr>
                      <w:color w:val="auto"/>
                      <w:szCs w:val="21"/>
                    </w:rPr>
                  </w:pPr>
                  <w:r>
                    <w:rPr>
                      <w:color w:val="auto"/>
                      <w:szCs w:val="21"/>
                    </w:rPr>
                    <w:t>危废仓库</w:t>
                  </w:r>
                </w:p>
              </w:tc>
            </w:tr>
            <w:tr w14:paraId="4CD005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802" w:type="pct"/>
                  <w:noWrap w:val="0"/>
                  <w:vAlign w:val="center"/>
                </w:tcPr>
                <w:p w14:paraId="68120940">
                  <w:pPr>
                    <w:jc w:val="center"/>
                    <w:rPr>
                      <w:rFonts w:hint="default"/>
                      <w:color w:val="auto"/>
                      <w:szCs w:val="21"/>
                      <w:lang w:val="en-US" w:eastAsia="zh-CN"/>
                    </w:rPr>
                  </w:pPr>
                  <w:r>
                    <w:rPr>
                      <w:rFonts w:hint="eastAsia"/>
                      <w:color w:val="auto"/>
                      <w:szCs w:val="21"/>
                      <w:lang w:val="en-US" w:eastAsia="zh-CN"/>
                    </w:rPr>
                    <w:t>6</w:t>
                  </w:r>
                </w:p>
              </w:tc>
              <w:tc>
                <w:tcPr>
                  <w:tcW w:w="1327" w:type="pct"/>
                  <w:noWrap w:val="0"/>
                  <w:vAlign w:val="center"/>
                </w:tcPr>
                <w:p w14:paraId="53829AD1">
                  <w:pPr>
                    <w:keepNext w:val="0"/>
                    <w:keepLines w:val="0"/>
                    <w:widowControl/>
                    <w:suppressLineNumbers w:val="0"/>
                    <w:jc w:val="center"/>
                    <w:textAlignment w:val="center"/>
                    <w:rPr>
                      <w:rFonts w:hint="default"/>
                      <w:color w:val="auto"/>
                      <w:szCs w:val="21"/>
                      <w:lang w:val="en-US" w:eastAsia="zh-CN"/>
                    </w:rPr>
                  </w:pPr>
                  <w:r>
                    <w:rPr>
                      <w:rFonts w:hint="eastAsia" w:ascii="宋体" w:hAnsi="宋体" w:eastAsia="宋体" w:cs="宋体"/>
                      <w:i w:val="0"/>
                      <w:iCs w:val="0"/>
                      <w:color w:val="auto"/>
                      <w:kern w:val="0"/>
                      <w:sz w:val="21"/>
                      <w:szCs w:val="21"/>
                      <w:u w:val="none"/>
                      <w:lang w:val="en-US" w:eastAsia="zh-CN" w:bidi="ar"/>
                    </w:rPr>
                    <w:t>废油桶</w:t>
                  </w:r>
                </w:p>
              </w:tc>
              <w:tc>
                <w:tcPr>
                  <w:tcW w:w="1395" w:type="pct"/>
                  <w:noWrap w:val="0"/>
                  <w:vAlign w:val="center"/>
                </w:tcPr>
                <w:p w14:paraId="01567A33">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5.88</w:t>
                  </w:r>
                </w:p>
              </w:tc>
              <w:tc>
                <w:tcPr>
                  <w:tcW w:w="1475" w:type="pct"/>
                  <w:noWrap w:val="0"/>
                  <w:vAlign w:val="center"/>
                </w:tcPr>
                <w:p w14:paraId="12626E2C">
                  <w:pPr>
                    <w:jc w:val="center"/>
                    <w:rPr>
                      <w:color w:val="auto"/>
                      <w:szCs w:val="21"/>
                    </w:rPr>
                  </w:pPr>
                  <w:r>
                    <w:rPr>
                      <w:color w:val="auto"/>
                      <w:szCs w:val="21"/>
                    </w:rPr>
                    <w:t>危废仓库</w:t>
                  </w:r>
                </w:p>
              </w:tc>
            </w:tr>
            <w:tr w14:paraId="6C4E0B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802" w:type="pct"/>
                  <w:noWrap w:val="0"/>
                  <w:vAlign w:val="center"/>
                </w:tcPr>
                <w:p w14:paraId="66B03622">
                  <w:pPr>
                    <w:jc w:val="center"/>
                    <w:rPr>
                      <w:rFonts w:hint="default"/>
                      <w:color w:val="auto"/>
                      <w:szCs w:val="21"/>
                      <w:lang w:val="en-US" w:eastAsia="zh-CN"/>
                    </w:rPr>
                  </w:pPr>
                  <w:r>
                    <w:rPr>
                      <w:rFonts w:hint="eastAsia"/>
                      <w:color w:val="auto"/>
                      <w:szCs w:val="21"/>
                      <w:lang w:val="en-US" w:eastAsia="zh-CN"/>
                    </w:rPr>
                    <w:t>7</w:t>
                  </w:r>
                </w:p>
              </w:tc>
              <w:tc>
                <w:tcPr>
                  <w:tcW w:w="1327" w:type="pct"/>
                  <w:noWrap w:val="0"/>
                  <w:vAlign w:val="center"/>
                </w:tcPr>
                <w:p w14:paraId="0C4AC394">
                  <w:pPr>
                    <w:keepNext w:val="0"/>
                    <w:keepLines w:val="0"/>
                    <w:widowControl/>
                    <w:suppressLineNumbers w:val="0"/>
                    <w:jc w:val="center"/>
                    <w:textAlignment w:val="center"/>
                    <w:rPr>
                      <w:rFonts w:hint="default"/>
                      <w:color w:val="auto"/>
                      <w:szCs w:val="21"/>
                      <w:lang w:val="en-US" w:eastAsia="zh-CN"/>
                    </w:rPr>
                  </w:pPr>
                  <w:r>
                    <w:rPr>
                      <w:rFonts w:hint="eastAsia" w:ascii="宋体" w:hAnsi="宋体" w:eastAsia="宋体" w:cs="宋体"/>
                      <w:i w:val="0"/>
                      <w:iCs w:val="0"/>
                      <w:color w:val="auto"/>
                      <w:kern w:val="0"/>
                      <w:sz w:val="21"/>
                      <w:szCs w:val="21"/>
                      <w:u w:val="none"/>
                      <w:lang w:val="en-US" w:eastAsia="zh-CN" w:bidi="ar"/>
                    </w:rPr>
                    <w:t>废包装桶</w:t>
                  </w:r>
                </w:p>
              </w:tc>
              <w:tc>
                <w:tcPr>
                  <w:tcW w:w="1395" w:type="pct"/>
                  <w:noWrap w:val="0"/>
                  <w:vAlign w:val="center"/>
                </w:tcPr>
                <w:p w14:paraId="5B236BEF">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0.04</w:t>
                  </w:r>
                </w:p>
              </w:tc>
              <w:tc>
                <w:tcPr>
                  <w:tcW w:w="1475" w:type="pct"/>
                  <w:noWrap w:val="0"/>
                  <w:vAlign w:val="center"/>
                </w:tcPr>
                <w:p w14:paraId="6E5E0A60">
                  <w:pPr>
                    <w:jc w:val="center"/>
                    <w:rPr>
                      <w:color w:val="auto"/>
                      <w:szCs w:val="21"/>
                    </w:rPr>
                  </w:pPr>
                  <w:r>
                    <w:rPr>
                      <w:color w:val="auto"/>
                      <w:szCs w:val="21"/>
                    </w:rPr>
                    <w:t>危废仓库</w:t>
                  </w:r>
                </w:p>
              </w:tc>
            </w:tr>
            <w:tr w14:paraId="142170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802" w:type="pct"/>
                  <w:noWrap w:val="0"/>
                  <w:vAlign w:val="center"/>
                </w:tcPr>
                <w:p w14:paraId="7BB3D612">
                  <w:pPr>
                    <w:jc w:val="center"/>
                    <w:rPr>
                      <w:rFonts w:hint="default"/>
                      <w:color w:val="auto"/>
                      <w:szCs w:val="21"/>
                      <w:lang w:val="en-US" w:eastAsia="zh-CN"/>
                    </w:rPr>
                  </w:pPr>
                  <w:r>
                    <w:rPr>
                      <w:rFonts w:hint="eastAsia"/>
                      <w:color w:val="auto"/>
                      <w:szCs w:val="21"/>
                      <w:lang w:val="en-US" w:eastAsia="zh-CN"/>
                    </w:rPr>
                    <w:t>8</w:t>
                  </w:r>
                </w:p>
              </w:tc>
              <w:tc>
                <w:tcPr>
                  <w:tcW w:w="1327" w:type="pct"/>
                  <w:noWrap w:val="0"/>
                  <w:vAlign w:val="center"/>
                </w:tcPr>
                <w:p w14:paraId="0906766A">
                  <w:pPr>
                    <w:keepNext w:val="0"/>
                    <w:keepLines w:val="0"/>
                    <w:widowControl/>
                    <w:suppressLineNumbers w:val="0"/>
                    <w:jc w:val="center"/>
                    <w:textAlignment w:val="center"/>
                    <w:rPr>
                      <w:rFonts w:hint="eastAsia"/>
                      <w:color w:val="auto"/>
                      <w:szCs w:val="21"/>
                      <w:lang w:val="en-US" w:eastAsia="zh-CN"/>
                    </w:rPr>
                  </w:pPr>
                  <w:r>
                    <w:rPr>
                      <w:rFonts w:hint="eastAsia" w:ascii="宋体" w:hAnsi="宋体" w:eastAsia="宋体" w:cs="宋体"/>
                      <w:i w:val="0"/>
                      <w:iCs w:val="0"/>
                      <w:color w:val="auto"/>
                      <w:kern w:val="0"/>
                      <w:sz w:val="21"/>
                      <w:szCs w:val="21"/>
                      <w:u w:val="none"/>
                      <w:lang w:val="en-US" w:eastAsia="zh-CN" w:bidi="ar"/>
                    </w:rPr>
                    <w:t>废含油抹布</w:t>
                  </w:r>
                </w:p>
              </w:tc>
              <w:tc>
                <w:tcPr>
                  <w:tcW w:w="1395" w:type="pct"/>
                  <w:noWrap w:val="0"/>
                  <w:vAlign w:val="center"/>
                </w:tcPr>
                <w:p w14:paraId="389E509F">
                  <w:pPr>
                    <w:jc w:val="center"/>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0.005</w:t>
                  </w:r>
                </w:p>
              </w:tc>
              <w:tc>
                <w:tcPr>
                  <w:tcW w:w="1475" w:type="pct"/>
                  <w:noWrap w:val="0"/>
                  <w:vAlign w:val="center"/>
                </w:tcPr>
                <w:p w14:paraId="5E294116">
                  <w:pPr>
                    <w:jc w:val="center"/>
                    <w:rPr>
                      <w:color w:val="auto"/>
                      <w:szCs w:val="21"/>
                    </w:rPr>
                  </w:pPr>
                  <w:r>
                    <w:rPr>
                      <w:color w:val="auto"/>
                      <w:szCs w:val="21"/>
                    </w:rPr>
                    <w:t>危废仓库</w:t>
                  </w:r>
                </w:p>
              </w:tc>
            </w:tr>
            <w:tr w14:paraId="6FB5BB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802" w:type="pct"/>
                  <w:noWrap w:val="0"/>
                  <w:vAlign w:val="center"/>
                </w:tcPr>
                <w:p w14:paraId="63A827DB">
                  <w:pPr>
                    <w:jc w:val="center"/>
                    <w:rPr>
                      <w:rFonts w:hint="default"/>
                      <w:color w:val="auto"/>
                      <w:szCs w:val="21"/>
                      <w:lang w:val="en-US" w:eastAsia="zh-CN"/>
                    </w:rPr>
                  </w:pPr>
                  <w:r>
                    <w:rPr>
                      <w:rFonts w:hint="eastAsia"/>
                      <w:color w:val="auto"/>
                      <w:szCs w:val="21"/>
                      <w:lang w:val="en-US" w:eastAsia="zh-CN"/>
                    </w:rPr>
                    <w:t>9</w:t>
                  </w:r>
                </w:p>
              </w:tc>
              <w:tc>
                <w:tcPr>
                  <w:tcW w:w="1327" w:type="pct"/>
                  <w:noWrap w:val="0"/>
                  <w:vAlign w:val="center"/>
                </w:tcPr>
                <w:p w14:paraId="2A42515A">
                  <w:pPr>
                    <w:keepNext w:val="0"/>
                    <w:keepLines w:val="0"/>
                    <w:widowControl/>
                    <w:suppressLineNumbers w:val="0"/>
                    <w:jc w:val="center"/>
                    <w:textAlignment w:val="center"/>
                    <w:rPr>
                      <w:rFonts w:hint="eastAsia"/>
                      <w:color w:val="auto"/>
                      <w:szCs w:val="21"/>
                      <w:lang w:val="en-US" w:eastAsia="zh-CN"/>
                    </w:rPr>
                  </w:pPr>
                  <w:r>
                    <w:rPr>
                      <w:rFonts w:hint="eastAsia" w:ascii="宋体" w:hAnsi="宋体" w:eastAsia="宋体" w:cs="宋体"/>
                      <w:i w:val="0"/>
                      <w:iCs w:val="0"/>
                      <w:color w:val="auto"/>
                      <w:kern w:val="0"/>
                      <w:sz w:val="21"/>
                      <w:szCs w:val="21"/>
                      <w:u w:val="none"/>
                      <w:lang w:val="en-US" w:eastAsia="zh-CN" w:bidi="ar"/>
                    </w:rPr>
                    <w:t>废活性炭</w:t>
                  </w:r>
                </w:p>
              </w:tc>
              <w:tc>
                <w:tcPr>
                  <w:tcW w:w="1395" w:type="pct"/>
                  <w:noWrap w:val="0"/>
                  <w:vAlign w:val="center"/>
                </w:tcPr>
                <w:p w14:paraId="47EFC43F">
                  <w:pPr>
                    <w:jc w:val="center"/>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0.79</w:t>
                  </w:r>
                </w:p>
              </w:tc>
              <w:tc>
                <w:tcPr>
                  <w:tcW w:w="1475" w:type="pct"/>
                  <w:noWrap w:val="0"/>
                  <w:vAlign w:val="center"/>
                </w:tcPr>
                <w:p w14:paraId="73A76CBC">
                  <w:pPr>
                    <w:jc w:val="center"/>
                    <w:rPr>
                      <w:color w:val="auto"/>
                      <w:szCs w:val="21"/>
                    </w:rPr>
                  </w:pPr>
                  <w:r>
                    <w:rPr>
                      <w:color w:val="auto"/>
                      <w:szCs w:val="21"/>
                    </w:rPr>
                    <w:t>危废仓库</w:t>
                  </w:r>
                </w:p>
              </w:tc>
            </w:tr>
          </w:tbl>
          <w:p w14:paraId="008041C3">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22" w:firstLineChars="200"/>
              <w:textAlignment w:val="auto"/>
              <w:rPr>
                <w:b/>
                <w:color w:val="auto"/>
                <w:szCs w:val="21"/>
              </w:rPr>
            </w:pPr>
            <w:r>
              <w:rPr>
                <w:b/>
                <w:color w:val="auto"/>
                <w:szCs w:val="21"/>
              </w:rPr>
              <w:t>（2）Q值计算</w:t>
            </w:r>
          </w:p>
          <w:p w14:paraId="75F1CEFA">
            <w:pPr>
              <w:spacing w:line="360" w:lineRule="auto"/>
              <w:ind w:firstLine="420" w:firstLineChars="200"/>
              <w:rPr>
                <w:bCs/>
                <w:color w:val="auto"/>
                <w:szCs w:val="21"/>
              </w:rPr>
            </w:pPr>
            <w:r>
              <w:rPr>
                <w:bCs/>
                <w:color w:val="auto"/>
                <w:szCs w:val="21"/>
              </w:rPr>
              <w:t>根据《建设项目环境风险评价技术导则》（HJ/T169-2018）中附录C，计算所涉及的每种危险物质在厂界内的最大存在总量与其在附录B中对应临界量的比值Q。在不同厂区的同一种物质，按其在厂界内的最大存在总量计算。对于长输管线项目，按照两个截断阀室之间管段危险物质最大存在总量计算。</w:t>
            </w:r>
          </w:p>
          <w:p w14:paraId="1766FEB8">
            <w:pPr>
              <w:spacing w:line="360" w:lineRule="auto"/>
              <w:ind w:firstLine="420" w:firstLineChars="200"/>
              <w:rPr>
                <w:bCs/>
                <w:color w:val="auto"/>
                <w:szCs w:val="21"/>
              </w:rPr>
            </w:pPr>
            <w:r>
              <w:rPr>
                <w:bCs/>
                <w:color w:val="auto"/>
                <w:szCs w:val="21"/>
              </w:rPr>
              <w:t>当只涉及一种危险物质时，计算该物质的总量与其临界量比值，即为Q；当存在多种危险物质时，则按式（C.1）计算物质总量与其临界量比值（Q）：</w:t>
            </w:r>
          </w:p>
          <w:p w14:paraId="53C1D7F5">
            <w:pPr>
              <w:pStyle w:val="10"/>
              <w:snapToGrid/>
              <w:spacing w:before="0" w:line="360" w:lineRule="auto"/>
              <w:ind w:firstLine="0"/>
              <w:jc w:val="center"/>
              <w:rPr>
                <w:color w:val="auto"/>
                <w:sz w:val="21"/>
                <w:szCs w:val="21"/>
              </w:rPr>
            </w:pPr>
            <w:r>
              <w:rPr>
                <w:color w:val="auto"/>
                <w:position w:val="-30"/>
                <w:sz w:val="21"/>
                <w:szCs w:val="21"/>
              </w:rPr>
              <w:object>
                <v:shape id="_x0000_i1031" o:spt="75" type="#_x0000_t75" style="height:34.8pt;width:150.7pt;" o:ole="t" filled="f" o:preferrelative="t" stroked="f" coordsize="21600,21600">
                  <v:path/>
                  <v:fill on="f" focussize="0,0"/>
                  <v:stroke on="f"/>
                  <v:imagedata r:id="rId25" o:title=""/>
                  <o:lock v:ext="edit" aspectratio="t"/>
                  <w10:wrap type="none"/>
                  <w10:anchorlock/>
                </v:shape>
                <o:OLEObject Type="Embed" ProgID="Equation.3" ShapeID="_x0000_i1031" DrawAspect="Content" ObjectID="_1468075731" r:id="rId24">
                  <o:LockedField>false</o:LockedField>
                </o:OLEObject>
              </w:object>
            </w:r>
          </w:p>
          <w:p w14:paraId="1569E442">
            <w:pPr>
              <w:spacing w:line="360" w:lineRule="auto"/>
              <w:ind w:firstLine="420" w:firstLineChars="200"/>
              <w:jc w:val="left"/>
              <w:rPr>
                <w:bCs/>
                <w:color w:val="auto"/>
                <w:szCs w:val="21"/>
              </w:rPr>
            </w:pPr>
            <w:r>
              <w:rPr>
                <w:bCs/>
                <w:color w:val="auto"/>
                <w:szCs w:val="21"/>
              </w:rPr>
              <w:t>式中：q</w:t>
            </w:r>
            <w:r>
              <w:rPr>
                <w:bCs/>
                <w:color w:val="auto"/>
                <w:szCs w:val="21"/>
                <w:vertAlign w:val="subscript"/>
              </w:rPr>
              <w:t>1</w:t>
            </w:r>
            <w:r>
              <w:rPr>
                <w:bCs/>
                <w:color w:val="auto"/>
                <w:szCs w:val="21"/>
              </w:rPr>
              <w:t>，q</w:t>
            </w:r>
            <w:r>
              <w:rPr>
                <w:bCs/>
                <w:color w:val="auto"/>
                <w:szCs w:val="21"/>
                <w:vertAlign w:val="subscript"/>
              </w:rPr>
              <w:t>2</w:t>
            </w:r>
            <w:r>
              <w:rPr>
                <w:bCs/>
                <w:color w:val="auto"/>
                <w:szCs w:val="21"/>
              </w:rPr>
              <w:t>，q</w:t>
            </w:r>
            <w:r>
              <w:rPr>
                <w:bCs/>
                <w:color w:val="auto"/>
                <w:szCs w:val="21"/>
                <w:vertAlign w:val="subscript"/>
              </w:rPr>
              <w:t>3</w:t>
            </w:r>
            <w:r>
              <w:rPr>
                <w:bCs/>
                <w:color w:val="auto"/>
                <w:szCs w:val="21"/>
              </w:rPr>
              <w:t>，...q</w:t>
            </w:r>
            <w:r>
              <w:rPr>
                <w:bCs/>
                <w:color w:val="auto"/>
                <w:szCs w:val="21"/>
                <w:vertAlign w:val="subscript"/>
              </w:rPr>
              <w:t>n</w:t>
            </w:r>
            <w:r>
              <w:rPr>
                <w:bCs/>
                <w:color w:val="auto"/>
                <w:szCs w:val="21"/>
              </w:rPr>
              <w:t>——每种危险物质的最大存在总量，t；</w:t>
            </w:r>
          </w:p>
          <w:p w14:paraId="7BAE139F">
            <w:pPr>
              <w:spacing w:line="360" w:lineRule="auto"/>
              <w:ind w:firstLine="1050" w:firstLineChars="500"/>
              <w:jc w:val="left"/>
              <w:rPr>
                <w:color w:val="auto"/>
                <w:szCs w:val="21"/>
              </w:rPr>
            </w:pPr>
            <w:r>
              <w:rPr>
                <w:iCs/>
                <w:color w:val="auto"/>
                <w:szCs w:val="21"/>
              </w:rPr>
              <w:t>Q</w:t>
            </w:r>
            <w:r>
              <w:rPr>
                <w:iCs/>
                <w:color w:val="auto"/>
                <w:szCs w:val="21"/>
                <w:vertAlign w:val="subscript"/>
              </w:rPr>
              <w:t>1</w:t>
            </w:r>
            <w:r>
              <w:rPr>
                <w:iCs/>
                <w:color w:val="auto"/>
                <w:szCs w:val="21"/>
              </w:rPr>
              <w:t>，Q</w:t>
            </w:r>
            <w:r>
              <w:rPr>
                <w:iCs/>
                <w:color w:val="auto"/>
                <w:szCs w:val="21"/>
                <w:vertAlign w:val="subscript"/>
              </w:rPr>
              <w:t>2</w:t>
            </w:r>
            <w:r>
              <w:rPr>
                <w:iCs/>
                <w:color w:val="auto"/>
                <w:szCs w:val="21"/>
              </w:rPr>
              <w:t>，Q</w:t>
            </w:r>
            <w:r>
              <w:rPr>
                <w:iCs/>
                <w:color w:val="auto"/>
                <w:szCs w:val="21"/>
                <w:vertAlign w:val="subscript"/>
              </w:rPr>
              <w:t>3</w:t>
            </w:r>
            <w:r>
              <w:rPr>
                <w:iCs/>
                <w:color w:val="auto"/>
                <w:szCs w:val="21"/>
              </w:rPr>
              <w:t>，</w:t>
            </w:r>
            <w:r>
              <w:rPr>
                <w:bCs/>
                <w:color w:val="auto"/>
                <w:szCs w:val="21"/>
              </w:rPr>
              <w:t>...</w:t>
            </w:r>
            <w:r>
              <w:rPr>
                <w:iCs/>
                <w:color w:val="auto"/>
                <w:szCs w:val="21"/>
              </w:rPr>
              <w:t>Q</w:t>
            </w:r>
            <w:r>
              <w:rPr>
                <w:iCs/>
                <w:color w:val="auto"/>
                <w:szCs w:val="21"/>
                <w:vertAlign w:val="subscript"/>
              </w:rPr>
              <w:t>n</w:t>
            </w:r>
            <w:r>
              <w:rPr>
                <w:color w:val="auto"/>
                <w:szCs w:val="21"/>
              </w:rPr>
              <w:t>——</w:t>
            </w:r>
            <w:r>
              <w:rPr>
                <w:bCs/>
                <w:color w:val="auto"/>
                <w:szCs w:val="21"/>
              </w:rPr>
              <w:t>每种危险物质的临界量</w:t>
            </w:r>
            <w:r>
              <w:rPr>
                <w:color w:val="auto"/>
                <w:szCs w:val="21"/>
              </w:rPr>
              <w:t>，t。</w:t>
            </w:r>
          </w:p>
          <w:p w14:paraId="68900293">
            <w:pPr>
              <w:spacing w:line="360" w:lineRule="auto"/>
              <w:ind w:firstLine="420" w:firstLineChars="200"/>
              <w:rPr>
                <w:bCs/>
                <w:color w:val="auto"/>
                <w:szCs w:val="21"/>
              </w:rPr>
            </w:pPr>
            <w:r>
              <w:rPr>
                <w:bCs/>
                <w:color w:val="auto"/>
                <w:szCs w:val="21"/>
              </w:rPr>
              <w:t>当Q＜1时，该项目环境风险潜势为Ⅰ。</w:t>
            </w:r>
          </w:p>
          <w:p w14:paraId="032DF6F8">
            <w:pPr>
              <w:spacing w:line="360" w:lineRule="auto"/>
              <w:ind w:firstLine="420" w:firstLineChars="200"/>
              <w:rPr>
                <w:bCs/>
                <w:color w:val="auto"/>
                <w:szCs w:val="21"/>
              </w:rPr>
            </w:pPr>
            <w:r>
              <w:rPr>
                <w:bCs/>
                <w:color w:val="auto"/>
                <w:szCs w:val="21"/>
              </w:rPr>
              <w:t>当Q≥1时，将Q值划分为：（1）1≤Q＜10；（2）10≤Q＜100；（3）Q≥100。</w:t>
            </w:r>
          </w:p>
          <w:p w14:paraId="1F4E808A">
            <w:pPr>
              <w:spacing w:line="360" w:lineRule="auto"/>
              <w:ind w:firstLine="420" w:firstLineChars="200"/>
              <w:rPr>
                <w:bCs/>
                <w:color w:val="auto"/>
                <w:szCs w:val="21"/>
              </w:rPr>
            </w:pPr>
            <w:r>
              <w:rPr>
                <w:bCs/>
                <w:color w:val="auto"/>
                <w:szCs w:val="21"/>
              </w:rPr>
              <w:t>根据全厂风险物质的最大存在总量与其在附录B中对应临界量进行计算，具体见下表。</w:t>
            </w:r>
          </w:p>
          <w:p w14:paraId="2BA94D60">
            <w:pPr>
              <w:keepNext w:val="0"/>
              <w:keepLines w:val="0"/>
              <w:pageBreakBefore w:val="0"/>
              <w:widowControl w:val="0"/>
              <w:kinsoku/>
              <w:wordWrap/>
              <w:overflowPunct/>
              <w:topLinePunct w:val="0"/>
              <w:autoSpaceDE/>
              <w:autoSpaceDN/>
              <w:bidi w:val="0"/>
              <w:adjustRightInd w:val="0"/>
              <w:snapToGrid w:val="0"/>
              <w:jc w:val="center"/>
              <w:textAlignment w:val="auto"/>
              <w:rPr>
                <w:b/>
                <w:color w:val="auto"/>
                <w:szCs w:val="21"/>
              </w:rPr>
            </w:pPr>
          </w:p>
          <w:p w14:paraId="5C5605D0">
            <w:pPr>
              <w:keepNext w:val="0"/>
              <w:keepLines w:val="0"/>
              <w:pageBreakBefore w:val="0"/>
              <w:widowControl w:val="0"/>
              <w:kinsoku/>
              <w:wordWrap/>
              <w:overflowPunct/>
              <w:topLinePunct w:val="0"/>
              <w:autoSpaceDE/>
              <w:autoSpaceDN/>
              <w:bidi w:val="0"/>
              <w:adjustRightInd w:val="0"/>
              <w:snapToGrid w:val="0"/>
              <w:jc w:val="center"/>
              <w:textAlignment w:val="auto"/>
              <w:rPr>
                <w:b/>
                <w:color w:val="auto"/>
                <w:szCs w:val="21"/>
              </w:rPr>
            </w:pPr>
          </w:p>
          <w:p w14:paraId="52D9E1C0">
            <w:pPr>
              <w:keepNext w:val="0"/>
              <w:keepLines w:val="0"/>
              <w:pageBreakBefore w:val="0"/>
              <w:widowControl w:val="0"/>
              <w:kinsoku/>
              <w:wordWrap/>
              <w:overflowPunct/>
              <w:topLinePunct w:val="0"/>
              <w:autoSpaceDE/>
              <w:autoSpaceDN/>
              <w:bidi w:val="0"/>
              <w:adjustRightInd w:val="0"/>
              <w:snapToGrid w:val="0"/>
              <w:jc w:val="center"/>
              <w:textAlignment w:val="auto"/>
              <w:rPr>
                <w:b/>
                <w:color w:val="auto"/>
                <w:szCs w:val="21"/>
              </w:rPr>
            </w:pPr>
            <w:r>
              <w:rPr>
                <w:b/>
                <w:color w:val="auto"/>
                <w:szCs w:val="21"/>
              </w:rPr>
              <w:t>表4-</w:t>
            </w:r>
            <w:r>
              <w:rPr>
                <w:rFonts w:hint="eastAsia"/>
                <w:b/>
                <w:color w:val="auto"/>
                <w:szCs w:val="21"/>
                <w:lang w:val="en-US" w:eastAsia="zh-CN"/>
              </w:rPr>
              <w:t>30</w:t>
            </w:r>
            <w:r>
              <w:rPr>
                <w:b/>
                <w:color w:val="auto"/>
                <w:szCs w:val="21"/>
              </w:rPr>
              <w:t xml:space="preserve"> 风险物质最大存在总量及临界量</w:t>
            </w:r>
          </w:p>
          <w:tbl>
            <w:tblPr>
              <w:tblStyle w:val="28"/>
              <w:tblW w:w="830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99"/>
              <w:gridCol w:w="1933"/>
              <w:gridCol w:w="2127"/>
              <w:gridCol w:w="1396"/>
              <w:gridCol w:w="1951"/>
            </w:tblGrid>
            <w:tr w14:paraId="0D9925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9" w:type="dxa"/>
                  <w:noWrap w:val="0"/>
                  <w:vAlign w:val="center"/>
                </w:tcPr>
                <w:p w14:paraId="7DE390CE">
                  <w:pPr>
                    <w:adjustRightInd w:val="0"/>
                    <w:snapToGrid w:val="0"/>
                    <w:jc w:val="center"/>
                    <w:rPr>
                      <w:b/>
                      <w:color w:val="auto"/>
                      <w:szCs w:val="21"/>
                    </w:rPr>
                  </w:pPr>
                  <w:r>
                    <w:rPr>
                      <w:b/>
                      <w:color w:val="auto"/>
                      <w:szCs w:val="21"/>
                    </w:rPr>
                    <w:t>序号</w:t>
                  </w:r>
                </w:p>
              </w:tc>
              <w:tc>
                <w:tcPr>
                  <w:tcW w:w="1933" w:type="dxa"/>
                  <w:noWrap w:val="0"/>
                  <w:vAlign w:val="center"/>
                </w:tcPr>
                <w:p w14:paraId="36618AD1">
                  <w:pPr>
                    <w:adjustRightInd w:val="0"/>
                    <w:snapToGrid w:val="0"/>
                    <w:jc w:val="center"/>
                    <w:rPr>
                      <w:b/>
                      <w:color w:val="auto"/>
                      <w:szCs w:val="21"/>
                    </w:rPr>
                  </w:pPr>
                  <w:r>
                    <w:rPr>
                      <w:b/>
                      <w:color w:val="auto"/>
                      <w:szCs w:val="21"/>
                    </w:rPr>
                    <w:t>危险物质名称</w:t>
                  </w:r>
                </w:p>
              </w:tc>
              <w:tc>
                <w:tcPr>
                  <w:tcW w:w="2127" w:type="dxa"/>
                  <w:noWrap w:val="0"/>
                  <w:vAlign w:val="center"/>
                </w:tcPr>
                <w:p w14:paraId="23C4081A">
                  <w:pPr>
                    <w:adjustRightInd w:val="0"/>
                    <w:snapToGrid w:val="0"/>
                    <w:jc w:val="center"/>
                    <w:rPr>
                      <w:b/>
                      <w:color w:val="auto"/>
                      <w:szCs w:val="21"/>
                    </w:rPr>
                  </w:pPr>
                  <w:r>
                    <w:rPr>
                      <w:b/>
                      <w:color w:val="auto"/>
                      <w:szCs w:val="21"/>
                    </w:rPr>
                    <w:t>最大存在总量q</w:t>
                  </w:r>
                  <w:r>
                    <w:rPr>
                      <w:b/>
                      <w:color w:val="auto"/>
                      <w:szCs w:val="21"/>
                      <w:vertAlign w:val="subscript"/>
                    </w:rPr>
                    <w:t>n</w:t>
                  </w:r>
                  <w:r>
                    <w:rPr>
                      <w:b/>
                      <w:color w:val="auto"/>
                      <w:szCs w:val="21"/>
                    </w:rPr>
                    <w:t>/t</w:t>
                  </w:r>
                </w:p>
              </w:tc>
              <w:tc>
                <w:tcPr>
                  <w:tcW w:w="1396" w:type="dxa"/>
                  <w:noWrap w:val="0"/>
                  <w:vAlign w:val="center"/>
                </w:tcPr>
                <w:p w14:paraId="5A21D881">
                  <w:pPr>
                    <w:adjustRightInd w:val="0"/>
                    <w:snapToGrid w:val="0"/>
                    <w:jc w:val="center"/>
                    <w:rPr>
                      <w:b/>
                      <w:color w:val="auto"/>
                      <w:szCs w:val="21"/>
                    </w:rPr>
                  </w:pPr>
                  <w:r>
                    <w:rPr>
                      <w:b/>
                      <w:color w:val="auto"/>
                      <w:szCs w:val="21"/>
                    </w:rPr>
                    <w:t>临界量Q</w:t>
                  </w:r>
                  <w:r>
                    <w:rPr>
                      <w:b/>
                      <w:color w:val="auto"/>
                      <w:szCs w:val="21"/>
                      <w:vertAlign w:val="subscript"/>
                    </w:rPr>
                    <w:t>n</w:t>
                  </w:r>
                  <w:r>
                    <w:rPr>
                      <w:b/>
                      <w:color w:val="auto"/>
                      <w:szCs w:val="21"/>
                    </w:rPr>
                    <w:t>/t</w:t>
                  </w:r>
                </w:p>
              </w:tc>
              <w:tc>
                <w:tcPr>
                  <w:tcW w:w="1951" w:type="dxa"/>
                  <w:noWrap w:val="0"/>
                  <w:vAlign w:val="center"/>
                </w:tcPr>
                <w:p w14:paraId="3F95D96F">
                  <w:pPr>
                    <w:adjustRightInd w:val="0"/>
                    <w:snapToGrid w:val="0"/>
                    <w:jc w:val="center"/>
                    <w:rPr>
                      <w:b/>
                      <w:color w:val="auto"/>
                      <w:szCs w:val="21"/>
                    </w:rPr>
                  </w:pPr>
                  <w:r>
                    <w:rPr>
                      <w:b/>
                      <w:color w:val="auto"/>
                      <w:szCs w:val="21"/>
                    </w:rPr>
                    <w:t>危险物质Q值</w:t>
                  </w:r>
                </w:p>
              </w:tc>
            </w:tr>
            <w:tr w14:paraId="1A3B5B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9" w:type="dxa"/>
                  <w:noWrap w:val="0"/>
                  <w:vAlign w:val="center"/>
                </w:tcPr>
                <w:p w14:paraId="7C97F66A">
                  <w:pPr>
                    <w:jc w:val="center"/>
                    <w:rPr>
                      <w:color w:val="auto"/>
                      <w:szCs w:val="21"/>
                    </w:rPr>
                  </w:pPr>
                  <w:r>
                    <w:rPr>
                      <w:color w:val="auto"/>
                      <w:szCs w:val="21"/>
                    </w:rPr>
                    <w:t>1</w:t>
                  </w:r>
                </w:p>
              </w:tc>
              <w:tc>
                <w:tcPr>
                  <w:tcW w:w="1933" w:type="dxa"/>
                  <w:shd w:val="clear" w:color="auto" w:fill="auto"/>
                  <w:noWrap w:val="0"/>
                  <w:vAlign w:val="center"/>
                </w:tcPr>
                <w:p w14:paraId="6C2C3F97">
                  <w:pPr>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kern w:val="0"/>
                      <w:sz w:val="21"/>
                      <w:szCs w:val="21"/>
                      <w:lang w:val="en-US" w:eastAsia="zh-CN" w:bidi="ar-SA"/>
                    </w:rPr>
                    <w:t>环保增塑剂</w:t>
                  </w:r>
                </w:p>
              </w:tc>
              <w:tc>
                <w:tcPr>
                  <w:tcW w:w="2127" w:type="dxa"/>
                  <w:shd w:val="clear" w:color="auto" w:fill="auto"/>
                  <w:noWrap w:val="0"/>
                  <w:vAlign w:val="center"/>
                </w:tcPr>
                <w:p w14:paraId="4D170755">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10</w:t>
                  </w:r>
                </w:p>
              </w:tc>
              <w:tc>
                <w:tcPr>
                  <w:tcW w:w="1396" w:type="dxa"/>
                  <w:noWrap w:val="0"/>
                  <w:vAlign w:val="center"/>
                </w:tcPr>
                <w:p w14:paraId="29BBBD85">
                  <w:pPr>
                    <w:adjustRightInd w:val="0"/>
                    <w:snapToGrid w:val="0"/>
                    <w:jc w:val="center"/>
                    <w:rPr>
                      <w:rFonts w:hint="default" w:ascii="Times New Roman" w:hAnsi="Times New Roman" w:eastAsia="宋体" w:cs="Times New Roman"/>
                      <w:bCs/>
                      <w:color w:val="auto"/>
                      <w:szCs w:val="21"/>
                      <w:lang w:val="en-US" w:eastAsia="zh-CN"/>
                    </w:rPr>
                  </w:pPr>
                  <w:r>
                    <w:rPr>
                      <w:rFonts w:hint="eastAsia" w:cs="Times New Roman"/>
                      <w:bCs/>
                      <w:color w:val="auto"/>
                      <w:szCs w:val="21"/>
                      <w:lang w:val="en-US" w:eastAsia="zh-CN"/>
                    </w:rPr>
                    <w:t>2500</w:t>
                  </w:r>
                </w:p>
              </w:tc>
              <w:tc>
                <w:tcPr>
                  <w:tcW w:w="1951" w:type="dxa"/>
                  <w:vMerge w:val="restart"/>
                  <w:noWrap w:val="0"/>
                  <w:vAlign w:val="center"/>
                </w:tcPr>
                <w:p w14:paraId="72297748">
                  <w:pPr>
                    <w:adjustRightInd w:val="0"/>
                    <w:snapToGrid w:val="0"/>
                    <w:jc w:val="center"/>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0.0</w:t>
                  </w:r>
                  <w:r>
                    <w:rPr>
                      <w:rFonts w:hint="eastAsia" w:cs="Times New Roman"/>
                      <w:bCs/>
                      <w:color w:val="auto"/>
                      <w:szCs w:val="21"/>
                      <w:lang w:val="en-US" w:eastAsia="zh-CN"/>
                    </w:rPr>
                    <w:t>7916</w:t>
                  </w:r>
                </w:p>
              </w:tc>
            </w:tr>
            <w:tr w14:paraId="7C6E82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9" w:type="dxa"/>
                  <w:noWrap w:val="0"/>
                  <w:vAlign w:val="center"/>
                </w:tcPr>
                <w:p w14:paraId="5F5288C5">
                  <w:pPr>
                    <w:jc w:val="center"/>
                    <w:rPr>
                      <w:color w:val="auto"/>
                      <w:szCs w:val="21"/>
                    </w:rPr>
                  </w:pPr>
                  <w:r>
                    <w:rPr>
                      <w:rFonts w:hint="eastAsia"/>
                      <w:color w:val="auto"/>
                      <w:szCs w:val="21"/>
                    </w:rPr>
                    <w:t>2</w:t>
                  </w:r>
                </w:p>
              </w:tc>
              <w:tc>
                <w:tcPr>
                  <w:tcW w:w="1933" w:type="dxa"/>
                  <w:shd w:val="clear" w:color="auto" w:fill="auto"/>
                  <w:noWrap w:val="0"/>
                  <w:vAlign w:val="center"/>
                </w:tcPr>
                <w:p w14:paraId="4EBC2F77">
                  <w:pPr>
                    <w:jc w:val="center"/>
                    <w:rPr>
                      <w:rFonts w:hint="eastAsia" w:ascii="Times New Roman" w:hAnsi="Times New Roman" w:eastAsia="宋体" w:cs="Times New Roman"/>
                      <w:color w:val="auto"/>
                      <w:kern w:val="0"/>
                      <w:sz w:val="21"/>
                      <w:szCs w:val="21"/>
                      <w:lang w:val="en-US" w:eastAsia="zh-CN" w:bidi="ar-SA"/>
                    </w:rPr>
                  </w:pPr>
                  <w:r>
                    <w:rPr>
                      <w:rFonts w:ascii="Times New Roman" w:hAnsi="Times New Roman"/>
                      <w:color w:val="auto"/>
                      <w:szCs w:val="21"/>
                    </w:rPr>
                    <w:t>抗氧剂</w:t>
                  </w:r>
                </w:p>
              </w:tc>
              <w:tc>
                <w:tcPr>
                  <w:tcW w:w="2127" w:type="dxa"/>
                  <w:shd w:val="clear" w:color="auto" w:fill="auto"/>
                  <w:noWrap w:val="0"/>
                  <w:vAlign w:val="center"/>
                </w:tcPr>
                <w:p w14:paraId="51B6C593">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0.1</w:t>
                  </w:r>
                </w:p>
              </w:tc>
              <w:tc>
                <w:tcPr>
                  <w:tcW w:w="1396" w:type="dxa"/>
                  <w:noWrap w:val="0"/>
                  <w:vAlign w:val="center"/>
                </w:tcPr>
                <w:p w14:paraId="3E3460AC">
                  <w:pPr>
                    <w:adjustRightInd w:val="0"/>
                    <w:snapToGrid w:val="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Cs w:val="21"/>
                      <w:lang w:val="en-US" w:eastAsia="zh-CN"/>
                    </w:rPr>
                    <w:t>100</w:t>
                  </w:r>
                </w:p>
              </w:tc>
              <w:tc>
                <w:tcPr>
                  <w:tcW w:w="1951" w:type="dxa"/>
                  <w:vMerge w:val="continue"/>
                  <w:noWrap w:val="0"/>
                  <w:vAlign w:val="center"/>
                </w:tcPr>
                <w:p w14:paraId="7A92F4A1">
                  <w:pPr>
                    <w:adjustRightInd w:val="0"/>
                    <w:snapToGrid w:val="0"/>
                    <w:jc w:val="center"/>
                    <w:rPr>
                      <w:rFonts w:ascii="Times New Roman" w:hAnsi="Times New Roman" w:eastAsia="宋体" w:cs="Times New Roman"/>
                      <w:bCs/>
                      <w:color w:val="auto"/>
                      <w:szCs w:val="21"/>
                    </w:rPr>
                  </w:pPr>
                </w:p>
              </w:tc>
            </w:tr>
            <w:tr w14:paraId="7DE3C0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9" w:type="dxa"/>
                  <w:noWrap w:val="0"/>
                  <w:vAlign w:val="center"/>
                </w:tcPr>
                <w:p w14:paraId="25814547">
                  <w:pPr>
                    <w:jc w:val="center"/>
                    <w:rPr>
                      <w:rFonts w:hint="eastAsia" w:eastAsia="宋体"/>
                      <w:color w:val="auto"/>
                      <w:szCs w:val="21"/>
                      <w:lang w:val="en-US" w:eastAsia="zh-CN"/>
                    </w:rPr>
                  </w:pPr>
                  <w:r>
                    <w:rPr>
                      <w:rFonts w:hint="eastAsia"/>
                      <w:color w:val="auto"/>
                      <w:szCs w:val="21"/>
                      <w:lang w:val="en-US" w:eastAsia="zh-CN"/>
                    </w:rPr>
                    <w:t>3</w:t>
                  </w:r>
                </w:p>
              </w:tc>
              <w:tc>
                <w:tcPr>
                  <w:tcW w:w="1933" w:type="dxa"/>
                  <w:shd w:val="clear" w:color="auto" w:fill="auto"/>
                  <w:noWrap w:val="0"/>
                  <w:vAlign w:val="center"/>
                </w:tcPr>
                <w:p w14:paraId="0198996F">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color w:val="auto"/>
                      <w:szCs w:val="21"/>
                      <w:lang w:val="en-US" w:eastAsia="zh-CN"/>
                    </w:rPr>
                    <w:t>润滑油</w:t>
                  </w:r>
                </w:p>
              </w:tc>
              <w:tc>
                <w:tcPr>
                  <w:tcW w:w="2127" w:type="dxa"/>
                  <w:shd w:val="clear" w:color="auto" w:fill="auto"/>
                  <w:noWrap w:val="0"/>
                  <w:vAlign w:val="center"/>
                </w:tcPr>
                <w:p w14:paraId="79A02B00">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0.025</w:t>
                  </w:r>
                </w:p>
              </w:tc>
              <w:tc>
                <w:tcPr>
                  <w:tcW w:w="1396" w:type="dxa"/>
                  <w:noWrap w:val="0"/>
                  <w:vAlign w:val="center"/>
                </w:tcPr>
                <w:p w14:paraId="4FFC7F39">
                  <w:pPr>
                    <w:adjustRightInd w:val="0"/>
                    <w:snapToGrid w:val="0"/>
                    <w:jc w:val="center"/>
                    <w:rPr>
                      <w:rFonts w:hint="default" w:ascii="Times New Roman" w:hAnsi="Times New Roman" w:eastAsia="宋体" w:cs="Times New Roman"/>
                      <w:bCs/>
                      <w:color w:val="auto"/>
                      <w:szCs w:val="21"/>
                      <w:lang w:val="en-US" w:eastAsia="zh-CN"/>
                    </w:rPr>
                  </w:pPr>
                  <w:r>
                    <w:rPr>
                      <w:rFonts w:hint="eastAsia" w:cs="Times New Roman"/>
                      <w:bCs/>
                      <w:color w:val="auto"/>
                      <w:szCs w:val="21"/>
                      <w:lang w:val="en-US" w:eastAsia="zh-CN"/>
                    </w:rPr>
                    <w:t>2500</w:t>
                  </w:r>
                </w:p>
              </w:tc>
              <w:tc>
                <w:tcPr>
                  <w:tcW w:w="1951" w:type="dxa"/>
                  <w:vMerge w:val="continue"/>
                  <w:noWrap w:val="0"/>
                  <w:vAlign w:val="center"/>
                </w:tcPr>
                <w:p w14:paraId="40219397">
                  <w:pPr>
                    <w:adjustRightInd w:val="0"/>
                    <w:snapToGrid w:val="0"/>
                    <w:jc w:val="center"/>
                    <w:rPr>
                      <w:rFonts w:ascii="Times New Roman" w:hAnsi="Times New Roman" w:eastAsia="宋体" w:cs="Times New Roman"/>
                      <w:bCs/>
                      <w:color w:val="auto"/>
                      <w:szCs w:val="21"/>
                    </w:rPr>
                  </w:pPr>
                </w:p>
              </w:tc>
            </w:tr>
            <w:tr w14:paraId="163B38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9" w:type="dxa"/>
                  <w:noWrap w:val="0"/>
                  <w:vAlign w:val="center"/>
                </w:tcPr>
                <w:p w14:paraId="111568D2">
                  <w:pPr>
                    <w:jc w:val="center"/>
                    <w:rPr>
                      <w:rFonts w:hint="eastAsia"/>
                      <w:color w:val="auto"/>
                      <w:szCs w:val="21"/>
                      <w:lang w:val="en-US" w:eastAsia="zh-CN"/>
                    </w:rPr>
                  </w:pPr>
                  <w:r>
                    <w:rPr>
                      <w:rFonts w:hint="eastAsia"/>
                      <w:color w:val="auto"/>
                      <w:szCs w:val="21"/>
                      <w:lang w:val="en-US" w:eastAsia="zh-CN"/>
                    </w:rPr>
                    <w:t>4</w:t>
                  </w:r>
                </w:p>
              </w:tc>
              <w:tc>
                <w:tcPr>
                  <w:tcW w:w="1933" w:type="dxa"/>
                  <w:shd w:val="clear" w:color="auto" w:fill="auto"/>
                  <w:noWrap w:val="0"/>
                  <w:vAlign w:val="center"/>
                </w:tcPr>
                <w:p w14:paraId="084307FE">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喷淋塔废液</w:t>
                  </w:r>
                </w:p>
              </w:tc>
              <w:tc>
                <w:tcPr>
                  <w:tcW w:w="2127" w:type="dxa"/>
                  <w:shd w:val="clear" w:color="auto" w:fill="auto"/>
                  <w:noWrap w:val="0"/>
                  <w:vAlign w:val="center"/>
                </w:tcPr>
                <w:p w14:paraId="217143FF">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0.5</w:t>
                  </w:r>
                </w:p>
              </w:tc>
              <w:tc>
                <w:tcPr>
                  <w:tcW w:w="1396" w:type="dxa"/>
                  <w:noWrap w:val="0"/>
                  <w:vAlign w:val="center"/>
                </w:tcPr>
                <w:p w14:paraId="0F140A2B">
                  <w:pPr>
                    <w:adjustRightInd w:val="0"/>
                    <w:snapToGrid w:val="0"/>
                    <w:jc w:val="center"/>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100</w:t>
                  </w:r>
                </w:p>
              </w:tc>
              <w:tc>
                <w:tcPr>
                  <w:tcW w:w="1951" w:type="dxa"/>
                  <w:vMerge w:val="continue"/>
                  <w:noWrap w:val="0"/>
                  <w:vAlign w:val="center"/>
                </w:tcPr>
                <w:p w14:paraId="2AACA206">
                  <w:pPr>
                    <w:adjustRightInd w:val="0"/>
                    <w:snapToGrid w:val="0"/>
                    <w:jc w:val="center"/>
                    <w:rPr>
                      <w:rFonts w:ascii="Times New Roman" w:hAnsi="Times New Roman" w:eastAsia="宋体" w:cs="Times New Roman"/>
                      <w:bCs/>
                      <w:color w:val="auto"/>
                      <w:szCs w:val="21"/>
                    </w:rPr>
                  </w:pPr>
                </w:p>
              </w:tc>
            </w:tr>
            <w:tr w14:paraId="1E4431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9" w:type="dxa"/>
                  <w:noWrap w:val="0"/>
                  <w:vAlign w:val="center"/>
                </w:tcPr>
                <w:p w14:paraId="6BC95EA2">
                  <w:pPr>
                    <w:jc w:val="center"/>
                    <w:rPr>
                      <w:rFonts w:hint="default" w:eastAsia="宋体"/>
                      <w:color w:val="auto"/>
                      <w:szCs w:val="21"/>
                      <w:lang w:val="en-US" w:eastAsia="zh-CN"/>
                    </w:rPr>
                  </w:pPr>
                  <w:r>
                    <w:rPr>
                      <w:rFonts w:hint="eastAsia"/>
                      <w:color w:val="auto"/>
                      <w:szCs w:val="21"/>
                      <w:lang w:val="en-US" w:eastAsia="zh-CN"/>
                    </w:rPr>
                    <w:t>5</w:t>
                  </w:r>
                </w:p>
              </w:tc>
              <w:tc>
                <w:tcPr>
                  <w:tcW w:w="1933" w:type="dxa"/>
                  <w:shd w:val="clear" w:color="auto" w:fill="auto"/>
                  <w:noWrap w:val="0"/>
                  <w:vAlign w:val="center"/>
                </w:tcPr>
                <w:p w14:paraId="410DFFD0">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废润滑油</w:t>
                  </w:r>
                </w:p>
              </w:tc>
              <w:tc>
                <w:tcPr>
                  <w:tcW w:w="2127" w:type="dxa"/>
                  <w:shd w:val="clear" w:color="auto" w:fill="auto"/>
                  <w:noWrap w:val="0"/>
                  <w:vAlign w:val="center"/>
                </w:tcPr>
                <w:p w14:paraId="3DFA753B">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0.2</w:t>
                  </w:r>
                </w:p>
              </w:tc>
              <w:tc>
                <w:tcPr>
                  <w:tcW w:w="1396" w:type="dxa"/>
                  <w:noWrap w:val="0"/>
                  <w:vAlign w:val="center"/>
                </w:tcPr>
                <w:p w14:paraId="34E54DCD">
                  <w:pPr>
                    <w:adjustRightInd w:val="0"/>
                    <w:snapToGrid w:val="0"/>
                    <w:jc w:val="center"/>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100</w:t>
                  </w:r>
                </w:p>
              </w:tc>
              <w:tc>
                <w:tcPr>
                  <w:tcW w:w="1951" w:type="dxa"/>
                  <w:vMerge w:val="continue"/>
                  <w:noWrap w:val="0"/>
                  <w:vAlign w:val="center"/>
                </w:tcPr>
                <w:p w14:paraId="06C0D960">
                  <w:pPr>
                    <w:adjustRightInd w:val="0"/>
                    <w:snapToGrid w:val="0"/>
                    <w:jc w:val="center"/>
                    <w:rPr>
                      <w:rFonts w:ascii="Times New Roman" w:hAnsi="Times New Roman" w:eastAsia="宋体" w:cs="Times New Roman"/>
                      <w:bCs/>
                      <w:color w:val="auto"/>
                      <w:szCs w:val="21"/>
                    </w:rPr>
                  </w:pPr>
                </w:p>
              </w:tc>
            </w:tr>
            <w:tr w14:paraId="4BCF04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9" w:type="dxa"/>
                  <w:noWrap w:val="0"/>
                  <w:vAlign w:val="center"/>
                </w:tcPr>
                <w:p w14:paraId="43F3A56B">
                  <w:pPr>
                    <w:jc w:val="center"/>
                    <w:rPr>
                      <w:rFonts w:hint="default"/>
                      <w:color w:val="auto"/>
                      <w:szCs w:val="21"/>
                      <w:lang w:val="en-US" w:eastAsia="zh-CN"/>
                    </w:rPr>
                  </w:pPr>
                  <w:r>
                    <w:rPr>
                      <w:rFonts w:hint="eastAsia"/>
                      <w:color w:val="auto"/>
                      <w:szCs w:val="21"/>
                      <w:lang w:val="en-US" w:eastAsia="zh-CN"/>
                    </w:rPr>
                    <w:t>6</w:t>
                  </w:r>
                </w:p>
              </w:tc>
              <w:tc>
                <w:tcPr>
                  <w:tcW w:w="1933" w:type="dxa"/>
                  <w:shd w:val="clear" w:color="auto" w:fill="auto"/>
                  <w:noWrap w:val="0"/>
                  <w:vAlign w:val="center"/>
                </w:tcPr>
                <w:p w14:paraId="011B6B4A">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废油桶</w:t>
                  </w:r>
                </w:p>
              </w:tc>
              <w:tc>
                <w:tcPr>
                  <w:tcW w:w="2127" w:type="dxa"/>
                  <w:shd w:val="clear" w:color="auto" w:fill="auto"/>
                  <w:noWrap w:val="0"/>
                  <w:vAlign w:val="center"/>
                </w:tcPr>
                <w:p w14:paraId="23722EC1">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5.88</w:t>
                  </w:r>
                </w:p>
              </w:tc>
              <w:tc>
                <w:tcPr>
                  <w:tcW w:w="1396" w:type="dxa"/>
                  <w:noWrap w:val="0"/>
                  <w:vAlign w:val="center"/>
                </w:tcPr>
                <w:p w14:paraId="6BBD63D6">
                  <w:pPr>
                    <w:adjustRightInd w:val="0"/>
                    <w:snapToGrid w:val="0"/>
                    <w:jc w:val="center"/>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100</w:t>
                  </w:r>
                </w:p>
              </w:tc>
              <w:tc>
                <w:tcPr>
                  <w:tcW w:w="1951" w:type="dxa"/>
                  <w:vMerge w:val="continue"/>
                  <w:noWrap w:val="0"/>
                  <w:vAlign w:val="center"/>
                </w:tcPr>
                <w:p w14:paraId="2253CAE7">
                  <w:pPr>
                    <w:adjustRightInd w:val="0"/>
                    <w:snapToGrid w:val="0"/>
                    <w:jc w:val="center"/>
                    <w:rPr>
                      <w:rFonts w:ascii="Times New Roman" w:hAnsi="Times New Roman" w:eastAsia="宋体" w:cs="Times New Roman"/>
                      <w:bCs/>
                      <w:color w:val="auto"/>
                      <w:szCs w:val="21"/>
                    </w:rPr>
                  </w:pPr>
                </w:p>
              </w:tc>
            </w:tr>
            <w:tr w14:paraId="0E58CF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9" w:type="dxa"/>
                  <w:noWrap w:val="0"/>
                  <w:vAlign w:val="center"/>
                </w:tcPr>
                <w:p w14:paraId="5C4EFD1D">
                  <w:pPr>
                    <w:jc w:val="center"/>
                    <w:rPr>
                      <w:rFonts w:hint="default"/>
                      <w:color w:val="auto"/>
                      <w:szCs w:val="21"/>
                      <w:lang w:val="en-US" w:eastAsia="zh-CN"/>
                    </w:rPr>
                  </w:pPr>
                  <w:r>
                    <w:rPr>
                      <w:rFonts w:hint="eastAsia"/>
                      <w:color w:val="auto"/>
                      <w:szCs w:val="21"/>
                      <w:lang w:val="en-US" w:eastAsia="zh-CN"/>
                    </w:rPr>
                    <w:t>7</w:t>
                  </w:r>
                </w:p>
              </w:tc>
              <w:tc>
                <w:tcPr>
                  <w:tcW w:w="1933" w:type="dxa"/>
                  <w:shd w:val="clear" w:color="auto" w:fill="auto"/>
                  <w:noWrap w:val="0"/>
                  <w:vAlign w:val="center"/>
                </w:tcPr>
                <w:p w14:paraId="60E823E6">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废包装桶</w:t>
                  </w:r>
                </w:p>
              </w:tc>
              <w:tc>
                <w:tcPr>
                  <w:tcW w:w="2127" w:type="dxa"/>
                  <w:shd w:val="clear" w:color="auto" w:fill="auto"/>
                  <w:noWrap w:val="0"/>
                  <w:vAlign w:val="center"/>
                </w:tcPr>
                <w:p w14:paraId="0ACC5C43">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0.04</w:t>
                  </w:r>
                </w:p>
              </w:tc>
              <w:tc>
                <w:tcPr>
                  <w:tcW w:w="1396" w:type="dxa"/>
                  <w:noWrap w:val="0"/>
                  <w:vAlign w:val="center"/>
                </w:tcPr>
                <w:p w14:paraId="0DD54798">
                  <w:pPr>
                    <w:adjustRightInd w:val="0"/>
                    <w:snapToGrid w:val="0"/>
                    <w:jc w:val="center"/>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100</w:t>
                  </w:r>
                </w:p>
              </w:tc>
              <w:tc>
                <w:tcPr>
                  <w:tcW w:w="1951" w:type="dxa"/>
                  <w:vMerge w:val="continue"/>
                  <w:noWrap w:val="0"/>
                  <w:vAlign w:val="center"/>
                </w:tcPr>
                <w:p w14:paraId="13FE9EE4">
                  <w:pPr>
                    <w:adjustRightInd w:val="0"/>
                    <w:snapToGrid w:val="0"/>
                    <w:jc w:val="center"/>
                    <w:rPr>
                      <w:rFonts w:ascii="Times New Roman" w:hAnsi="Times New Roman" w:eastAsia="宋体" w:cs="Times New Roman"/>
                      <w:bCs/>
                      <w:color w:val="auto"/>
                      <w:szCs w:val="21"/>
                    </w:rPr>
                  </w:pPr>
                </w:p>
              </w:tc>
            </w:tr>
            <w:tr w14:paraId="35812A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9" w:type="dxa"/>
                  <w:noWrap w:val="0"/>
                  <w:vAlign w:val="center"/>
                </w:tcPr>
                <w:p w14:paraId="1A224DEF">
                  <w:pPr>
                    <w:jc w:val="center"/>
                    <w:rPr>
                      <w:rFonts w:hint="default"/>
                      <w:color w:val="auto"/>
                      <w:szCs w:val="21"/>
                      <w:lang w:val="en-US" w:eastAsia="zh-CN"/>
                    </w:rPr>
                  </w:pPr>
                  <w:r>
                    <w:rPr>
                      <w:rFonts w:hint="eastAsia"/>
                      <w:color w:val="auto"/>
                      <w:szCs w:val="21"/>
                      <w:lang w:val="en-US" w:eastAsia="zh-CN"/>
                    </w:rPr>
                    <w:t>8</w:t>
                  </w:r>
                </w:p>
              </w:tc>
              <w:tc>
                <w:tcPr>
                  <w:tcW w:w="1933" w:type="dxa"/>
                  <w:shd w:val="clear" w:color="auto" w:fill="auto"/>
                  <w:noWrap w:val="0"/>
                  <w:vAlign w:val="center"/>
                </w:tcPr>
                <w:p w14:paraId="7BF3F865">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废含油抹布</w:t>
                  </w:r>
                </w:p>
              </w:tc>
              <w:tc>
                <w:tcPr>
                  <w:tcW w:w="2127" w:type="dxa"/>
                  <w:shd w:val="clear" w:color="auto" w:fill="auto"/>
                  <w:noWrap w:val="0"/>
                  <w:vAlign w:val="center"/>
                </w:tcPr>
                <w:p w14:paraId="0C2C579C">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0.005</w:t>
                  </w:r>
                </w:p>
              </w:tc>
              <w:tc>
                <w:tcPr>
                  <w:tcW w:w="1396" w:type="dxa"/>
                  <w:noWrap w:val="0"/>
                  <w:vAlign w:val="center"/>
                </w:tcPr>
                <w:p w14:paraId="4A871871">
                  <w:pPr>
                    <w:adjustRightInd w:val="0"/>
                    <w:snapToGrid w:val="0"/>
                    <w:jc w:val="center"/>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100</w:t>
                  </w:r>
                </w:p>
              </w:tc>
              <w:tc>
                <w:tcPr>
                  <w:tcW w:w="1951" w:type="dxa"/>
                  <w:vMerge w:val="continue"/>
                  <w:noWrap w:val="0"/>
                  <w:vAlign w:val="center"/>
                </w:tcPr>
                <w:p w14:paraId="6856CE8A">
                  <w:pPr>
                    <w:adjustRightInd w:val="0"/>
                    <w:snapToGrid w:val="0"/>
                    <w:jc w:val="center"/>
                    <w:rPr>
                      <w:rFonts w:ascii="Times New Roman" w:hAnsi="Times New Roman" w:eastAsia="宋体" w:cs="Times New Roman"/>
                      <w:bCs/>
                      <w:color w:val="auto"/>
                      <w:szCs w:val="21"/>
                    </w:rPr>
                  </w:pPr>
                </w:p>
              </w:tc>
            </w:tr>
            <w:tr w14:paraId="4D1F6A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9" w:type="dxa"/>
                  <w:noWrap w:val="0"/>
                  <w:vAlign w:val="center"/>
                </w:tcPr>
                <w:p w14:paraId="27635E4C">
                  <w:pPr>
                    <w:jc w:val="center"/>
                    <w:rPr>
                      <w:rFonts w:hint="default"/>
                      <w:color w:val="auto"/>
                      <w:szCs w:val="21"/>
                      <w:lang w:val="en-US" w:eastAsia="zh-CN"/>
                    </w:rPr>
                  </w:pPr>
                  <w:r>
                    <w:rPr>
                      <w:rFonts w:hint="eastAsia"/>
                      <w:color w:val="auto"/>
                      <w:szCs w:val="21"/>
                      <w:lang w:val="en-US" w:eastAsia="zh-CN"/>
                    </w:rPr>
                    <w:t>9</w:t>
                  </w:r>
                </w:p>
              </w:tc>
              <w:tc>
                <w:tcPr>
                  <w:tcW w:w="1933" w:type="dxa"/>
                  <w:shd w:val="clear" w:color="auto" w:fill="auto"/>
                  <w:noWrap w:val="0"/>
                  <w:vAlign w:val="center"/>
                </w:tcPr>
                <w:p w14:paraId="5B39E69F">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废活性炭</w:t>
                  </w:r>
                </w:p>
              </w:tc>
              <w:tc>
                <w:tcPr>
                  <w:tcW w:w="2127" w:type="dxa"/>
                  <w:shd w:val="clear" w:color="auto" w:fill="auto"/>
                  <w:noWrap w:val="0"/>
                  <w:vAlign w:val="center"/>
                </w:tcPr>
                <w:p w14:paraId="472C4C50">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0.79</w:t>
                  </w:r>
                </w:p>
              </w:tc>
              <w:tc>
                <w:tcPr>
                  <w:tcW w:w="1396" w:type="dxa"/>
                  <w:noWrap w:val="0"/>
                  <w:vAlign w:val="center"/>
                </w:tcPr>
                <w:p w14:paraId="4481B1D6">
                  <w:pPr>
                    <w:adjustRightInd w:val="0"/>
                    <w:snapToGrid w:val="0"/>
                    <w:jc w:val="center"/>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100</w:t>
                  </w:r>
                </w:p>
              </w:tc>
              <w:tc>
                <w:tcPr>
                  <w:tcW w:w="1951" w:type="dxa"/>
                  <w:vMerge w:val="continue"/>
                  <w:noWrap w:val="0"/>
                  <w:vAlign w:val="center"/>
                </w:tcPr>
                <w:p w14:paraId="3C459E78">
                  <w:pPr>
                    <w:adjustRightInd w:val="0"/>
                    <w:snapToGrid w:val="0"/>
                    <w:jc w:val="center"/>
                    <w:rPr>
                      <w:rFonts w:ascii="Times New Roman" w:hAnsi="Times New Roman" w:eastAsia="宋体" w:cs="Times New Roman"/>
                      <w:bCs/>
                      <w:color w:val="auto"/>
                      <w:szCs w:val="21"/>
                    </w:rPr>
                  </w:pPr>
                </w:p>
              </w:tc>
            </w:tr>
            <w:tr w14:paraId="3D5A42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55" w:type="dxa"/>
                  <w:gridSpan w:val="4"/>
                  <w:noWrap w:val="0"/>
                  <w:vAlign w:val="center"/>
                </w:tcPr>
                <w:p w14:paraId="3958184F">
                  <w:pPr>
                    <w:adjustRightInd w:val="0"/>
                    <w:snapToGrid w:val="0"/>
                    <w:jc w:val="center"/>
                    <w:rPr>
                      <w:bCs/>
                      <w:color w:val="auto"/>
                      <w:szCs w:val="21"/>
                    </w:rPr>
                  </w:pPr>
                  <w:r>
                    <w:rPr>
                      <w:bCs/>
                      <w:color w:val="auto"/>
                      <w:szCs w:val="21"/>
                    </w:rPr>
                    <w:t>项目Q值∑</w:t>
                  </w:r>
                </w:p>
              </w:tc>
              <w:tc>
                <w:tcPr>
                  <w:tcW w:w="1951" w:type="dxa"/>
                  <w:noWrap w:val="0"/>
                  <w:vAlign w:val="center"/>
                </w:tcPr>
                <w:p w14:paraId="3EA818DE">
                  <w:pPr>
                    <w:jc w:val="center"/>
                    <w:rPr>
                      <w:rFonts w:hint="default" w:eastAsia="宋体"/>
                      <w:color w:val="auto"/>
                      <w:szCs w:val="21"/>
                      <w:lang w:val="en-US" w:eastAsia="zh-CN"/>
                    </w:rPr>
                  </w:pPr>
                  <w:r>
                    <w:rPr>
                      <w:rFonts w:hint="eastAsia" w:ascii="Times New Roman" w:hAnsi="Times New Roman" w:eastAsia="宋体" w:cs="Times New Roman"/>
                      <w:bCs/>
                      <w:color w:val="auto"/>
                      <w:szCs w:val="21"/>
                      <w:lang w:val="en-US" w:eastAsia="zh-CN"/>
                    </w:rPr>
                    <w:t>0.0</w:t>
                  </w:r>
                  <w:r>
                    <w:rPr>
                      <w:rFonts w:hint="eastAsia" w:cs="Times New Roman"/>
                      <w:bCs/>
                      <w:color w:val="auto"/>
                      <w:szCs w:val="21"/>
                      <w:lang w:val="en-US" w:eastAsia="zh-CN"/>
                    </w:rPr>
                    <w:t>7916</w:t>
                  </w:r>
                </w:p>
              </w:tc>
            </w:tr>
          </w:tbl>
          <w:p w14:paraId="33016863">
            <w:pPr>
              <w:pStyle w:val="10"/>
              <w:spacing w:beforeLines="50" w:line="360" w:lineRule="auto"/>
              <w:ind w:firstLine="420" w:firstLineChars="200"/>
              <w:rPr>
                <w:rFonts w:hint="eastAsia" w:eastAsia="宋体"/>
                <w:color w:val="auto"/>
                <w:sz w:val="21"/>
                <w:szCs w:val="21"/>
                <w:lang w:val="en-US" w:eastAsia="zh-CN"/>
              </w:rPr>
            </w:pPr>
            <w:r>
              <w:rPr>
                <w:color w:val="auto"/>
                <w:sz w:val="21"/>
                <w:szCs w:val="21"/>
              </w:rPr>
              <w:t>由上表可知</w:t>
            </w:r>
            <w:r>
              <w:rPr>
                <w:bCs/>
                <w:color w:val="auto"/>
                <w:sz w:val="21"/>
                <w:szCs w:val="21"/>
              </w:rPr>
              <w:t>Q＜1，风险物质存储量未超过临界量，本项目不需要做环境风险专项</w:t>
            </w:r>
            <w:r>
              <w:rPr>
                <w:rFonts w:hint="eastAsia"/>
                <w:bCs/>
                <w:color w:val="auto"/>
                <w:sz w:val="21"/>
                <w:szCs w:val="21"/>
                <w:lang w:eastAsia="zh-CN"/>
              </w:rPr>
              <w:t>。</w:t>
            </w:r>
          </w:p>
          <w:p w14:paraId="487B3249">
            <w:pPr>
              <w:pStyle w:val="10"/>
              <w:spacing w:before="0" w:line="360" w:lineRule="auto"/>
              <w:ind w:firstLine="422" w:firstLineChars="200"/>
              <w:rPr>
                <w:b/>
                <w:bCs/>
                <w:color w:val="auto"/>
                <w:sz w:val="21"/>
                <w:szCs w:val="21"/>
              </w:rPr>
            </w:pPr>
            <w:r>
              <w:rPr>
                <w:rFonts w:hint="eastAsia"/>
                <w:b/>
                <w:bCs/>
                <w:color w:val="auto"/>
                <w:sz w:val="21"/>
                <w:szCs w:val="21"/>
              </w:rPr>
              <w:t>（3）</w:t>
            </w:r>
            <w:r>
              <w:rPr>
                <w:b/>
                <w:bCs/>
                <w:color w:val="auto"/>
                <w:sz w:val="21"/>
                <w:szCs w:val="21"/>
              </w:rPr>
              <w:t>评价等级判定</w:t>
            </w:r>
          </w:p>
          <w:p w14:paraId="3D540267">
            <w:pPr>
              <w:spacing w:line="360" w:lineRule="auto"/>
              <w:ind w:firstLine="420" w:firstLineChars="200"/>
              <w:rPr>
                <w:color w:val="auto"/>
                <w:szCs w:val="21"/>
              </w:rPr>
            </w:pPr>
            <w:r>
              <w:rPr>
                <w:color w:val="auto"/>
                <w:szCs w:val="21"/>
              </w:rPr>
              <w:t>根据</w:t>
            </w:r>
            <w:r>
              <w:rPr>
                <w:bCs/>
                <w:color w:val="auto"/>
                <w:szCs w:val="21"/>
              </w:rPr>
              <w:t>《建设项目环境风险评价技术导则》（HJ/T169-2018），全厂环境风险潜势为Ⅰ，</w:t>
            </w:r>
            <w:r>
              <w:rPr>
                <w:color w:val="auto"/>
                <w:szCs w:val="21"/>
              </w:rPr>
              <w:t>评价等级为简单分析。</w:t>
            </w:r>
          </w:p>
          <w:p w14:paraId="7F14CD8D">
            <w:pPr>
              <w:jc w:val="center"/>
              <w:rPr>
                <w:b/>
                <w:color w:val="auto"/>
                <w:szCs w:val="21"/>
              </w:rPr>
            </w:pPr>
            <w:r>
              <w:rPr>
                <w:b/>
                <w:color w:val="auto"/>
                <w:szCs w:val="21"/>
              </w:rPr>
              <w:t>表4</w:t>
            </w:r>
            <w:r>
              <w:rPr>
                <w:rFonts w:hint="eastAsia"/>
                <w:b/>
                <w:color w:val="auto"/>
                <w:szCs w:val="21"/>
                <w:lang w:val="en-US" w:eastAsia="zh-CN"/>
              </w:rPr>
              <w:t>-31</w:t>
            </w:r>
            <w:r>
              <w:rPr>
                <w:b/>
                <w:color w:val="auto"/>
                <w:szCs w:val="21"/>
              </w:rPr>
              <w:t xml:space="preserve"> 风险评价工作等级划分</w:t>
            </w:r>
          </w:p>
          <w:tbl>
            <w:tblPr>
              <w:tblStyle w:val="28"/>
              <w:tblW w:w="5000"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2777"/>
              <w:gridCol w:w="1368"/>
              <w:gridCol w:w="1287"/>
              <w:gridCol w:w="1394"/>
              <w:gridCol w:w="1554"/>
            </w:tblGrid>
            <w:tr w14:paraId="42A4E77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657" w:type="pct"/>
                  <w:noWrap w:val="0"/>
                  <w:vAlign w:val="center"/>
                </w:tcPr>
                <w:p w14:paraId="2160FF87">
                  <w:pPr>
                    <w:jc w:val="center"/>
                    <w:rPr>
                      <w:b/>
                      <w:color w:val="auto"/>
                      <w:szCs w:val="21"/>
                    </w:rPr>
                  </w:pPr>
                  <w:r>
                    <w:rPr>
                      <w:b/>
                      <w:color w:val="auto"/>
                      <w:szCs w:val="21"/>
                    </w:rPr>
                    <w:t>环境风险潜势</w:t>
                  </w:r>
                </w:p>
              </w:tc>
              <w:tc>
                <w:tcPr>
                  <w:tcW w:w="816" w:type="pct"/>
                  <w:noWrap w:val="0"/>
                  <w:vAlign w:val="center"/>
                </w:tcPr>
                <w:p w14:paraId="03A7610E">
                  <w:pPr>
                    <w:jc w:val="center"/>
                    <w:rPr>
                      <w:b/>
                      <w:color w:val="auto"/>
                      <w:szCs w:val="21"/>
                    </w:rPr>
                  </w:pPr>
                  <w:r>
                    <w:rPr>
                      <w:b/>
                      <w:color w:val="auto"/>
                      <w:szCs w:val="21"/>
                    </w:rPr>
                    <w:t>Ⅳ、Ⅳ</w:t>
                  </w:r>
                  <w:r>
                    <w:rPr>
                      <w:b/>
                      <w:color w:val="auto"/>
                      <w:szCs w:val="21"/>
                      <w:vertAlign w:val="superscript"/>
                    </w:rPr>
                    <w:t>+</w:t>
                  </w:r>
                </w:p>
              </w:tc>
              <w:tc>
                <w:tcPr>
                  <w:tcW w:w="768" w:type="pct"/>
                  <w:noWrap w:val="0"/>
                  <w:vAlign w:val="center"/>
                </w:tcPr>
                <w:p w14:paraId="767D8866">
                  <w:pPr>
                    <w:jc w:val="center"/>
                    <w:rPr>
                      <w:b/>
                      <w:color w:val="auto"/>
                      <w:szCs w:val="21"/>
                    </w:rPr>
                  </w:pPr>
                  <w:r>
                    <w:rPr>
                      <w:b/>
                      <w:color w:val="auto"/>
                      <w:szCs w:val="21"/>
                    </w:rPr>
                    <w:t>Ⅲ</w:t>
                  </w:r>
                </w:p>
              </w:tc>
              <w:tc>
                <w:tcPr>
                  <w:tcW w:w="832" w:type="pct"/>
                  <w:noWrap w:val="0"/>
                  <w:vAlign w:val="center"/>
                </w:tcPr>
                <w:p w14:paraId="624CBFA9">
                  <w:pPr>
                    <w:jc w:val="center"/>
                    <w:rPr>
                      <w:b/>
                      <w:color w:val="auto"/>
                      <w:szCs w:val="21"/>
                    </w:rPr>
                  </w:pPr>
                  <w:r>
                    <w:rPr>
                      <w:b/>
                      <w:color w:val="auto"/>
                      <w:szCs w:val="21"/>
                    </w:rPr>
                    <w:t>Ⅱ</w:t>
                  </w:r>
                </w:p>
              </w:tc>
              <w:tc>
                <w:tcPr>
                  <w:tcW w:w="927" w:type="pct"/>
                  <w:noWrap w:val="0"/>
                  <w:vAlign w:val="center"/>
                </w:tcPr>
                <w:p w14:paraId="46C293B7">
                  <w:pPr>
                    <w:jc w:val="center"/>
                    <w:rPr>
                      <w:b/>
                      <w:color w:val="auto"/>
                      <w:szCs w:val="21"/>
                    </w:rPr>
                  </w:pPr>
                  <w:r>
                    <w:rPr>
                      <w:b/>
                      <w:color w:val="auto"/>
                      <w:szCs w:val="21"/>
                    </w:rPr>
                    <w:t>Ⅰ</w:t>
                  </w:r>
                </w:p>
              </w:tc>
            </w:tr>
            <w:tr w14:paraId="4FF4A80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657" w:type="pct"/>
                  <w:shd w:val="clear" w:color="auto" w:fill="auto"/>
                  <w:noWrap w:val="0"/>
                  <w:vAlign w:val="center"/>
                </w:tcPr>
                <w:p w14:paraId="2A68723C">
                  <w:pPr>
                    <w:jc w:val="center"/>
                    <w:rPr>
                      <w:color w:val="auto"/>
                      <w:szCs w:val="21"/>
                    </w:rPr>
                  </w:pPr>
                  <w:r>
                    <w:rPr>
                      <w:color w:val="auto"/>
                      <w:szCs w:val="21"/>
                    </w:rPr>
                    <w:t>评价工作等级</w:t>
                  </w:r>
                </w:p>
              </w:tc>
              <w:tc>
                <w:tcPr>
                  <w:tcW w:w="816" w:type="pct"/>
                  <w:shd w:val="clear" w:color="auto" w:fill="auto"/>
                  <w:noWrap w:val="0"/>
                  <w:vAlign w:val="center"/>
                </w:tcPr>
                <w:p w14:paraId="23E7C497">
                  <w:pPr>
                    <w:jc w:val="center"/>
                    <w:rPr>
                      <w:color w:val="auto"/>
                      <w:szCs w:val="21"/>
                    </w:rPr>
                  </w:pPr>
                  <w:r>
                    <w:rPr>
                      <w:color w:val="auto"/>
                      <w:szCs w:val="21"/>
                    </w:rPr>
                    <w:t>一</w:t>
                  </w:r>
                </w:p>
              </w:tc>
              <w:tc>
                <w:tcPr>
                  <w:tcW w:w="768" w:type="pct"/>
                  <w:shd w:val="clear" w:color="auto" w:fill="auto"/>
                  <w:noWrap w:val="0"/>
                  <w:vAlign w:val="center"/>
                </w:tcPr>
                <w:p w14:paraId="7C6740CF">
                  <w:pPr>
                    <w:jc w:val="center"/>
                    <w:rPr>
                      <w:color w:val="auto"/>
                      <w:szCs w:val="21"/>
                    </w:rPr>
                  </w:pPr>
                  <w:r>
                    <w:rPr>
                      <w:color w:val="auto"/>
                      <w:szCs w:val="21"/>
                    </w:rPr>
                    <w:t>二</w:t>
                  </w:r>
                </w:p>
              </w:tc>
              <w:tc>
                <w:tcPr>
                  <w:tcW w:w="832" w:type="pct"/>
                  <w:shd w:val="clear" w:color="auto" w:fill="auto"/>
                  <w:noWrap w:val="0"/>
                  <w:vAlign w:val="center"/>
                </w:tcPr>
                <w:p w14:paraId="50B95068">
                  <w:pPr>
                    <w:jc w:val="center"/>
                    <w:rPr>
                      <w:color w:val="auto"/>
                      <w:szCs w:val="21"/>
                    </w:rPr>
                  </w:pPr>
                  <w:r>
                    <w:rPr>
                      <w:color w:val="auto"/>
                      <w:szCs w:val="21"/>
                    </w:rPr>
                    <w:t>三</w:t>
                  </w:r>
                </w:p>
              </w:tc>
              <w:tc>
                <w:tcPr>
                  <w:tcW w:w="927" w:type="pct"/>
                  <w:shd w:val="clear" w:color="auto" w:fill="FFC000"/>
                  <w:noWrap w:val="0"/>
                  <w:vAlign w:val="center"/>
                </w:tcPr>
                <w:p w14:paraId="4EF88553">
                  <w:pPr>
                    <w:jc w:val="center"/>
                    <w:rPr>
                      <w:color w:val="auto"/>
                      <w:szCs w:val="21"/>
                    </w:rPr>
                  </w:pPr>
                  <w:r>
                    <w:rPr>
                      <w:color w:val="auto"/>
                      <w:szCs w:val="21"/>
                    </w:rPr>
                    <w:t>简单分析</w:t>
                  </w:r>
                  <w:r>
                    <w:rPr>
                      <w:color w:val="auto"/>
                      <w:szCs w:val="21"/>
                      <w:vertAlign w:val="superscript"/>
                    </w:rPr>
                    <w:t>a</w:t>
                  </w:r>
                </w:p>
              </w:tc>
            </w:tr>
            <w:tr w14:paraId="747E0E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5000" w:type="pct"/>
                  <w:gridSpan w:val="5"/>
                  <w:noWrap w:val="0"/>
                  <w:vAlign w:val="center"/>
                </w:tcPr>
                <w:p w14:paraId="293B755B">
                  <w:pPr>
                    <w:rPr>
                      <w:color w:val="auto"/>
                      <w:szCs w:val="21"/>
                    </w:rPr>
                  </w:pPr>
                  <w:r>
                    <w:rPr>
                      <w:color w:val="auto"/>
                      <w:szCs w:val="21"/>
                    </w:rPr>
                    <w:t>a是对于详细评价工作内容而言，在描述危险物质、环境影响途径、环境危害后果、风险防范措施等方面给出定性的说明。见附录A。</w:t>
                  </w:r>
                </w:p>
              </w:tc>
            </w:tr>
          </w:tbl>
          <w:p w14:paraId="59089754">
            <w:pPr>
              <w:spacing w:before="120" w:beforeLines="50" w:line="360" w:lineRule="auto"/>
              <w:ind w:firstLine="422" w:firstLineChars="200"/>
              <w:rPr>
                <w:b/>
                <w:color w:val="auto"/>
                <w:szCs w:val="21"/>
              </w:rPr>
            </w:pPr>
            <w:r>
              <w:rPr>
                <w:rFonts w:hint="eastAsia"/>
                <w:b/>
                <w:color w:val="auto"/>
                <w:szCs w:val="21"/>
              </w:rPr>
              <w:t>2</w:t>
            </w:r>
            <w:r>
              <w:rPr>
                <w:b/>
                <w:color w:val="auto"/>
                <w:szCs w:val="21"/>
              </w:rPr>
              <w:t>、环境风险防范措施及应急要求</w:t>
            </w:r>
          </w:p>
          <w:p w14:paraId="741557E7">
            <w:pPr>
              <w:spacing w:line="360" w:lineRule="auto"/>
              <w:ind w:firstLine="420" w:firstLineChars="200"/>
              <w:rPr>
                <w:bCs/>
                <w:color w:val="auto"/>
                <w:szCs w:val="21"/>
              </w:rPr>
            </w:pPr>
            <w:r>
              <w:rPr>
                <w:bCs/>
                <w:color w:val="auto"/>
                <w:szCs w:val="21"/>
              </w:rPr>
              <w:t>（1）应急组织机构</w:t>
            </w:r>
          </w:p>
          <w:p w14:paraId="76BFCF3F">
            <w:pPr>
              <w:spacing w:line="360" w:lineRule="auto"/>
              <w:ind w:firstLine="420" w:firstLineChars="200"/>
              <w:rPr>
                <w:bCs/>
                <w:color w:val="auto"/>
                <w:szCs w:val="21"/>
              </w:rPr>
            </w:pPr>
            <w:r>
              <w:rPr>
                <w:bCs/>
                <w:color w:val="auto"/>
                <w:szCs w:val="21"/>
              </w:rPr>
              <w:t>目前</w:t>
            </w:r>
            <w:r>
              <w:rPr>
                <w:rFonts w:hint="eastAsia"/>
                <w:color w:val="auto"/>
                <w:szCs w:val="21"/>
              </w:rPr>
              <w:t>建设单位</w:t>
            </w:r>
            <w:r>
              <w:rPr>
                <w:bCs/>
                <w:color w:val="auto"/>
                <w:szCs w:val="21"/>
              </w:rPr>
              <w:t>已成立突发环境应急事件应急指挥部和专项应急小组，统一负责可能发生突发环境事件的应急处置工作。依据突发环境事故危害程度的级别设置分级应急救援组织机构，由各部门领导组成，下设应急救援办公室、日常工作由生产部门兼管。发生重大事故时，以指挥领导小组为基础，立即成立突发环境事件应急救援指挥部，由总监任总指挥，负责全厂应急救援工作的组织和指挥。</w:t>
            </w:r>
          </w:p>
          <w:p w14:paraId="04537C7A">
            <w:pPr>
              <w:spacing w:line="360" w:lineRule="auto"/>
              <w:jc w:val="center"/>
              <w:rPr>
                <w:bCs/>
                <w:color w:val="auto"/>
                <w:szCs w:val="21"/>
              </w:rPr>
            </w:pPr>
            <w:r>
              <w:rPr>
                <w:bCs/>
                <w:color w:val="auto"/>
                <w:szCs w:val="21"/>
              </w:rPr>
              <w:drawing>
                <wp:inline distT="0" distB="0" distL="114300" distR="114300">
                  <wp:extent cx="3150235" cy="975995"/>
                  <wp:effectExtent l="0" t="0" r="12065" b="14605"/>
                  <wp:docPr id="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1"/>
                          <pic:cNvPicPr>
                            <a:picLocks noChangeAspect="1"/>
                          </pic:cNvPicPr>
                        </pic:nvPicPr>
                        <pic:blipFill>
                          <a:blip r:embed="rId26"/>
                          <a:stretch>
                            <a:fillRect/>
                          </a:stretch>
                        </pic:blipFill>
                        <pic:spPr>
                          <a:xfrm>
                            <a:off x="0" y="0"/>
                            <a:ext cx="3150235" cy="975995"/>
                          </a:xfrm>
                          <a:prstGeom prst="rect">
                            <a:avLst/>
                          </a:prstGeom>
                          <a:noFill/>
                          <a:ln>
                            <a:noFill/>
                          </a:ln>
                        </pic:spPr>
                      </pic:pic>
                    </a:graphicData>
                  </a:graphic>
                </wp:inline>
              </w:drawing>
            </w:r>
          </w:p>
          <w:p w14:paraId="1061F534">
            <w:pPr>
              <w:jc w:val="center"/>
              <w:rPr>
                <w:b/>
                <w:color w:val="auto"/>
                <w:szCs w:val="21"/>
              </w:rPr>
            </w:pPr>
            <w:r>
              <w:rPr>
                <w:rFonts w:hint="eastAsia"/>
                <w:b/>
                <w:color w:val="auto"/>
                <w:szCs w:val="21"/>
              </w:rPr>
              <w:t xml:space="preserve">图4-3 </w:t>
            </w:r>
            <w:r>
              <w:rPr>
                <w:b/>
                <w:color w:val="auto"/>
                <w:szCs w:val="21"/>
              </w:rPr>
              <w:t>组织机构体系示意图</w:t>
            </w:r>
          </w:p>
          <w:p w14:paraId="0C683A0F">
            <w:pPr>
              <w:spacing w:line="360" w:lineRule="auto"/>
              <w:ind w:firstLine="420" w:firstLineChars="200"/>
              <w:rPr>
                <w:bCs/>
                <w:color w:val="auto"/>
                <w:szCs w:val="21"/>
              </w:rPr>
            </w:pPr>
            <w:r>
              <w:rPr>
                <w:bCs/>
                <w:color w:val="auto"/>
                <w:szCs w:val="21"/>
              </w:rPr>
              <w:t>（2）环境风险防范措施</w:t>
            </w:r>
          </w:p>
          <w:p w14:paraId="61B9696F">
            <w:pPr>
              <w:spacing w:line="360" w:lineRule="auto"/>
              <w:ind w:firstLine="420" w:firstLineChars="200"/>
              <w:rPr>
                <w:bCs/>
                <w:color w:val="auto"/>
                <w:szCs w:val="21"/>
              </w:rPr>
            </w:pPr>
            <w:r>
              <w:rPr>
                <w:bCs/>
                <w:color w:val="auto"/>
                <w:szCs w:val="21"/>
              </w:rPr>
              <w:t>①物料储运安全防范措施</w:t>
            </w:r>
          </w:p>
          <w:p w14:paraId="76C89A59">
            <w:pPr>
              <w:spacing w:line="360" w:lineRule="auto"/>
              <w:ind w:firstLine="420" w:firstLineChars="200"/>
              <w:rPr>
                <w:bCs/>
                <w:color w:val="auto"/>
                <w:szCs w:val="21"/>
              </w:rPr>
            </w:pPr>
            <w:r>
              <w:rPr>
                <w:bCs/>
                <w:color w:val="auto"/>
                <w:szCs w:val="21"/>
              </w:rPr>
              <w:t>包装过程要求包装材料与危险物相适应、包装封口与危险物相适应；包装标志执行《危险货物包装标志》</w:t>
            </w:r>
            <w:r>
              <w:rPr>
                <w:rFonts w:hint="eastAsia"/>
                <w:bCs/>
                <w:color w:val="auto"/>
                <w:szCs w:val="21"/>
              </w:rPr>
              <w:t>（</w:t>
            </w:r>
            <w:r>
              <w:rPr>
                <w:bCs/>
                <w:color w:val="auto"/>
                <w:szCs w:val="21"/>
              </w:rPr>
              <w:t>GB190-2009</w:t>
            </w:r>
            <w:r>
              <w:rPr>
                <w:rFonts w:hint="eastAsia"/>
                <w:bCs/>
                <w:color w:val="auto"/>
                <w:szCs w:val="21"/>
              </w:rPr>
              <w:t>）</w:t>
            </w:r>
            <w:r>
              <w:rPr>
                <w:bCs/>
                <w:color w:val="auto"/>
                <w:szCs w:val="21"/>
              </w:rPr>
              <w:t>和《危险货物运输图示标志》</w:t>
            </w:r>
            <w:r>
              <w:rPr>
                <w:rFonts w:hint="eastAsia"/>
                <w:bCs/>
                <w:color w:val="auto"/>
                <w:szCs w:val="21"/>
              </w:rPr>
              <w:t>（</w:t>
            </w:r>
            <w:r>
              <w:rPr>
                <w:bCs/>
                <w:color w:val="auto"/>
                <w:szCs w:val="21"/>
              </w:rPr>
              <w:t>GB191-2008</w:t>
            </w:r>
            <w:r>
              <w:rPr>
                <w:rFonts w:hint="eastAsia"/>
                <w:bCs/>
                <w:color w:val="auto"/>
                <w:szCs w:val="21"/>
              </w:rPr>
              <w:t>）</w:t>
            </w:r>
            <w:r>
              <w:rPr>
                <w:bCs/>
                <w:color w:val="auto"/>
                <w:szCs w:val="21"/>
              </w:rPr>
              <w:t>。运输过程应执行《危险货物运输包装通用技术条件》</w:t>
            </w:r>
            <w:r>
              <w:rPr>
                <w:rFonts w:hint="eastAsia"/>
                <w:bCs/>
                <w:color w:val="auto"/>
                <w:szCs w:val="21"/>
              </w:rPr>
              <w:t>（</w:t>
            </w:r>
            <w:r>
              <w:rPr>
                <w:bCs/>
                <w:color w:val="auto"/>
                <w:szCs w:val="21"/>
              </w:rPr>
              <w:t>GB12465-2009</w:t>
            </w:r>
            <w:r>
              <w:rPr>
                <w:rFonts w:hint="eastAsia"/>
                <w:bCs/>
                <w:color w:val="auto"/>
                <w:szCs w:val="21"/>
              </w:rPr>
              <w:t>）</w:t>
            </w:r>
            <w:r>
              <w:rPr>
                <w:bCs/>
                <w:color w:val="auto"/>
                <w:szCs w:val="21"/>
              </w:rPr>
              <w:t>和各种运输方式的《危险货物运输规则》。装卸过程要求防震、防撞、防倾斜；断火源、禁火种；通风和降温。</w:t>
            </w:r>
          </w:p>
          <w:p w14:paraId="7CDE8DCA">
            <w:pPr>
              <w:spacing w:line="360" w:lineRule="auto"/>
              <w:ind w:firstLine="420" w:firstLineChars="200"/>
              <w:rPr>
                <w:bCs/>
                <w:color w:val="auto"/>
                <w:szCs w:val="21"/>
              </w:rPr>
            </w:pPr>
            <w:r>
              <w:rPr>
                <w:bCs/>
                <w:color w:val="auto"/>
                <w:szCs w:val="21"/>
              </w:rPr>
              <w:t>②物料储存、泄漏事故的防范措施</w:t>
            </w:r>
          </w:p>
          <w:p w14:paraId="5901D0BC">
            <w:pPr>
              <w:spacing w:line="360" w:lineRule="auto"/>
              <w:ind w:firstLine="420" w:firstLineChars="200"/>
              <w:rPr>
                <w:bCs/>
                <w:color w:val="auto"/>
                <w:szCs w:val="21"/>
              </w:rPr>
            </w:pPr>
            <w:r>
              <w:rPr>
                <w:bCs/>
                <w:color w:val="auto"/>
                <w:szCs w:val="21"/>
              </w:rPr>
              <w:t>仓库设置防止物料泄漏流失和扩散到环境的设施，以及收集系统，严禁吸烟，并按规定设置安全警示标志。原料包装必须严密，保持库房内干燥通风、密封避光，安装通风设施，夏季高温时应采取如喷淋降温、遮阳和防高温隔绝涂料等措施。装卸、搬运时应做到轻装、轻卸，严禁摔、碰、撞、击、拖拉、倾倒和滚动。操作人员应根据物品危险性，穿戴相应的防护用品。作业中不得饮食，不得用手擦嘴、脸、眼睛。每次作业完毕，应及时用肥皂（或专用洗涤剂）洗净面部、手部，用清水漱口，防护用具应及时清洗，集中存放。装卸作业结束后，应当对库区进行检查，确认安全后，方可离开。通过加强管理，提高员工的安全意识，可降低发生泄漏的概率。</w:t>
            </w:r>
          </w:p>
          <w:p w14:paraId="7FF5D8CE">
            <w:pPr>
              <w:spacing w:line="360" w:lineRule="auto"/>
              <w:ind w:firstLine="420" w:firstLineChars="200"/>
              <w:rPr>
                <w:bCs/>
                <w:color w:val="auto"/>
                <w:szCs w:val="21"/>
              </w:rPr>
            </w:pPr>
            <w:r>
              <w:rPr>
                <w:bCs/>
                <w:color w:val="auto"/>
                <w:szCs w:val="21"/>
              </w:rPr>
              <w:t>③火灾爆炸事故的防范措施</w:t>
            </w:r>
          </w:p>
          <w:p w14:paraId="271C6D4A">
            <w:pPr>
              <w:spacing w:line="360" w:lineRule="auto"/>
              <w:ind w:firstLine="420" w:firstLineChars="200"/>
              <w:rPr>
                <w:bCs/>
                <w:color w:val="auto"/>
                <w:szCs w:val="21"/>
              </w:rPr>
            </w:pPr>
            <w:r>
              <w:rPr>
                <w:bCs/>
                <w:color w:val="auto"/>
                <w:szCs w:val="21"/>
              </w:rPr>
              <w:t>按照《建筑设计防火规范》</w:t>
            </w:r>
            <w:r>
              <w:rPr>
                <w:rFonts w:hint="eastAsia"/>
                <w:bCs/>
                <w:color w:val="auto"/>
                <w:szCs w:val="21"/>
              </w:rPr>
              <w:t>（GB50016-2014，2018年版）</w:t>
            </w:r>
            <w:r>
              <w:rPr>
                <w:bCs/>
                <w:color w:val="auto"/>
                <w:szCs w:val="21"/>
              </w:rPr>
              <w:t>等标准的要求建设生产厂房，设置防火间距、平面布置等。定期对设备进行安全检测，检测内容、时间、人员应有记录保存。安全检测根据设备的安全性、危险性设定检测频次。设备检修过程中，要严格按照操作规程进行，防止火灾事故的发生。加强火源的管理，严禁烟火带入，对设备需进行维修焊接，经安全部门确认、准许，并有记录。机动车在厂内行驶，须安装阻火器，必要设备安装防火装置。要有完善的安全消防措施。各重点部位需设置灭火器，并且对其作定期检查。</w:t>
            </w:r>
          </w:p>
          <w:p w14:paraId="0CBC3547">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本次评估依据《事故状态下水体污染的预防与控制</w:t>
            </w:r>
            <w:r>
              <w:rPr>
                <w:rFonts w:hint="default" w:ascii="Times New Roman" w:hAnsi="Times New Roman" w:eastAsia="宋体" w:cs="Times New Roman"/>
                <w:color w:val="auto"/>
                <w:sz w:val="21"/>
                <w:szCs w:val="21"/>
                <w:highlight w:val="none"/>
                <w:lang w:val="en-US" w:eastAsia="zh-CN"/>
              </w:rPr>
              <w:t>规范</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Q</w:t>
            </w:r>
            <w:r>
              <w:rPr>
                <w:rFonts w:hint="default" w:ascii="Times New Roman" w:hAnsi="Times New Roman" w:eastAsia="宋体" w:cs="Times New Roman"/>
                <w:color w:val="auto"/>
                <w:sz w:val="21"/>
                <w:szCs w:val="21"/>
                <w:highlight w:val="none"/>
              </w:rPr>
              <w:t>/SY</w:t>
            </w:r>
            <w:r>
              <w:rPr>
                <w:rFonts w:hint="default" w:ascii="Times New Roman" w:hAnsi="Times New Roman" w:eastAsia="宋体" w:cs="Times New Roman"/>
                <w:color w:val="auto"/>
                <w:sz w:val="21"/>
                <w:szCs w:val="21"/>
                <w:highlight w:val="none"/>
                <w:lang w:val="en-US" w:eastAsia="zh-CN"/>
              </w:rPr>
              <w:t>08190</w:t>
            </w:r>
            <w:r>
              <w:rPr>
                <w:rFonts w:hint="default" w:ascii="Times New Roman" w:hAnsi="Times New Roman" w:eastAsia="宋体" w:cs="Times New Roman"/>
                <w:color w:val="auto"/>
                <w:sz w:val="21"/>
                <w:szCs w:val="21"/>
                <w:highlight w:val="none"/>
              </w:rPr>
              <w:t>-201</w:t>
            </w:r>
            <w:r>
              <w:rPr>
                <w:rFonts w:hint="default" w:ascii="Times New Roman" w:hAnsi="Times New Roman" w:eastAsia="宋体"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）计算事故排水量，包括事故时最大泄漏量、消防水量、生产废水量。事故水池容积确定拟参照</w:t>
            </w:r>
            <w:r>
              <w:rPr>
                <w:rFonts w:hint="default" w:ascii="Times New Roman" w:hAnsi="Times New Roman" w:eastAsia="宋体" w:cs="Times New Roman"/>
                <w:color w:val="auto"/>
                <w:sz w:val="21"/>
                <w:szCs w:val="21"/>
                <w:highlight w:val="none"/>
                <w:lang w:val="en-US" w:eastAsia="zh-CN"/>
              </w:rPr>
              <w:t>Q</w:t>
            </w:r>
            <w:r>
              <w:rPr>
                <w:rFonts w:hint="default" w:ascii="Times New Roman" w:hAnsi="Times New Roman" w:eastAsia="宋体" w:cs="Times New Roman"/>
                <w:color w:val="auto"/>
                <w:sz w:val="21"/>
                <w:szCs w:val="21"/>
                <w:highlight w:val="none"/>
              </w:rPr>
              <w:t>/SY</w:t>
            </w:r>
            <w:r>
              <w:rPr>
                <w:rFonts w:hint="default" w:ascii="Times New Roman" w:hAnsi="Times New Roman" w:eastAsia="宋体" w:cs="Times New Roman"/>
                <w:color w:val="auto"/>
                <w:sz w:val="21"/>
                <w:szCs w:val="21"/>
                <w:highlight w:val="none"/>
                <w:lang w:val="en-US" w:eastAsia="zh-CN"/>
              </w:rPr>
              <w:t>08190</w:t>
            </w:r>
            <w:r>
              <w:rPr>
                <w:rFonts w:hint="default" w:ascii="Times New Roman" w:hAnsi="Times New Roman" w:eastAsia="宋体" w:cs="Times New Roman"/>
                <w:color w:val="auto"/>
                <w:sz w:val="21"/>
                <w:szCs w:val="21"/>
                <w:highlight w:val="none"/>
              </w:rPr>
              <w:t>-201</w:t>
            </w:r>
            <w:r>
              <w:rPr>
                <w:rFonts w:hint="default" w:ascii="Times New Roman" w:hAnsi="Times New Roman" w:eastAsia="宋体"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确定，计算公式如下：</w:t>
            </w:r>
          </w:p>
          <w:p w14:paraId="35A76B17">
            <w:pPr>
              <w:keepNext w:val="0"/>
              <w:keepLines w:val="0"/>
              <w:pageBreakBefore w:val="0"/>
              <w:widowControl w:val="0"/>
              <w:kinsoku/>
              <w:wordWrap/>
              <w:overflowPunct/>
              <w:topLinePunct w:val="0"/>
              <w:bidi w:val="0"/>
              <w:adjustRightInd w:val="0"/>
              <w:snapToGrid w:val="0"/>
              <w:spacing w:line="360" w:lineRule="auto"/>
              <w:ind w:firstLine="420" w:firstLineChars="200"/>
              <w:jc w:val="both"/>
              <w:textAlignment w:val="auto"/>
              <w:rPr>
                <w:rFonts w:hint="default" w:ascii="Times New Roman" w:hAnsi="Times New Roman" w:eastAsia="宋体" w:cs="Times New Roman"/>
                <w:color w:val="auto"/>
                <w:sz w:val="21"/>
                <w:szCs w:val="21"/>
                <w:highlight w:val="none"/>
                <w:vertAlign w:val="subscript"/>
              </w:rPr>
            </w:pP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rPr>
              <w:t>总</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rPr>
              <w:t>1</w:t>
            </w: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vertAlign w:val="subscript"/>
              </w:rPr>
              <w:t>max</w:t>
            </w: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rPr>
              <w:t>4</w:t>
            </w: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rPr>
              <w:t>5</w:t>
            </w:r>
          </w:p>
          <w:p w14:paraId="7EFBB047">
            <w:pPr>
              <w:keepNext w:val="0"/>
              <w:keepLines w:val="0"/>
              <w:pageBreakBefore w:val="0"/>
              <w:widowControl w:val="0"/>
              <w:kinsoku/>
              <w:wordWrap/>
              <w:overflowPunct/>
              <w:topLinePunct w:val="0"/>
              <w:bidi w:val="0"/>
              <w:adjustRightInd w:val="0"/>
              <w:snapToGrid w:val="0"/>
              <w:spacing w:line="360" w:lineRule="auto"/>
              <w:ind w:firstLine="420" w:firstLineChars="200"/>
              <w:jc w:val="both"/>
              <w:textAlignment w:val="auto"/>
              <w:rPr>
                <w:rFonts w:hint="default" w:ascii="Times New Roman" w:hAnsi="Times New Roman" w:eastAsia="宋体" w:cs="Times New Roman"/>
                <w:color w:val="auto"/>
                <w:kern w:val="2"/>
                <w:sz w:val="21"/>
                <w:szCs w:val="21"/>
                <w:highlight w:val="none"/>
                <w:vertAlign w:val="subscript"/>
                <w:lang w:val="en-US" w:eastAsia="zh-CN" w:bidi="ar-SA"/>
              </w:rPr>
            </w:pPr>
            <w:r>
              <w:rPr>
                <w:rFonts w:hint="default" w:ascii="Times New Roman" w:hAnsi="Times New Roman" w:eastAsia="宋体" w:cs="Times New Roman"/>
                <w:color w:val="auto"/>
                <w:kern w:val="2"/>
                <w:sz w:val="21"/>
                <w:szCs w:val="21"/>
                <w:highlight w:val="none"/>
                <w:lang w:val="en-US" w:eastAsia="zh-CN" w:bidi="ar-SA"/>
              </w:rPr>
              <w:t>V</w:t>
            </w:r>
            <w:r>
              <w:rPr>
                <w:rFonts w:hint="default" w:ascii="Times New Roman" w:hAnsi="Times New Roman" w:eastAsia="宋体" w:cs="Times New Roman"/>
                <w:color w:val="auto"/>
                <w:kern w:val="2"/>
                <w:sz w:val="21"/>
                <w:szCs w:val="21"/>
                <w:highlight w:val="none"/>
                <w:vertAlign w:val="subscript"/>
                <w:lang w:val="en-US" w:eastAsia="zh-CN" w:bidi="ar-SA"/>
              </w:rPr>
              <w:t>2</w:t>
            </w:r>
            <w:r>
              <w:rPr>
                <w:rFonts w:hint="default" w:ascii="Times New Roman" w:hAnsi="Times New Roman" w:eastAsia="宋体" w:cs="Times New Roman"/>
                <w:color w:val="auto"/>
                <w:kern w:val="2"/>
                <w:sz w:val="21"/>
                <w:szCs w:val="21"/>
                <w:highlight w:val="none"/>
                <w:lang w:val="en-US" w:eastAsia="zh-CN" w:bidi="ar-SA"/>
              </w:rPr>
              <w:t>=∑Q</w:t>
            </w:r>
            <w:r>
              <w:rPr>
                <w:rFonts w:hint="default" w:ascii="Times New Roman" w:hAnsi="Times New Roman" w:eastAsia="宋体" w:cs="Times New Roman"/>
                <w:color w:val="auto"/>
                <w:kern w:val="2"/>
                <w:sz w:val="21"/>
                <w:szCs w:val="21"/>
                <w:highlight w:val="none"/>
                <w:vertAlign w:val="subscript"/>
                <w:lang w:val="en-US" w:eastAsia="zh-CN" w:bidi="ar-SA"/>
              </w:rPr>
              <w:t>消</w:t>
            </w:r>
            <w:r>
              <w:rPr>
                <w:rFonts w:hint="default" w:ascii="Times New Roman" w:hAnsi="Times New Roman" w:eastAsia="宋体" w:cs="Times New Roman"/>
                <w:color w:val="auto"/>
                <w:kern w:val="2"/>
                <w:sz w:val="21"/>
                <w:szCs w:val="21"/>
                <w:highlight w:val="none"/>
                <w:lang w:val="en-US" w:eastAsia="zh-CN" w:bidi="ar-SA"/>
              </w:rPr>
              <w:t>×t</w:t>
            </w:r>
            <w:r>
              <w:rPr>
                <w:rFonts w:hint="default" w:ascii="Times New Roman" w:hAnsi="Times New Roman" w:eastAsia="宋体" w:cs="Times New Roman"/>
                <w:color w:val="auto"/>
                <w:kern w:val="2"/>
                <w:sz w:val="21"/>
                <w:szCs w:val="21"/>
                <w:highlight w:val="none"/>
                <w:vertAlign w:val="subscript"/>
                <w:lang w:val="en-US" w:eastAsia="zh-CN" w:bidi="ar-SA"/>
              </w:rPr>
              <w:t>消</w:t>
            </w:r>
          </w:p>
          <w:p w14:paraId="6B49C611">
            <w:pPr>
              <w:keepNext w:val="0"/>
              <w:keepLines w:val="0"/>
              <w:pageBreakBefore w:val="0"/>
              <w:widowControl w:val="0"/>
              <w:kinsoku/>
              <w:wordWrap/>
              <w:overflowPunct/>
              <w:topLinePunct w:val="0"/>
              <w:bidi w:val="0"/>
              <w:adjustRightInd w:val="0"/>
              <w:snapToGrid w:val="0"/>
              <w:spacing w:line="360" w:lineRule="auto"/>
              <w:ind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V</w:t>
            </w:r>
            <w:r>
              <w:rPr>
                <w:rFonts w:hint="default" w:ascii="Times New Roman" w:hAnsi="Times New Roman" w:eastAsia="宋体" w:cs="Times New Roman"/>
                <w:color w:val="auto"/>
                <w:sz w:val="21"/>
                <w:szCs w:val="21"/>
                <w:highlight w:val="none"/>
                <w:vertAlign w:val="subscript"/>
                <w:lang w:val="en-US" w:eastAsia="zh-CN"/>
              </w:rPr>
              <w:t>5</w:t>
            </w:r>
            <w:r>
              <w:rPr>
                <w:rFonts w:hint="default" w:ascii="Times New Roman" w:hAnsi="Times New Roman" w:eastAsia="宋体" w:cs="Times New Roman"/>
                <w:color w:val="auto"/>
                <w:sz w:val="21"/>
                <w:szCs w:val="21"/>
                <w:highlight w:val="none"/>
                <w:lang w:val="en-US" w:eastAsia="zh-CN"/>
              </w:rPr>
              <w:t>=10qf</w:t>
            </w:r>
          </w:p>
          <w:p w14:paraId="3F14DDD7">
            <w:pPr>
              <w:pStyle w:val="95"/>
              <w:keepNext w:val="0"/>
              <w:keepLines w:val="0"/>
              <w:pageBreakBefore w:val="0"/>
              <w:kinsoku/>
              <w:wordWrap/>
              <w:overflowPunct/>
              <w:topLinePunct w:val="0"/>
              <w:bidi w:val="0"/>
              <w:adjustRightInd w:val="0"/>
              <w:snapToGrid w:val="0"/>
              <w:spacing w:line="360" w:lineRule="auto"/>
              <w:ind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q=q</w:t>
            </w:r>
            <w:r>
              <w:rPr>
                <w:rFonts w:hint="default" w:ascii="Times New Roman" w:hAnsi="Times New Roman" w:eastAsia="宋体" w:cs="Times New Roman"/>
                <w:color w:val="auto"/>
                <w:sz w:val="21"/>
                <w:szCs w:val="21"/>
                <w:highlight w:val="none"/>
                <w:vertAlign w:val="subscript"/>
              </w:rPr>
              <w:t>a</w:t>
            </w:r>
            <w:r>
              <w:rPr>
                <w:rFonts w:hint="default" w:ascii="Times New Roman" w:hAnsi="Times New Roman" w:eastAsia="宋体" w:cs="Times New Roman"/>
                <w:color w:val="auto"/>
                <w:sz w:val="21"/>
                <w:szCs w:val="21"/>
                <w:highlight w:val="none"/>
              </w:rPr>
              <w:t>/n</w:t>
            </w:r>
          </w:p>
          <w:p w14:paraId="665F8A72">
            <w:pPr>
              <w:keepNext w:val="0"/>
              <w:keepLines w:val="0"/>
              <w:pageBreakBefore w:val="0"/>
              <w:kinsoku/>
              <w:wordWrap/>
              <w:overflowPunct/>
              <w:topLinePunct w:val="0"/>
              <w:bidi w:val="0"/>
              <w:adjustRightInd w:val="0"/>
              <w:snapToGrid w:val="0"/>
              <w:spacing w:line="360" w:lineRule="auto"/>
              <w:ind w:left="0" w:leftChars="0" w:right="0" w:rightChars="0" w:firstLine="420" w:firstLineChars="200"/>
              <w:jc w:val="both"/>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式中V</w:t>
            </w:r>
            <w:r>
              <w:rPr>
                <w:rFonts w:hint="default" w:ascii="Times New Roman" w:hAnsi="Times New Roman" w:eastAsia="宋体" w:cs="Times New Roman"/>
                <w:color w:val="auto"/>
                <w:sz w:val="21"/>
                <w:szCs w:val="21"/>
                <w:highlight w:val="none"/>
                <w:vertAlign w:val="subscript"/>
              </w:rPr>
              <w:t>总</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事故缓冲设施总有效容积，单位为立方</w:t>
            </w:r>
            <w:r>
              <w:rPr>
                <w:rFonts w:hint="default" w:ascii="Times New Roman" w:hAnsi="Times New Roman" w:eastAsia="宋体" w:cs="Times New Roman"/>
                <w:color w:val="auto"/>
                <w:sz w:val="21"/>
                <w:szCs w:val="21"/>
                <w:highlight w:val="none"/>
                <w:lang w:val="en-US" w:eastAsia="zh-CN"/>
              </w:rPr>
              <w:t>米</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w:t>
            </w:r>
          </w:p>
          <w:p w14:paraId="2A39978D">
            <w:pPr>
              <w:pStyle w:val="96"/>
              <w:keepNext w:val="0"/>
              <w:keepLines w:val="0"/>
              <w:pageBreakBefore w:val="0"/>
              <w:widowControl/>
              <w:kinsoku/>
              <w:wordWrap/>
              <w:overflowPunct/>
              <w:topLinePunct w:val="0"/>
              <w:autoSpaceDE w:val="0"/>
              <w:autoSpaceDN w:val="0"/>
              <w:bidi w:val="0"/>
              <w:adjustRightInd w:val="0"/>
              <w:snapToGrid w:val="0"/>
              <w:spacing w:line="360" w:lineRule="auto"/>
              <w:ind w:left="0" w:leftChars="0" w:right="0" w:rightChars="0" w:firstLine="420" w:firstLineChars="200"/>
              <w:jc w:val="both"/>
              <w:textAlignment w:val="baseline"/>
              <w:rPr>
                <w:rFonts w:hint="default" w:ascii="Times New Roman" w:hAnsi="Times New Roman" w:eastAsia="宋体" w:cs="Times New Roman"/>
                <w:color w:val="auto"/>
                <w:sz w:val="21"/>
                <w:szCs w:val="21"/>
                <w:highlight w:val="none"/>
                <w:lang w:val="en-US" w:eastAsia="zh-CN"/>
              </w:rPr>
            </w:pPr>
            <w:r>
              <w:rPr>
                <w:rStyle w:val="97"/>
                <w:rFonts w:hint="default" w:ascii="Times New Roman" w:hAnsi="Times New Roman" w:eastAsia="宋体" w:cs="Times New Roman"/>
                <w:b w:val="0"/>
                <w:color w:val="auto"/>
                <w:sz w:val="21"/>
                <w:szCs w:val="21"/>
              </w:rPr>
              <w:t>V</w:t>
            </w:r>
            <w:r>
              <w:rPr>
                <w:rStyle w:val="97"/>
                <w:rFonts w:hint="default" w:ascii="Times New Roman" w:hAnsi="Times New Roman" w:eastAsia="宋体" w:cs="Times New Roman"/>
                <w:b w:val="0"/>
                <w:color w:val="auto"/>
                <w:sz w:val="21"/>
                <w:szCs w:val="21"/>
                <w:vertAlign w:val="subscript"/>
              </w:rPr>
              <w:t>1</w:t>
            </w:r>
            <w:r>
              <w:rPr>
                <w:rStyle w:val="97"/>
                <w:rFonts w:hint="default" w:ascii="Times New Roman" w:hAnsi="Times New Roman" w:eastAsia="宋体" w:cs="Times New Roman"/>
                <w:b w:val="0"/>
                <w:color w:val="auto"/>
                <w:sz w:val="21"/>
                <w:szCs w:val="21"/>
              </w:rPr>
              <w:t>—收集系统范围内发生事故的一个罐组或一套装置的物料量</w:t>
            </w:r>
            <w:r>
              <w:rPr>
                <w:rStyle w:val="97"/>
                <w:rFonts w:hint="default" w:ascii="Times New Roman" w:hAnsi="Times New Roman" w:eastAsia="宋体" w:cs="Times New Roman"/>
                <w:b w:val="0"/>
                <w:color w:val="auto"/>
                <w:sz w:val="21"/>
                <w:szCs w:val="21"/>
                <w:lang w:eastAsia="zh-CN"/>
              </w:rPr>
              <w:t>，</w:t>
            </w:r>
            <w:r>
              <w:rPr>
                <w:rStyle w:val="97"/>
                <w:rFonts w:hint="default" w:ascii="Times New Roman" w:hAnsi="Times New Roman" w:eastAsia="宋体" w:cs="Times New Roman"/>
                <w:b w:val="0"/>
                <w:color w:val="auto"/>
                <w:sz w:val="21"/>
                <w:szCs w:val="21"/>
                <w:lang w:val="en-US" w:eastAsia="zh-CN"/>
              </w:rPr>
              <w:t>项目最大原料桶装量为0.</w:t>
            </w:r>
            <w:r>
              <w:rPr>
                <w:rStyle w:val="97"/>
                <w:rFonts w:hint="eastAsia" w:eastAsia="宋体" w:cs="Times New Roman"/>
                <w:b w:val="0"/>
                <w:color w:val="auto"/>
                <w:sz w:val="21"/>
                <w:szCs w:val="21"/>
                <w:lang w:val="en-US" w:eastAsia="zh-CN"/>
              </w:rPr>
              <w:t>2</w:t>
            </w:r>
            <w:r>
              <w:rPr>
                <w:rStyle w:val="97"/>
                <w:rFonts w:hint="default" w:ascii="Times New Roman" w:hAnsi="Times New Roman" w:eastAsia="宋体" w:cs="Times New Roman"/>
                <w:b w:val="0"/>
                <w:color w:val="auto"/>
                <w:sz w:val="21"/>
                <w:szCs w:val="21"/>
                <w:lang w:val="en-US" w:eastAsia="zh-CN"/>
              </w:rPr>
              <w:t>m</w:t>
            </w:r>
            <w:r>
              <w:rPr>
                <w:rStyle w:val="97"/>
                <w:rFonts w:hint="default" w:ascii="Times New Roman" w:hAnsi="Times New Roman" w:eastAsia="宋体" w:cs="Times New Roman"/>
                <w:b w:val="0"/>
                <w:color w:val="auto"/>
                <w:sz w:val="21"/>
                <w:szCs w:val="21"/>
                <w:vertAlign w:val="superscript"/>
                <w:lang w:val="en-US" w:eastAsia="zh-CN"/>
              </w:rPr>
              <w:t>3</w:t>
            </w:r>
            <w:r>
              <w:rPr>
                <w:rStyle w:val="97"/>
                <w:rFonts w:hint="default" w:ascii="Times New Roman" w:hAnsi="Times New Roman" w:eastAsia="宋体" w:cs="Times New Roman"/>
                <w:b w:val="0"/>
                <w:color w:val="auto"/>
                <w:sz w:val="21"/>
                <w:szCs w:val="21"/>
                <w:lang w:val="en-US" w:eastAsia="zh-CN"/>
              </w:rPr>
              <w:t>，</w:t>
            </w:r>
            <w:r>
              <w:rPr>
                <w:rFonts w:hint="default" w:ascii="Times New Roman" w:hAnsi="Times New Roman" w:eastAsia="宋体" w:cs="Times New Roman"/>
                <w:b w:val="0"/>
                <w:bCs/>
                <w:color w:val="auto"/>
                <w:sz w:val="21"/>
                <w:szCs w:val="21"/>
                <w:highlight w:val="none"/>
                <w:lang w:val="en-US" w:eastAsia="zh-CN"/>
              </w:rPr>
              <w:t>因此</w:t>
            </w:r>
            <w:r>
              <w:rPr>
                <w:rFonts w:hint="default" w:ascii="Times New Roman" w:hAnsi="Times New Roman" w:eastAsia="宋体" w:cs="Times New Roman"/>
                <w:b/>
                <w:bCs/>
                <w:color w:val="auto"/>
                <w:sz w:val="21"/>
                <w:szCs w:val="21"/>
                <w:highlight w:val="none"/>
                <w:lang w:val="en-US" w:eastAsia="zh-CN"/>
              </w:rPr>
              <w:t>V</w:t>
            </w:r>
            <w:r>
              <w:rPr>
                <w:rFonts w:hint="default" w:ascii="Times New Roman" w:hAnsi="Times New Roman" w:eastAsia="宋体" w:cs="Times New Roman"/>
                <w:b/>
                <w:bCs/>
                <w:color w:val="auto"/>
                <w:sz w:val="21"/>
                <w:szCs w:val="21"/>
                <w:highlight w:val="none"/>
                <w:vertAlign w:val="subscript"/>
                <w:lang w:val="en-US" w:eastAsia="zh-CN"/>
              </w:rPr>
              <w:t>1</w:t>
            </w:r>
            <w:r>
              <w:rPr>
                <w:rFonts w:hint="default" w:ascii="Times New Roman" w:hAnsi="Times New Roman" w:eastAsia="宋体" w:cs="Times New Roman"/>
                <w:b/>
                <w:bCs/>
                <w:color w:val="auto"/>
                <w:sz w:val="21"/>
                <w:szCs w:val="21"/>
                <w:highlight w:val="none"/>
                <w:lang w:val="en-US" w:eastAsia="zh-CN"/>
              </w:rPr>
              <w:t>=0.</w:t>
            </w:r>
            <w:r>
              <w:rPr>
                <w:rFonts w:hint="eastAsia" w:eastAsia="宋体" w:cs="Times New Roman"/>
                <w:b/>
                <w:bCs/>
                <w:color w:val="auto"/>
                <w:sz w:val="21"/>
                <w:szCs w:val="21"/>
                <w:highlight w:val="none"/>
                <w:lang w:val="en-US" w:eastAsia="zh-CN"/>
              </w:rPr>
              <w:t>2</w:t>
            </w:r>
            <w:r>
              <w:rPr>
                <w:rFonts w:hint="default" w:ascii="Times New Roman" w:hAnsi="Times New Roman" w:eastAsia="宋体" w:cs="Times New Roman"/>
                <w:b/>
                <w:bCs/>
                <w:color w:val="auto"/>
                <w:sz w:val="21"/>
                <w:szCs w:val="21"/>
                <w:highlight w:val="none"/>
                <w:lang w:val="en-US" w:eastAsia="zh-CN"/>
              </w:rPr>
              <w:t>m</w:t>
            </w:r>
            <w:r>
              <w:rPr>
                <w:rFonts w:hint="default" w:ascii="Times New Roman" w:hAnsi="Times New Roman" w:eastAsia="宋体" w:cs="Times New Roman"/>
                <w:b/>
                <w:bCs/>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w:t>
            </w:r>
          </w:p>
          <w:p w14:paraId="3FB33E97">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lang w:val="en-US" w:eastAsia="zh-CN"/>
              </w:rPr>
              <w:t>2</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发生事故的储罐、装置或铁路、汽车装卸区的消防水量，单位为立方米（</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w:t>
            </w:r>
          </w:p>
          <w:p w14:paraId="337FBE0B">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bidi="ar-SA"/>
              </w:rPr>
              <w:t>Q</w:t>
            </w:r>
            <w:r>
              <w:rPr>
                <w:rFonts w:hint="default" w:ascii="Times New Roman" w:hAnsi="Times New Roman" w:eastAsia="宋体" w:cs="Times New Roman"/>
                <w:color w:val="auto"/>
                <w:kern w:val="2"/>
                <w:sz w:val="21"/>
                <w:szCs w:val="21"/>
                <w:highlight w:val="none"/>
                <w:vertAlign w:val="subscript"/>
                <w:lang w:val="en-US" w:eastAsia="zh-CN" w:bidi="ar-SA"/>
              </w:rPr>
              <w:t>消</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发生事故的储罐、装置或铁路、汽车装卸区同时使用的消防设施给水流量，单位为立方米每小时（</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/h）；</w:t>
            </w:r>
          </w:p>
          <w:p w14:paraId="47475790">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bidi="ar-SA"/>
              </w:rPr>
              <w:t>t</w:t>
            </w:r>
            <w:r>
              <w:rPr>
                <w:rFonts w:hint="default" w:ascii="Times New Roman" w:hAnsi="Times New Roman" w:eastAsia="宋体" w:cs="Times New Roman"/>
                <w:color w:val="auto"/>
                <w:kern w:val="2"/>
                <w:sz w:val="21"/>
                <w:szCs w:val="21"/>
                <w:highlight w:val="none"/>
                <w:vertAlign w:val="subscript"/>
                <w:lang w:val="en-US" w:eastAsia="zh-CN" w:bidi="ar-SA"/>
              </w:rPr>
              <w:t>消</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消防设施对应的设计消防历时，单位为小时（</w:t>
            </w:r>
            <w:r>
              <w:rPr>
                <w:rFonts w:hint="default" w:ascii="Times New Roman" w:hAnsi="Times New Roman" w:eastAsia="宋体" w:cs="Times New Roman"/>
                <w:color w:val="auto"/>
                <w:sz w:val="21"/>
                <w:szCs w:val="21"/>
                <w:highlight w:val="none"/>
                <w:lang w:val="en-US" w:eastAsia="zh-CN"/>
              </w:rPr>
              <w:t>h）；</w:t>
            </w:r>
          </w:p>
          <w:p w14:paraId="41D89080">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企业</w:t>
            </w:r>
            <w:r>
              <w:rPr>
                <w:rFonts w:hint="default" w:ascii="Times New Roman" w:hAnsi="Times New Roman" w:eastAsia="宋体" w:cs="Times New Roman"/>
                <w:color w:val="auto"/>
                <w:sz w:val="21"/>
                <w:szCs w:val="21"/>
                <w:highlight w:val="none"/>
              </w:rPr>
              <w:t>消防水量按</w:t>
            </w:r>
            <w:r>
              <w:rPr>
                <w:rFonts w:hint="eastAsia" w:ascii="Times New Roman" w:hAnsi="Times New Roman" w:eastAsia="宋体" w:cs="Times New Roman"/>
                <w:color w:val="auto"/>
                <w:sz w:val="21"/>
                <w:szCs w:val="21"/>
                <w:highlight w:val="none"/>
                <w:lang w:val="en-US" w:eastAsia="zh-CN"/>
              </w:rPr>
              <w:t>20</w:t>
            </w:r>
            <w:r>
              <w:rPr>
                <w:rFonts w:hint="default" w:ascii="Times New Roman" w:hAnsi="Times New Roman" w:eastAsia="宋体" w:cs="Times New Roman"/>
                <w:color w:val="auto"/>
                <w:sz w:val="21"/>
                <w:szCs w:val="21"/>
                <w:highlight w:val="none"/>
              </w:rPr>
              <w:t>L/s考虑，根据规范要求，</w:t>
            </w:r>
            <w:r>
              <w:rPr>
                <w:rFonts w:hint="default" w:ascii="Times New Roman" w:hAnsi="Times New Roman" w:eastAsia="宋体" w:cs="Times New Roman"/>
                <w:color w:val="auto"/>
                <w:spacing w:val="0"/>
                <w:kern w:val="0"/>
                <w:position w:val="0"/>
                <w:sz w:val="21"/>
                <w:szCs w:val="21"/>
                <w:lang w:val="en-US" w:eastAsia="zh-CN"/>
              </w:rPr>
              <w:t>火灾持续时间按</w:t>
            </w:r>
            <w:r>
              <w:rPr>
                <w:rFonts w:hint="eastAsia" w:cs="Times New Roman"/>
                <w:color w:val="auto"/>
                <w:spacing w:val="0"/>
                <w:kern w:val="0"/>
                <w:position w:val="0"/>
                <w:sz w:val="21"/>
                <w:szCs w:val="21"/>
                <w:lang w:val="en-US" w:eastAsia="zh-CN"/>
              </w:rPr>
              <w:t>2</w:t>
            </w:r>
            <w:r>
              <w:rPr>
                <w:rFonts w:hint="default" w:ascii="Times New Roman" w:hAnsi="Times New Roman" w:eastAsia="宋体" w:cs="Times New Roman"/>
                <w:color w:val="auto"/>
                <w:spacing w:val="0"/>
                <w:kern w:val="0"/>
                <w:position w:val="0"/>
                <w:sz w:val="21"/>
                <w:szCs w:val="21"/>
                <w:lang w:val="en-US" w:eastAsia="zh-CN"/>
              </w:rPr>
              <w:t>h计</w:t>
            </w:r>
            <w:r>
              <w:rPr>
                <w:rFonts w:hint="default" w:ascii="Times New Roman" w:hAnsi="Times New Roman" w:eastAsia="宋体" w:cs="Times New Roman"/>
                <w:color w:val="auto"/>
                <w:sz w:val="21"/>
                <w:szCs w:val="21"/>
                <w:highlight w:val="none"/>
                <w:lang w:val="en-US" w:eastAsia="zh-CN"/>
              </w:rPr>
              <w:t>，则最大消防用水量为</w:t>
            </w:r>
            <w:r>
              <w:rPr>
                <w:rFonts w:hint="eastAsia" w:cs="Times New Roman"/>
                <w:color w:val="auto"/>
                <w:sz w:val="21"/>
                <w:szCs w:val="21"/>
                <w:highlight w:val="none"/>
                <w:lang w:val="en-US" w:eastAsia="zh-CN"/>
              </w:rPr>
              <w:t>144</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，因此</w:t>
            </w:r>
            <w:r>
              <w:rPr>
                <w:rFonts w:hint="default" w:ascii="Times New Roman" w:hAnsi="Times New Roman" w:eastAsia="宋体" w:cs="Times New Roman"/>
                <w:b/>
                <w:bCs/>
                <w:color w:val="auto"/>
                <w:sz w:val="21"/>
                <w:szCs w:val="21"/>
                <w:highlight w:val="none"/>
                <w:lang w:val="en-US" w:eastAsia="zh-CN"/>
              </w:rPr>
              <w:t>V</w:t>
            </w:r>
            <w:r>
              <w:rPr>
                <w:rFonts w:hint="default" w:ascii="Times New Roman" w:hAnsi="Times New Roman" w:eastAsia="宋体" w:cs="Times New Roman"/>
                <w:b/>
                <w:bCs/>
                <w:color w:val="auto"/>
                <w:sz w:val="21"/>
                <w:szCs w:val="21"/>
                <w:highlight w:val="none"/>
                <w:vertAlign w:val="subscript"/>
                <w:lang w:val="en-US" w:eastAsia="zh-CN"/>
              </w:rPr>
              <w:t>2</w:t>
            </w:r>
            <w:r>
              <w:rPr>
                <w:rFonts w:hint="default" w:ascii="Times New Roman" w:hAnsi="Times New Roman" w:eastAsia="宋体" w:cs="Times New Roman"/>
                <w:b/>
                <w:bCs/>
                <w:color w:val="auto"/>
                <w:sz w:val="21"/>
                <w:szCs w:val="21"/>
                <w:highlight w:val="none"/>
                <w:lang w:val="en-US" w:eastAsia="zh-CN"/>
              </w:rPr>
              <w:t>=</w:t>
            </w:r>
            <w:r>
              <w:rPr>
                <w:rFonts w:hint="eastAsia" w:cs="Times New Roman"/>
                <w:b/>
                <w:bCs/>
                <w:color w:val="auto"/>
                <w:sz w:val="21"/>
                <w:szCs w:val="21"/>
                <w:highlight w:val="none"/>
                <w:lang w:val="en-US" w:eastAsia="zh-CN"/>
              </w:rPr>
              <w:t>144</w:t>
            </w:r>
            <w:r>
              <w:rPr>
                <w:rFonts w:hint="default" w:ascii="Times New Roman" w:hAnsi="Times New Roman" w:eastAsia="宋体" w:cs="Times New Roman"/>
                <w:b/>
                <w:bCs/>
                <w:color w:val="auto"/>
                <w:sz w:val="21"/>
                <w:szCs w:val="21"/>
                <w:highlight w:val="none"/>
                <w:lang w:val="en-US" w:eastAsia="zh-CN"/>
              </w:rPr>
              <w:t>m</w:t>
            </w:r>
            <w:r>
              <w:rPr>
                <w:rFonts w:hint="default" w:ascii="Times New Roman" w:hAnsi="Times New Roman" w:eastAsia="宋体" w:cs="Times New Roman"/>
                <w:b/>
                <w:bCs/>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w:t>
            </w:r>
          </w:p>
          <w:p w14:paraId="420C61D0">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lang w:val="en-US" w:eastAsia="zh-CN"/>
              </w:rPr>
              <w:t>3</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发生事故时可以转输到其他储存或处理设施的物料量，单位为立方米（</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w:t>
            </w:r>
          </w:p>
          <w:p w14:paraId="457CDE70">
            <w:pPr>
              <w:pStyle w:val="96"/>
              <w:keepNext w:val="0"/>
              <w:keepLines w:val="0"/>
              <w:pageBreakBefore w:val="0"/>
              <w:kinsoku/>
              <w:wordWrap/>
              <w:overflowPunct/>
              <w:topLinePunct w:val="0"/>
              <w:bidi w:val="0"/>
              <w:adjustRightInd w:val="0"/>
              <w:snapToGrid w:val="0"/>
              <w:spacing w:line="360" w:lineRule="auto"/>
              <w:ind w:left="0" w:leftChars="0" w:right="0" w:rightChars="0" w:firstLine="420" w:firstLineChars="200"/>
              <w:jc w:val="both"/>
              <w:rPr>
                <w:rStyle w:val="97"/>
                <w:rFonts w:hint="default" w:ascii="Times New Roman" w:hAnsi="Times New Roman" w:eastAsia="宋体" w:cs="Times New Roman"/>
                <w:b w:val="0"/>
                <w:color w:val="auto"/>
                <w:sz w:val="21"/>
                <w:szCs w:val="21"/>
                <w:lang w:eastAsia="zh-CN"/>
              </w:rPr>
            </w:pPr>
            <w:r>
              <w:rPr>
                <w:rStyle w:val="97"/>
                <w:rFonts w:hint="default" w:ascii="Times New Roman" w:hAnsi="Times New Roman" w:eastAsia="宋体" w:cs="Times New Roman"/>
                <w:b w:val="0"/>
                <w:color w:val="auto"/>
                <w:sz w:val="21"/>
                <w:szCs w:val="21"/>
              </w:rPr>
              <w:t>企业发生事故时，</w:t>
            </w:r>
            <w:r>
              <w:rPr>
                <w:rStyle w:val="97"/>
                <w:rFonts w:hint="default" w:ascii="Times New Roman" w:hAnsi="Times New Roman" w:eastAsia="宋体" w:cs="Times New Roman"/>
                <w:b w:val="0"/>
                <w:color w:val="auto"/>
                <w:sz w:val="21"/>
                <w:szCs w:val="21"/>
                <w:lang w:eastAsia="zh-CN"/>
              </w:rPr>
              <w:t>消防尾水</w:t>
            </w:r>
            <w:r>
              <w:rPr>
                <w:rStyle w:val="97"/>
                <w:rFonts w:hint="default" w:ascii="Times New Roman" w:hAnsi="Times New Roman" w:eastAsia="宋体" w:cs="Times New Roman"/>
                <w:b w:val="0"/>
                <w:color w:val="auto"/>
                <w:sz w:val="21"/>
                <w:szCs w:val="21"/>
              </w:rPr>
              <w:t>部分进入雨水管道，雨水排口的阀门处于关闭状态，雨水（事故）应急池阀门处于开启状态，将事故性废水收集至应急事故池，</w:t>
            </w:r>
            <w:r>
              <w:rPr>
                <w:rStyle w:val="97"/>
                <w:rFonts w:hint="default" w:ascii="Times New Roman" w:hAnsi="Times New Roman" w:eastAsia="宋体" w:cs="Times New Roman"/>
                <w:b w:val="0"/>
                <w:color w:val="auto"/>
                <w:sz w:val="21"/>
                <w:szCs w:val="21"/>
                <w:lang w:val="en-US" w:eastAsia="zh-CN"/>
              </w:rPr>
              <w:t>厂区</w:t>
            </w:r>
            <w:r>
              <w:rPr>
                <w:rStyle w:val="97"/>
                <w:rFonts w:hint="default" w:ascii="Times New Roman" w:hAnsi="Times New Roman" w:eastAsia="宋体" w:cs="Times New Roman"/>
                <w:b w:val="0"/>
                <w:color w:val="auto"/>
                <w:sz w:val="21"/>
                <w:szCs w:val="21"/>
              </w:rPr>
              <w:t>雨水管道容积约为V=3.14*</w:t>
            </w:r>
            <w:r>
              <w:rPr>
                <w:rStyle w:val="97"/>
                <w:rFonts w:hint="default" w:ascii="Times New Roman" w:hAnsi="Times New Roman" w:eastAsia="宋体" w:cs="Times New Roman"/>
                <w:b w:val="0"/>
                <w:color w:val="auto"/>
                <w:sz w:val="21"/>
                <w:szCs w:val="21"/>
                <w:lang w:val="en-US" w:eastAsia="zh-CN"/>
              </w:rPr>
              <w:t>0.</w:t>
            </w:r>
            <w:r>
              <w:rPr>
                <w:rStyle w:val="97"/>
                <w:rFonts w:hint="eastAsia" w:eastAsia="宋体" w:cs="Times New Roman"/>
                <w:b w:val="0"/>
                <w:color w:val="auto"/>
                <w:sz w:val="21"/>
                <w:szCs w:val="21"/>
                <w:lang w:val="en-US" w:eastAsia="zh-CN"/>
              </w:rPr>
              <w:t>15</w:t>
            </w:r>
            <w:r>
              <w:rPr>
                <w:rStyle w:val="97"/>
                <w:rFonts w:hint="default" w:ascii="Times New Roman" w:hAnsi="Times New Roman" w:eastAsia="宋体" w:cs="Times New Roman"/>
                <w:b w:val="0"/>
                <w:color w:val="auto"/>
                <w:sz w:val="21"/>
                <w:szCs w:val="21"/>
              </w:rPr>
              <w:t>*0.</w:t>
            </w:r>
            <w:r>
              <w:rPr>
                <w:rStyle w:val="97"/>
                <w:rFonts w:hint="eastAsia" w:eastAsia="宋体" w:cs="Times New Roman"/>
                <w:b w:val="0"/>
                <w:color w:val="auto"/>
                <w:sz w:val="21"/>
                <w:szCs w:val="21"/>
                <w:lang w:val="en-US" w:eastAsia="zh-CN"/>
              </w:rPr>
              <w:t>15</w:t>
            </w:r>
            <w:r>
              <w:rPr>
                <w:rStyle w:val="97"/>
                <w:rFonts w:hint="default" w:ascii="Times New Roman" w:hAnsi="Times New Roman" w:eastAsia="宋体" w:cs="Times New Roman"/>
                <w:b w:val="0"/>
                <w:color w:val="auto"/>
                <w:sz w:val="21"/>
                <w:szCs w:val="21"/>
              </w:rPr>
              <w:t>*</w:t>
            </w:r>
            <w:r>
              <w:rPr>
                <w:rStyle w:val="97"/>
                <w:rFonts w:hint="eastAsia" w:eastAsia="宋体" w:cs="Times New Roman"/>
                <w:b w:val="0"/>
                <w:color w:val="auto"/>
                <w:sz w:val="21"/>
                <w:szCs w:val="21"/>
                <w:lang w:val="en-US" w:eastAsia="zh-CN"/>
              </w:rPr>
              <w:t>8</w:t>
            </w:r>
            <w:r>
              <w:rPr>
                <w:rStyle w:val="97"/>
                <w:rFonts w:hint="default" w:ascii="Times New Roman" w:hAnsi="Times New Roman" w:eastAsia="宋体" w:cs="Times New Roman"/>
                <w:b w:val="0"/>
                <w:color w:val="auto"/>
                <w:sz w:val="21"/>
                <w:szCs w:val="21"/>
                <w:lang w:val="en-US" w:eastAsia="zh-CN"/>
              </w:rPr>
              <w:t>00</w:t>
            </w:r>
            <w:r>
              <w:rPr>
                <w:rStyle w:val="97"/>
                <w:rFonts w:hint="default" w:ascii="Times New Roman" w:hAnsi="Times New Roman" w:eastAsia="宋体" w:cs="Times New Roman"/>
                <w:b w:val="0"/>
                <w:color w:val="auto"/>
                <w:sz w:val="21"/>
                <w:szCs w:val="21"/>
              </w:rPr>
              <w:t>=</w:t>
            </w:r>
            <w:r>
              <w:rPr>
                <w:rStyle w:val="97"/>
                <w:rFonts w:hint="eastAsia" w:eastAsia="宋体" w:cs="Times New Roman"/>
                <w:b w:val="0"/>
                <w:color w:val="auto"/>
                <w:sz w:val="21"/>
                <w:szCs w:val="21"/>
                <w:lang w:val="en-US" w:eastAsia="zh-CN"/>
              </w:rPr>
              <w:t>56.52</w:t>
            </w:r>
            <w:r>
              <w:rPr>
                <w:rStyle w:val="97"/>
                <w:rFonts w:hint="default" w:ascii="Times New Roman" w:hAnsi="Times New Roman" w:eastAsia="宋体" w:cs="Times New Roman"/>
                <w:b w:val="0"/>
                <w:color w:val="auto"/>
                <w:sz w:val="21"/>
                <w:szCs w:val="21"/>
              </w:rPr>
              <w:t>m</w:t>
            </w:r>
            <w:r>
              <w:rPr>
                <w:rStyle w:val="97"/>
                <w:rFonts w:hint="default" w:ascii="Times New Roman" w:hAnsi="Times New Roman" w:eastAsia="宋体" w:cs="Times New Roman"/>
                <w:b w:val="0"/>
                <w:color w:val="auto"/>
                <w:sz w:val="21"/>
                <w:szCs w:val="21"/>
                <w:vertAlign w:val="superscript"/>
              </w:rPr>
              <w:t>3</w:t>
            </w:r>
            <w:r>
              <w:rPr>
                <w:rStyle w:val="97"/>
                <w:rFonts w:hint="default" w:ascii="Times New Roman" w:hAnsi="Times New Roman" w:eastAsia="宋体" w:cs="Times New Roman"/>
                <w:b w:val="0"/>
                <w:color w:val="auto"/>
                <w:sz w:val="21"/>
                <w:szCs w:val="21"/>
              </w:rPr>
              <w:t>，故</w:t>
            </w:r>
            <w:r>
              <w:rPr>
                <w:rStyle w:val="97"/>
                <w:rFonts w:hint="default" w:ascii="Times New Roman" w:hAnsi="Times New Roman" w:eastAsia="宋体" w:cs="Times New Roman"/>
                <w:b/>
                <w:bCs/>
                <w:color w:val="auto"/>
                <w:sz w:val="21"/>
                <w:szCs w:val="21"/>
              </w:rPr>
              <w:t>V</w:t>
            </w:r>
            <w:r>
              <w:rPr>
                <w:rStyle w:val="97"/>
                <w:rFonts w:hint="default" w:ascii="Times New Roman" w:hAnsi="Times New Roman" w:eastAsia="宋体" w:cs="Times New Roman"/>
                <w:b/>
                <w:bCs/>
                <w:color w:val="auto"/>
                <w:sz w:val="21"/>
                <w:szCs w:val="21"/>
                <w:vertAlign w:val="subscript"/>
              </w:rPr>
              <w:t>3</w:t>
            </w:r>
            <w:r>
              <w:rPr>
                <w:rStyle w:val="97"/>
                <w:rFonts w:hint="default" w:ascii="Times New Roman" w:hAnsi="Times New Roman" w:eastAsia="宋体" w:cs="Times New Roman"/>
                <w:b/>
                <w:bCs/>
                <w:color w:val="auto"/>
                <w:sz w:val="21"/>
                <w:szCs w:val="21"/>
              </w:rPr>
              <w:t>=</w:t>
            </w:r>
            <w:r>
              <w:rPr>
                <w:rStyle w:val="97"/>
                <w:rFonts w:hint="eastAsia" w:eastAsia="宋体" w:cs="Times New Roman"/>
                <w:b w:val="0"/>
                <w:color w:val="auto"/>
                <w:sz w:val="21"/>
                <w:szCs w:val="21"/>
                <w:lang w:val="en-US" w:eastAsia="zh-CN"/>
              </w:rPr>
              <w:t>56.52</w:t>
            </w:r>
            <w:r>
              <w:rPr>
                <w:rStyle w:val="97"/>
                <w:rFonts w:hint="default" w:ascii="Times New Roman" w:hAnsi="Times New Roman" w:eastAsia="宋体" w:cs="Times New Roman"/>
                <w:b/>
                <w:bCs/>
                <w:color w:val="auto"/>
                <w:sz w:val="21"/>
                <w:szCs w:val="21"/>
              </w:rPr>
              <w:t>m</w:t>
            </w:r>
            <w:r>
              <w:rPr>
                <w:rStyle w:val="97"/>
                <w:rFonts w:hint="default" w:ascii="Times New Roman" w:hAnsi="Times New Roman" w:eastAsia="宋体" w:cs="Times New Roman"/>
                <w:b/>
                <w:bCs/>
                <w:color w:val="auto"/>
                <w:sz w:val="21"/>
                <w:szCs w:val="21"/>
                <w:vertAlign w:val="superscript"/>
              </w:rPr>
              <w:t>3</w:t>
            </w:r>
            <w:r>
              <w:rPr>
                <w:rStyle w:val="97"/>
                <w:rFonts w:hint="default" w:ascii="Times New Roman" w:hAnsi="Times New Roman" w:eastAsia="宋体" w:cs="Times New Roman"/>
                <w:b w:val="0"/>
                <w:color w:val="auto"/>
                <w:sz w:val="21"/>
                <w:szCs w:val="21"/>
              </w:rPr>
              <w:t>(雨水管网直径</w:t>
            </w:r>
            <w:r>
              <w:rPr>
                <w:rStyle w:val="97"/>
                <w:rFonts w:hint="default" w:ascii="Times New Roman" w:hAnsi="Times New Roman" w:eastAsia="宋体" w:cs="Times New Roman"/>
                <w:b w:val="0"/>
                <w:color w:val="auto"/>
                <w:sz w:val="21"/>
                <w:szCs w:val="21"/>
                <w:lang w:val="en-US" w:eastAsia="zh-CN"/>
              </w:rPr>
              <w:t>平均0.</w:t>
            </w:r>
            <w:r>
              <w:rPr>
                <w:rStyle w:val="97"/>
                <w:rFonts w:hint="eastAsia" w:eastAsia="宋体" w:cs="Times New Roman"/>
                <w:b w:val="0"/>
                <w:color w:val="auto"/>
                <w:sz w:val="21"/>
                <w:szCs w:val="21"/>
                <w:lang w:val="en-US" w:eastAsia="zh-CN"/>
              </w:rPr>
              <w:t>3</w:t>
            </w:r>
            <w:r>
              <w:rPr>
                <w:rStyle w:val="97"/>
                <w:rFonts w:hint="default" w:ascii="Times New Roman" w:hAnsi="Times New Roman" w:eastAsia="宋体" w:cs="Times New Roman"/>
                <w:b w:val="0"/>
                <w:color w:val="auto"/>
                <w:sz w:val="21"/>
                <w:szCs w:val="21"/>
              </w:rPr>
              <w:t>m</w:t>
            </w:r>
            <w:r>
              <w:rPr>
                <w:rStyle w:val="97"/>
                <w:rFonts w:hint="default" w:ascii="Times New Roman" w:hAnsi="Times New Roman" w:eastAsia="宋体" w:cs="Times New Roman"/>
                <w:b w:val="0"/>
                <w:color w:val="auto"/>
                <w:sz w:val="21"/>
                <w:szCs w:val="21"/>
                <w:lang w:eastAsia="zh-CN"/>
              </w:rPr>
              <w:t>，</w:t>
            </w:r>
            <w:r>
              <w:rPr>
                <w:rStyle w:val="97"/>
                <w:rFonts w:hint="default" w:ascii="Times New Roman" w:hAnsi="Times New Roman" w:eastAsia="宋体" w:cs="Times New Roman"/>
                <w:b w:val="0"/>
                <w:color w:val="auto"/>
                <w:sz w:val="21"/>
                <w:szCs w:val="21"/>
              </w:rPr>
              <w:t>总长度约</w:t>
            </w:r>
            <w:r>
              <w:rPr>
                <w:rStyle w:val="97"/>
                <w:rFonts w:hint="eastAsia" w:eastAsia="宋体" w:cs="Times New Roman"/>
                <w:b w:val="0"/>
                <w:color w:val="auto"/>
                <w:sz w:val="21"/>
                <w:szCs w:val="21"/>
                <w:lang w:val="en-US" w:eastAsia="zh-CN"/>
              </w:rPr>
              <w:t>8</w:t>
            </w:r>
            <w:r>
              <w:rPr>
                <w:rStyle w:val="97"/>
                <w:rFonts w:hint="default" w:ascii="Times New Roman" w:hAnsi="Times New Roman" w:eastAsia="宋体" w:cs="Times New Roman"/>
                <w:b w:val="0"/>
                <w:color w:val="auto"/>
                <w:sz w:val="21"/>
                <w:szCs w:val="21"/>
                <w:lang w:val="en-US" w:eastAsia="zh-CN"/>
              </w:rPr>
              <w:t>00</w:t>
            </w:r>
            <w:r>
              <w:rPr>
                <w:rStyle w:val="97"/>
                <w:rFonts w:hint="default" w:ascii="Times New Roman" w:hAnsi="Times New Roman" w:eastAsia="宋体" w:cs="Times New Roman"/>
                <w:b w:val="0"/>
                <w:color w:val="auto"/>
                <w:sz w:val="21"/>
                <w:szCs w:val="21"/>
              </w:rPr>
              <w:t>m)</w:t>
            </w:r>
            <w:r>
              <w:rPr>
                <w:rStyle w:val="97"/>
                <w:rFonts w:hint="default" w:ascii="Times New Roman" w:hAnsi="Times New Roman" w:eastAsia="宋体" w:cs="Times New Roman"/>
                <w:b w:val="0"/>
                <w:color w:val="auto"/>
                <w:sz w:val="21"/>
                <w:szCs w:val="21"/>
                <w:lang w:eastAsia="zh-CN"/>
              </w:rPr>
              <w:t>；</w:t>
            </w:r>
          </w:p>
          <w:p w14:paraId="7B533AA9">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V</w:t>
            </w:r>
            <w:r>
              <w:rPr>
                <w:rFonts w:hint="default" w:ascii="Times New Roman" w:hAnsi="Times New Roman" w:eastAsia="宋体" w:cs="Times New Roman"/>
                <w:color w:val="auto"/>
                <w:sz w:val="21"/>
                <w:szCs w:val="21"/>
                <w:highlight w:val="none"/>
                <w:vertAlign w:val="subscript"/>
                <w:lang w:val="en-US" w:eastAsia="zh-CN"/>
              </w:rPr>
              <w:t>4</w:t>
            </w:r>
            <w:r>
              <w:rPr>
                <w:rFonts w:hint="default" w:ascii="Times New Roman" w:hAnsi="Times New Roman" w:eastAsia="宋体" w:cs="Times New Roman"/>
                <w:color w:val="auto"/>
                <w:sz w:val="21"/>
                <w:szCs w:val="21"/>
                <w:highlight w:val="none"/>
                <w:lang w:eastAsia="zh-CN"/>
              </w:rPr>
              <w:t>—发生事故时仍必须进入该收集系统的生产废水量，单位为立方（</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w:t>
            </w:r>
          </w:p>
          <w:p w14:paraId="2466A2E6">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本项目无</w:t>
            </w:r>
            <w:r>
              <w:rPr>
                <w:rFonts w:hint="default" w:ascii="Times New Roman" w:hAnsi="Times New Roman" w:eastAsia="宋体" w:cs="Times New Roman"/>
                <w:color w:val="auto"/>
                <w:sz w:val="21"/>
                <w:szCs w:val="21"/>
                <w:highlight w:val="none"/>
                <w:lang w:eastAsia="zh-CN"/>
              </w:rPr>
              <w:t>生产废水</w:t>
            </w:r>
            <w:r>
              <w:rPr>
                <w:rFonts w:hint="default" w:ascii="Times New Roman" w:hAnsi="Times New Roman" w:eastAsia="宋体" w:cs="Times New Roman"/>
                <w:color w:val="auto"/>
                <w:sz w:val="21"/>
                <w:szCs w:val="21"/>
                <w:highlight w:val="none"/>
                <w:lang w:val="en-US" w:eastAsia="zh-CN"/>
              </w:rPr>
              <w:t>外排</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b/>
                <w:bCs/>
                <w:color w:val="auto"/>
                <w:sz w:val="21"/>
                <w:szCs w:val="21"/>
                <w:highlight w:val="none"/>
              </w:rPr>
              <w:t>V</w:t>
            </w:r>
            <w:r>
              <w:rPr>
                <w:rFonts w:hint="default" w:ascii="Times New Roman" w:hAnsi="Times New Roman" w:eastAsia="宋体" w:cs="Times New Roman"/>
                <w:b/>
                <w:bCs/>
                <w:color w:val="auto"/>
                <w:sz w:val="21"/>
                <w:szCs w:val="21"/>
                <w:highlight w:val="none"/>
                <w:vertAlign w:val="subscript"/>
                <w:lang w:val="en-US" w:eastAsia="zh-CN"/>
              </w:rPr>
              <w:t>4</w:t>
            </w:r>
            <w:r>
              <w:rPr>
                <w:rFonts w:hint="default" w:ascii="Times New Roman" w:hAnsi="Times New Roman" w:eastAsia="宋体" w:cs="Times New Roman"/>
                <w:b/>
                <w:bCs/>
                <w:color w:val="auto"/>
                <w:sz w:val="21"/>
                <w:szCs w:val="21"/>
                <w:highlight w:val="none"/>
                <w:lang w:val="en-US" w:eastAsia="zh-CN"/>
              </w:rPr>
              <w:t>=0m</w:t>
            </w:r>
            <w:r>
              <w:rPr>
                <w:rFonts w:hint="default" w:ascii="Times New Roman" w:hAnsi="Times New Roman" w:eastAsia="宋体" w:cs="Times New Roman"/>
                <w:b/>
                <w:bCs/>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w:t>
            </w:r>
          </w:p>
          <w:p w14:paraId="474190B6">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lang w:val="en-US" w:eastAsia="zh-CN"/>
              </w:rPr>
              <w:t>5</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发生事故时可能进入该收集系统的降雨量，单位为立方米（</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w:t>
            </w:r>
          </w:p>
          <w:p w14:paraId="07A29A32">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q</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降雨强度，按平均日降雨量，单位为毫米（</w:t>
            </w:r>
            <w:r>
              <w:rPr>
                <w:rFonts w:hint="default" w:ascii="Times New Roman" w:hAnsi="Times New Roman" w:eastAsia="宋体" w:cs="Times New Roman"/>
                <w:color w:val="auto"/>
                <w:sz w:val="21"/>
                <w:szCs w:val="21"/>
                <w:highlight w:val="none"/>
                <w:lang w:val="en-US" w:eastAsia="zh-CN"/>
              </w:rPr>
              <w:t>mm）；</w:t>
            </w:r>
          </w:p>
          <w:p w14:paraId="3E3DDB42">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q</w:t>
            </w:r>
            <w:r>
              <w:rPr>
                <w:rFonts w:hint="default" w:ascii="Times New Roman" w:hAnsi="Times New Roman" w:eastAsia="宋体" w:cs="Times New Roman"/>
                <w:color w:val="auto"/>
                <w:sz w:val="21"/>
                <w:szCs w:val="21"/>
                <w:highlight w:val="none"/>
                <w:vertAlign w:val="subscript"/>
                <w:lang w:val="en-US" w:eastAsia="zh-CN"/>
              </w:rPr>
              <w:t>a</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年平均降雨量，单位为毫米（</w:t>
            </w:r>
            <w:r>
              <w:rPr>
                <w:rFonts w:hint="default" w:ascii="Times New Roman" w:hAnsi="Times New Roman" w:eastAsia="宋体" w:cs="Times New Roman"/>
                <w:color w:val="auto"/>
                <w:sz w:val="21"/>
                <w:szCs w:val="21"/>
                <w:highlight w:val="none"/>
                <w:lang w:val="en-US" w:eastAsia="zh-CN"/>
              </w:rPr>
              <w:t>mm）；</w:t>
            </w:r>
          </w:p>
          <w:p w14:paraId="48326E1A">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n</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年平均降雨日数，单位为天（</w:t>
            </w:r>
            <w:r>
              <w:rPr>
                <w:rFonts w:hint="default" w:ascii="Times New Roman" w:hAnsi="Times New Roman" w:eastAsia="宋体" w:cs="Times New Roman"/>
                <w:color w:val="auto"/>
                <w:sz w:val="21"/>
                <w:szCs w:val="21"/>
                <w:highlight w:val="none"/>
                <w:lang w:val="en-US" w:eastAsia="zh-CN"/>
              </w:rPr>
              <w:t>d）；</w:t>
            </w:r>
          </w:p>
          <w:p w14:paraId="55540671">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f</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必须进</w:t>
            </w:r>
            <w:r>
              <w:rPr>
                <w:rFonts w:hint="default" w:ascii="Times New Roman" w:hAnsi="Times New Roman" w:eastAsia="宋体" w:cs="Times New Roman"/>
                <w:color w:val="auto"/>
                <w:sz w:val="21"/>
                <w:szCs w:val="21"/>
                <w:highlight w:val="none"/>
                <w:lang w:val="en-US" w:eastAsia="zh-CN"/>
              </w:rPr>
              <w:t>入</w:t>
            </w:r>
            <w:r>
              <w:rPr>
                <w:rFonts w:hint="default" w:ascii="Times New Roman" w:hAnsi="Times New Roman" w:eastAsia="宋体" w:cs="Times New Roman"/>
                <w:color w:val="auto"/>
                <w:sz w:val="21"/>
                <w:szCs w:val="21"/>
                <w:highlight w:val="none"/>
                <w:lang w:eastAsia="zh-CN"/>
              </w:rPr>
              <w:t>事故废水收集系统的雨水汇水面积，单位为公顷（</w:t>
            </w:r>
            <w:r>
              <w:rPr>
                <w:rFonts w:hint="default" w:ascii="Times New Roman" w:hAnsi="Times New Roman" w:eastAsia="宋体" w:cs="Times New Roman"/>
                <w:color w:val="auto"/>
                <w:sz w:val="21"/>
                <w:szCs w:val="21"/>
                <w:highlight w:val="none"/>
                <w:lang w:val="en-US" w:eastAsia="zh-CN"/>
              </w:rPr>
              <w:t>ha）；</w:t>
            </w:r>
          </w:p>
          <w:p w14:paraId="68BAC873">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b w:val="0"/>
                <w:color w:val="auto"/>
                <w:sz w:val="21"/>
                <w:szCs w:val="21"/>
                <w:highlight w:val="none"/>
                <w:lang w:val="en-US" w:eastAsia="zh-CN"/>
              </w:rPr>
            </w:pPr>
            <w:r>
              <w:rPr>
                <w:rFonts w:hint="default" w:ascii="Times New Roman" w:hAnsi="Times New Roman" w:eastAsia="宋体" w:cs="Times New Roman"/>
                <w:b w:val="0"/>
                <w:color w:val="auto"/>
                <w:sz w:val="21"/>
                <w:szCs w:val="21"/>
                <w:lang w:val="en-US" w:eastAsia="zh-CN"/>
              </w:rPr>
              <w:t>企业</w:t>
            </w:r>
            <w:r>
              <w:rPr>
                <w:rFonts w:hint="default" w:ascii="Times New Roman" w:hAnsi="Times New Roman" w:eastAsia="宋体" w:cs="Times New Roman"/>
                <w:b w:val="0"/>
                <w:color w:val="auto"/>
                <w:sz w:val="21"/>
                <w:szCs w:val="21"/>
                <w:lang w:val="en-US"/>
              </w:rPr>
              <w:t>无露天生产装置，无露天储罐，故</w:t>
            </w:r>
            <w:r>
              <w:rPr>
                <w:rFonts w:hint="default" w:ascii="Times New Roman" w:hAnsi="Times New Roman" w:eastAsia="宋体" w:cs="Times New Roman"/>
                <w:b w:val="0"/>
                <w:color w:val="auto"/>
                <w:sz w:val="21"/>
                <w:szCs w:val="21"/>
                <w:highlight w:val="none"/>
                <w:lang w:val="en-US"/>
              </w:rPr>
              <w:t>初期雨水不需要收集进入事故池</w:t>
            </w:r>
            <w:r>
              <w:rPr>
                <w:rFonts w:hint="default" w:ascii="Times New Roman" w:hAnsi="Times New Roman" w:eastAsia="宋体" w:cs="Times New Roman"/>
                <w:b w:val="0"/>
                <w:color w:val="auto"/>
                <w:sz w:val="21"/>
                <w:szCs w:val="21"/>
                <w:highlight w:val="none"/>
                <w:lang w:val="en-US" w:eastAsia="zh-CN"/>
              </w:rPr>
              <w:t>。</w:t>
            </w:r>
            <w:r>
              <w:rPr>
                <w:rFonts w:hint="default" w:ascii="Times New Roman" w:hAnsi="Times New Roman" w:eastAsia="宋体" w:cs="Times New Roman"/>
                <w:b/>
                <w:bCs/>
                <w:color w:val="auto"/>
                <w:sz w:val="21"/>
                <w:szCs w:val="21"/>
                <w:highlight w:val="none"/>
              </w:rPr>
              <w:t>V</w:t>
            </w:r>
            <w:r>
              <w:rPr>
                <w:rFonts w:hint="default" w:ascii="Times New Roman" w:hAnsi="Times New Roman" w:eastAsia="宋体" w:cs="Times New Roman"/>
                <w:b/>
                <w:bCs/>
                <w:color w:val="auto"/>
                <w:sz w:val="21"/>
                <w:szCs w:val="21"/>
                <w:highlight w:val="none"/>
                <w:lang w:val="en-US"/>
              </w:rPr>
              <w:t>5</w:t>
            </w:r>
            <w:r>
              <w:rPr>
                <w:rFonts w:hint="default" w:ascii="Times New Roman" w:hAnsi="Times New Roman" w:eastAsia="宋体" w:cs="Times New Roman"/>
                <w:b/>
                <w:bCs/>
                <w:color w:val="auto"/>
                <w:sz w:val="21"/>
                <w:szCs w:val="21"/>
                <w:highlight w:val="none"/>
              </w:rPr>
              <w:t>=</w:t>
            </w:r>
            <w:r>
              <w:rPr>
                <w:rFonts w:hint="default" w:ascii="Times New Roman" w:hAnsi="Times New Roman" w:eastAsia="宋体" w:cs="Times New Roman"/>
                <w:b/>
                <w:bCs/>
                <w:color w:val="auto"/>
                <w:sz w:val="21"/>
                <w:szCs w:val="21"/>
                <w:highlight w:val="none"/>
                <w:lang w:val="en-US"/>
              </w:rPr>
              <w:t>0</w:t>
            </w:r>
            <w:r>
              <w:rPr>
                <w:rFonts w:hint="default" w:ascii="Times New Roman" w:hAnsi="Times New Roman" w:eastAsia="宋体" w:cs="Times New Roman"/>
                <w:b/>
                <w:bCs/>
                <w:color w:val="auto"/>
                <w:sz w:val="21"/>
                <w:szCs w:val="21"/>
                <w:highlight w:val="none"/>
              </w:rPr>
              <w:t>m</w:t>
            </w:r>
            <w:r>
              <w:rPr>
                <w:rFonts w:hint="default" w:ascii="Times New Roman" w:hAnsi="Times New Roman" w:eastAsia="宋体" w:cs="Times New Roman"/>
                <w:b/>
                <w:bCs/>
                <w:color w:val="auto"/>
                <w:sz w:val="21"/>
                <w:szCs w:val="21"/>
                <w:highlight w:val="none"/>
                <w:vertAlign w:val="superscript"/>
              </w:rPr>
              <w:t>3</w:t>
            </w:r>
            <w:r>
              <w:rPr>
                <w:rFonts w:hint="default" w:ascii="Times New Roman" w:hAnsi="Times New Roman" w:eastAsia="宋体" w:cs="Times New Roman"/>
                <w:b w:val="0"/>
                <w:color w:val="auto"/>
                <w:sz w:val="21"/>
                <w:szCs w:val="21"/>
                <w:highlight w:val="none"/>
                <w:lang w:val="en-US"/>
              </w:rPr>
              <w:t>。</w:t>
            </w:r>
          </w:p>
          <w:p w14:paraId="028F42D1">
            <w:pPr>
              <w:keepNext w:val="0"/>
              <w:keepLines w:val="0"/>
              <w:pageBreakBefore w:val="0"/>
              <w:kinsoku/>
              <w:wordWrap/>
              <w:overflowPunct/>
              <w:topLinePunct w:val="0"/>
              <w:bidi w:val="0"/>
              <w:adjustRightInd w:val="0"/>
              <w:snapToGrid w:val="0"/>
              <w:spacing w:line="360" w:lineRule="auto"/>
              <w:ind w:left="0" w:leftChars="0" w:right="0" w:rightChars="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计算过程：</w:t>
            </w:r>
          </w:p>
          <w:p w14:paraId="394606F4">
            <w:pPr>
              <w:keepNext w:val="0"/>
              <w:keepLines w:val="0"/>
              <w:pageBreakBefore w:val="0"/>
              <w:widowControl w:val="0"/>
              <w:kinsoku/>
              <w:wordWrap/>
              <w:overflowPunct/>
              <w:topLinePunct w:val="0"/>
              <w:bidi w:val="0"/>
              <w:adjustRightInd w:val="0"/>
              <w:snapToGrid w:val="0"/>
              <w:spacing w:line="360" w:lineRule="auto"/>
              <w:ind w:left="0" w:leftChars="0" w:right="0" w:rightChars="0" w:firstLine="420" w:firstLineChars="20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rPr>
              <w:t>总</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rPr>
              <w:t>1</w:t>
            </w: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vertAlign w:val="subscript"/>
              </w:rPr>
              <w:t>max</w:t>
            </w: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rPr>
              <w:t>4</w:t>
            </w:r>
            <w:r>
              <w:rPr>
                <w:rFonts w:hint="default" w:ascii="Times New Roman" w:hAnsi="Times New Roman" w:eastAsia="宋体" w:cs="Times New Roman"/>
                <w:color w:val="auto"/>
                <w:sz w:val="21"/>
                <w:szCs w:val="21"/>
                <w:highlight w:val="none"/>
              </w:rPr>
              <w:t>+V</w:t>
            </w:r>
            <w:r>
              <w:rPr>
                <w:rFonts w:hint="default" w:ascii="Times New Roman" w:hAnsi="Times New Roman" w:eastAsia="宋体" w:cs="Times New Roman"/>
                <w:color w:val="auto"/>
                <w:sz w:val="21"/>
                <w:szCs w:val="21"/>
                <w:highlight w:val="none"/>
                <w:vertAlign w:val="subscript"/>
              </w:rPr>
              <w:t>5</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0.</w:t>
            </w:r>
            <w:r>
              <w:rPr>
                <w:rFonts w:hint="eastAsia" w:cs="Times New Roman"/>
                <w:color w:val="auto"/>
                <w:sz w:val="21"/>
                <w:szCs w:val="21"/>
                <w:highlight w:val="none"/>
                <w:lang w:val="en-US" w:eastAsia="zh-CN"/>
              </w:rPr>
              <w:t>2</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144</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56.52</w:t>
            </w:r>
            <w:r>
              <w:rPr>
                <w:rFonts w:hint="default" w:ascii="Times New Roman" w:hAnsi="Times New Roman" w:eastAsia="宋体" w:cs="Times New Roman"/>
                <w:color w:val="auto"/>
                <w:sz w:val="21"/>
                <w:szCs w:val="21"/>
                <w:highlight w:val="none"/>
              </w:rPr>
              <w:t>）＋0＋</w:t>
            </w:r>
            <w:r>
              <w:rPr>
                <w:rFonts w:hint="default" w:ascii="Times New Roman" w:hAnsi="Times New Roman" w:eastAsia="宋体" w:cs="Times New Roman"/>
                <w:color w:val="auto"/>
                <w:sz w:val="21"/>
                <w:szCs w:val="21"/>
                <w:highlight w:val="none"/>
                <w:lang w:val="en-US"/>
              </w:rPr>
              <w:t>0</w:t>
            </w: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87.68</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z w:val="21"/>
                <w:szCs w:val="21"/>
                <w:highlight w:val="none"/>
                <w:vertAlign w:val="superscript"/>
              </w:rPr>
              <w:t>3</w:t>
            </w:r>
            <w:r>
              <w:rPr>
                <w:rFonts w:hint="default" w:ascii="Times New Roman" w:hAnsi="Times New Roman" w:eastAsia="宋体" w:cs="Times New Roman"/>
                <w:b w:val="0"/>
                <w:color w:val="auto"/>
                <w:sz w:val="21"/>
                <w:szCs w:val="21"/>
                <w:highlight w:val="none"/>
                <w:lang w:val="en-US"/>
              </w:rPr>
              <w:t>。</w:t>
            </w:r>
          </w:p>
          <w:p w14:paraId="276AD696">
            <w:pPr>
              <w:keepNext w:val="0"/>
              <w:keepLines w:val="0"/>
              <w:pageBreakBefore w:val="0"/>
              <w:kinsoku/>
              <w:wordWrap/>
              <w:overflowPunct/>
              <w:topLinePunct w:val="0"/>
              <w:bidi w:val="0"/>
              <w:adjustRightInd w:val="0"/>
              <w:snapToGrid w:val="0"/>
              <w:spacing w:line="360" w:lineRule="auto"/>
              <w:ind w:firstLine="420" w:firstLineChars="200"/>
              <w:rPr>
                <w:bCs/>
                <w:color w:val="auto"/>
                <w:szCs w:val="21"/>
              </w:rPr>
            </w:pPr>
            <w:r>
              <w:rPr>
                <w:rFonts w:hint="default" w:ascii="Times New Roman" w:hAnsi="Times New Roman" w:eastAsia="宋体" w:cs="Times New Roman"/>
                <w:b w:val="0"/>
                <w:color w:val="auto"/>
                <w:sz w:val="21"/>
                <w:szCs w:val="21"/>
                <w:highlight w:val="none"/>
              </w:rPr>
              <w:t>经计算，</w:t>
            </w:r>
            <w:r>
              <w:rPr>
                <w:rFonts w:hint="default" w:ascii="Times New Roman" w:hAnsi="Times New Roman" w:eastAsia="宋体" w:cs="Times New Roman"/>
                <w:b w:val="0"/>
                <w:color w:val="auto"/>
                <w:sz w:val="21"/>
                <w:szCs w:val="21"/>
                <w:highlight w:val="none"/>
                <w:lang w:val="en-US" w:eastAsia="zh-CN"/>
              </w:rPr>
              <w:t>企业</w:t>
            </w:r>
            <w:r>
              <w:rPr>
                <w:rFonts w:hint="default" w:ascii="Times New Roman" w:hAnsi="Times New Roman" w:eastAsia="宋体" w:cs="Times New Roman"/>
                <w:b w:val="0"/>
                <w:color w:val="auto"/>
                <w:sz w:val="21"/>
                <w:szCs w:val="21"/>
                <w:highlight w:val="none"/>
              </w:rPr>
              <w:t>应急事故废水最大量为</w:t>
            </w:r>
            <w:r>
              <w:rPr>
                <w:rFonts w:hint="eastAsia" w:cs="Times New Roman"/>
                <w:color w:val="auto"/>
                <w:sz w:val="21"/>
                <w:szCs w:val="21"/>
                <w:highlight w:val="none"/>
                <w:lang w:val="en-US" w:eastAsia="zh-CN"/>
              </w:rPr>
              <w:t>87.68</w:t>
            </w:r>
            <w:r>
              <w:rPr>
                <w:rFonts w:hint="default" w:ascii="Times New Roman" w:hAnsi="Times New Roman" w:eastAsia="宋体" w:cs="Times New Roman"/>
                <w:b w:val="0"/>
                <w:color w:val="auto"/>
                <w:sz w:val="21"/>
                <w:szCs w:val="21"/>
                <w:highlight w:val="none"/>
              </w:rPr>
              <w:t>m</w:t>
            </w:r>
            <w:r>
              <w:rPr>
                <w:rFonts w:hint="default" w:ascii="Times New Roman" w:hAnsi="Times New Roman" w:eastAsia="宋体" w:cs="Times New Roman"/>
                <w:b w:val="0"/>
                <w:color w:val="auto"/>
                <w:sz w:val="21"/>
                <w:szCs w:val="21"/>
                <w:highlight w:val="none"/>
                <w:vertAlign w:val="superscript"/>
              </w:rPr>
              <w:t>3</w:t>
            </w:r>
            <w:r>
              <w:rPr>
                <w:rFonts w:hint="default" w:ascii="Times New Roman" w:hAnsi="Times New Roman" w:eastAsia="宋体" w:cs="Times New Roman"/>
                <w:b w:val="0"/>
                <w:color w:val="auto"/>
                <w:sz w:val="21"/>
                <w:szCs w:val="21"/>
                <w:highlight w:val="none"/>
                <w:lang w:eastAsia="zh-CN"/>
              </w:rPr>
              <w:t>，</w:t>
            </w:r>
            <w:r>
              <w:rPr>
                <w:rFonts w:hint="default" w:ascii="Times New Roman" w:hAnsi="Times New Roman" w:eastAsia="宋体" w:cs="Times New Roman"/>
                <w:b w:val="0"/>
                <w:color w:val="auto"/>
                <w:sz w:val="21"/>
                <w:szCs w:val="21"/>
                <w:highlight w:val="none"/>
                <w:lang w:val="en-US" w:eastAsia="zh-CN"/>
              </w:rPr>
              <w:t>建设单位</w:t>
            </w:r>
            <w:r>
              <w:rPr>
                <w:rFonts w:hint="eastAsia" w:ascii="Times New Roman" w:hAnsi="Times New Roman" w:eastAsia="宋体" w:cs="Times New Roman"/>
                <w:b w:val="0"/>
                <w:color w:val="auto"/>
                <w:sz w:val="21"/>
                <w:szCs w:val="21"/>
                <w:highlight w:val="none"/>
                <w:lang w:val="en-US" w:eastAsia="zh-CN"/>
              </w:rPr>
              <w:t>应告知</w:t>
            </w:r>
            <w:r>
              <w:rPr>
                <w:rFonts w:hint="eastAsia" w:cs="Times New Roman"/>
                <w:b w:val="0"/>
                <w:color w:val="auto"/>
                <w:sz w:val="21"/>
                <w:szCs w:val="21"/>
                <w:highlight w:val="none"/>
                <w:lang w:val="en-US" w:eastAsia="zh-CN"/>
              </w:rPr>
              <w:t>房东</w:t>
            </w:r>
            <w:r>
              <w:rPr>
                <w:rFonts w:hint="default" w:ascii="Times New Roman" w:hAnsi="Times New Roman" w:eastAsia="宋体" w:cs="Times New Roman"/>
                <w:b w:val="0"/>
                <w:color w:val="auto"/>
                <w:sz w:val="21"/>
                <w:szCs w:val="21"/>
                <w:highlight w:val="none"/>
                <w:lang w:val="en-US" w:eastAsia="zh-CN"/>
              </w:rPr>
              <w:t>设置应急事故池</w:t>
            </w:r>
            <w:r>
              <w:rPr>
                <w:rFonts w:hint="eastAsia" w:cs="Times New Roman"/>
                <w:b w:val="0"/>
                <w:color w:val="auto"/>
                <w:sz w:val="21"/>
                <w:szCs w:val="21"/>
                <w:highlight w:val="none"/>
                <w:lang w:val="en-US" w:eastAsia="zh-CN"/>
              </w:rPr>
              <w:t>90</w:t>
            </w:r>
            <w:r>
              <w:rPr>
                <w:rFonts w:hint="default" w:ascii="Times New Roman" w:hAnsi="Times New Roman" w:eastAsia="宋体" w:cs="Times New Roman"/>
                <w:b w:val="0"/>
                <w:color w:val="auto"/>
                <w:sz w:val="21"/>
                <w:szCs w:val="21"/>
                <w:highlight w:val="none"/>
              </w:rPr>
              <w:t>m</w:t>
            </w:r>
            <w:r>
              <w:rPr>
                <w:rFonts w:hint="default" w:ascii="Times New Roman" w:hAnsi="Times New Roman" w:eastAsia="宋体" w:cs="Times New Roman"/>
                <w:b w:val="0"/>
                <w:color w:val="auto"/>
                <w:sz w:val="21"/>
                <w:szCs w:val="21"/>
                <w:highlight w:val="none"/>
                <w:vertAlign w:val="superscript"/>
              </w:rPr>
              <w:t>3</w:t>
            </w:r>
            <w:r>
              <w:rPr>
                <w:rFonts w:hint="default" w:ascii="Times New Roman" w:hAnsi="Times New Roman" w:eastAsia="宋体" w:cs="Times New Roman"/>
                <w:b w:val="0"/>
                <w:color w:val="auto"/>
                <w:sz w:val="21"/>
                <w:szCs w:val="21"/>
                <w:highlight w:val="none"/>
                <w:lang w:val="en-US" w:eastAsia="zh-CN"/>
              </w:rPr>
              <w:t>暂存事故废水，</w:t>
            </w:r>
            <w:r>
              <w:rPr>
                <w:rFonts w:hint="default" w:ascii="Times New Roman" w:hAnsi="Times New Roman" w:eastAsia="宋体" w:cs="Times New Roman"/>
                <w:b w:val="0"/>
                <w:color w:val="auto"/>
                <w:sz w:val="21"/>
                <w:szCs w:val="21"/>
                <w:highlight w:val="none"/>
              </w:rPr>
              <w:t>能够满足本企业事故状态下事故废水的收集。通过完善</w:t>
            </w:r>
            <w:r>
              <w:rPr>
                <w:rFonts w:hint="default" w:ascii="Times New Roman" w:hAnsi="Times New Roman" w:eastAsia="宋体" w:cs="Times New Roman"/>
                <w:b w:val="0"/>
                <w:color w:val="auto"/>
                <w:sz w:val="21"/>
                <w:szCs w:val="21"/>
                <w:highlight w:val="none"/>
                <w:lang w:eastAsia="zh-CN"/>
              </w:rPr>
              <w:t>消防尾水</w:t>
            </w:r>
            <w:r>
              <w:rPr>
                <w:rFonts w:hint="default" w:ascii="Times New Roman" w:hAnsi="Times New Roman" w:eastAsia="宋体" w:cs="Times New Roman"/>
                <w:b w:val="0"/>
                <w:color w:val="auto"/>
                <w:sz w:val="21"/>
                <w:szCs w:val="21"/>
                <w:highlight w:val="none"/>
              </w:rPr>
              <w:t>收集、处理、排放系统，保证生产区</w:t>
            </w:r>
            <w:r>
              <w:rPr>
                <w:rFonts w:hint="default" w:ascii="Times New Roman" w:hAnsi="Times New Roman" w:eastAsia="宋体" w:cs="Times New Roman"/>
                <w:b w:val="0"/>
                <w:color w:val="auto"/>
                <w:sz w:val="21"/>
                <w:szCs w:val="21"/>
                <w:highlight w:val="none"/>
                <w:lang w:eastAsia="zh-CN"/>
              </w:rPr>
              <w:t>、</w:t>
            </w:r>
            <w:r>
              <w:rPr>
                <w:rFonts w:hint="default" w:ascii="Times New Roman" w:hAnsi="Times New Roman" w:eastAsia="宋体" w:cs="Times New Roman"/>
                <w:b w:val="0"/>
                <w:color w:val="auto"/>
                <w:sz w:val="21"/>
                <w:szCs w:val="21"/>
                <w:highlight w:val="none"/>
                <w:lang w:val="en-US"/>
              </w:rPr>
              <w:t>仓库</w:t>
            </w:r>
            <w:r>
              <w:rPr>
                <w:rFonts w:hint="default" w:ascii="Times New Roman" w:hAnsi="Times New Roman" w:eastAsia="宋体" w:cs="Times New Roman"/>
                <w:b w:val="0"/>
                <w:color w:val="auto"/>
                <w:sz w:val="21"/>
                <w:szCs w:val="21"/>
                <w:highlight w:val="none"/>
                <w:lang w:val="en-US" w:eastAsia="zh-CN"/>
              </w:rPr>
              <w:t>区</w:t>
            </w:r>
            <w:r>
              <w:rPr>
                <w:rFonts w:hint="default" w:ascii="Times New Roman" w:hAnsi="Times New Roman" w:eastAsia="宋体" w:cs="Times New Roman"/>
                <w:b w:val="0"/>
                <w:color w:val="auto"/>
                <w:sz w:val="21"/>
                <w:szCs w:val="21"/>
                <w:highlight w:val="none"/>
              </w:rPr>
              <w:t>发生火灾事故时，</w:t>
            </w:r>
            <w:r>
              <w:rPr>
                <w:rFonts w:hint="default" w:ascii="Times New Roman" w:hAnsi="Times New Roman" w:eastAsia="宋体" w:cs="Times New Roman"/>
                <w:b w:val="0"/>
                <w:color w:val="auto"/>
                <w:sz w:val="21"/>
                <w:szCs w:val="21"/>
                <w:highlight w:val="none"/>
                <w:lang w:eastAsia="zh-CN"/>
              </w:rPr>
              <w:t>消防尾水</w:t>
            </w:r>
            <w:r>
              <w:rPr>
                <w:rFonts w:hint="default" w:ascii="Times New Roman" w:hAnsi="Times New Roman" w:eastAsia="宋体" w:cs="Times New Roman"/>
                <w:b w:val="0"/>
                <w:color w:val="auto"/>
                <w:sz w:val="21"/>
                <w:szCs w:val="21"/>
                <w:highlight w:val="none"/>
              </w:rPr>
              <w:t>等能迅速、安全地集中到</w:t>
            </w:r>
            <w:r>
              <w:rPr>
                <w:rFonts w:hint="default" w:ascii="Times New Roman" w:hAnsi="Times New Roman" w:eastAsia="宋体" w:cs="Times New Roman"/>
                <w:color w:val="auto"/>
                <w:sz w:val="21"/>
                <w:szCs w:val="21"/>
                <w:lang w:val="en-US" w:eastAsia="zh-CN" w:bidi="zh-CN"/>
              </w:rPr>
              <w:t>应急事故池</w:t>
            </w:r>
            <w:r>
              <w:rPr>
                <w:rFonts w:hint="default" w:ascii="Times New Roman" w:hAnsi="Times New Roman" w:eastAsia="宋体" w:cs="Times New Roman"/>
                <w:b w:val="0"/>
                <w:color w:val="auto"/>
                <w:sz w:val="21"/>
                <w:szCs w:val="21"/>
                <w:highlight w:val="none"/>
              </w:rPr>
              <w:t>，然后针对水质实际情况进行必要的处理，避免对评价范围内的周围农田和河流造成影响</w:t>
            </w:r>
            <w:r>
              <w:rPr>
                <w:rFonts w:hint="eastAsia" w:ascii="Times New Roman" w:hAnsi="Times New Roman" w:eastAsia="宋体" w:cs="Times New Roman"/>
                <w:b w:val="0"/>
                <w:color w:val="auto"/>
                <w:sz w:val="21"/>
                <w:szCs w:val="21"/>
                <w:highlight w:val="none"/>
                <w:lang w:val="en-US" w:eastAsia="zh-CN"/>
              </w:rPr>
              <w:t>。</w:t>
            </w:r>
          </w:p>
          <w:p w14:paraId="5D5B3A5E">
            <w:pPr>
              <w:spacing w:line="360" w:lineRule="auto"/>
              <w:ind w:firstLine="420" w:firstLineChars="200"/>
              <w:rPr>
                <w:bCs/>
                <w:color w:val="auto"/>
                <w:szCs w:val="21"/>
              </w:rPr>
            </w:pPr>
            <w:r>
              <w:rPr>
                <w:bCs/>
                <w:color w:val="auto"/>
                <w:szCs w:val="21"/>
              </w:rPr>
              <w:t>④危废仓库风险防范措施</w:t>
            </w:r>
          </w:p>
          <w:p w14:paraId="040771F2">
            <w:pPr>
              <w:spacing w:line="360" w:lineRule="auto"/>
              <w:ind w:firstLine="420" w:firstLineChars="200"/>
              <w:rPr>
                <w:bCs/>
                <w:color w:val="auto"/>
                <w:szCs w:val="21"/>
              </w:rPr>
            </w:pPr>
            <w:r>
              <w:rPr>
                <w:bCs/>
                <w:color w:val="auto"/>
                <w:szCs w:val="21"/>
              </w:rPr>
              <w:t>危险废物分类存放到危废仓库，做好进出库管理，及时登记，账物相符，并做好贮存场所和危废包装的标识工作。</w:t>
            </w:r>
            <w:r>
              <w:rPr>
                <w:color w:val="auto"/>
                <w:szCs w:val="21"/>
              </w:rPr>
              <w:t>应做到</w:t>
            </w:r>
            <w:r>
              <w:rPr>
                <w:bCs/>
                <w:color w:val="auto"/>
                <w:szCs w:val="21"/>
              </w:rPr>
              <w:t>“</w:t>
            </w:r>
            <w:r>
              <w:rPr>
                <w:rFonts w:hint="eastAsia"/>
                <w:bCs/>
                <w:color w:val="auto"/>
                <w:szCs w:val="21"/>
              </w:rPr>
              <w:t>六</w:t>
            </w:r>
            <w:r>
              <w:rPr>
                <w:bCs/>
                <w:color w:val="auto"/>
                <w:szCs w:val="21"/>
              </w:rPr>
              <w:t>防”，即：防风、防晒、防雨、防漏、防渗、防腐；地面与裙脚要用坚固、防渗的材料建造，建筑材料必须与危险废物相容。通道、出入口和通向消防设施的道路保持畅通，同时配置合格的消防器材，并确保其处于完好状态。</w:t>
            </w:r>
          </w:p>
          <w:p w14:paraId="48815297">
            <w:pPr>
              <w:spacing w:line="360" w:lineRule="auto"/>
              <w:ind w:firstLine="420" w:firstLineChars="200"/>
              <w:rPr>
                <w:bCs/>
                <w:color w:val="auto"/>
                <w:szCs w:val="21"/>
              </w:rPr>
            </w:pPr>
            <w:r>
              <w:rPr>
                <w:bCs/>
                <w:color w:val="auto"/>
                <w:szCs w:val="21"/>
              </w:rPr>
              <w:t>（3）应急要求</w:t>
            </w:r>
          </w:p>
          <w:p w14:paraId="7A7025B3">
            <w:pPr>
              <w:spacing w:line="360" w:lineRule="auto"/>
              <w:ind w:firstLine="420" w:firstLineChars="200"/>
              <w:rPr>
                <w:bCs/>
                <w:color w:val="auto"/>
                <w:szCs w:val="21"/>
              </w:rPr>
            </w:pPr>
            <w:r>
              <w:rPr>
                <w:bCs/>
                <w:color w:val="auto"/>
                <w:szCs w:val="21"/>
              </w:rPr>
              <w:t>发生泄漏事故后，最早发现者应立即通知公司负责人及值班领导报110，报告危险物料外泄部位（或装置），并根据召集应急救援小组，及时采取一切办法控制泄漏蔓延。如果是车间等发生泄漏，立即检查泄漏事故所在车间的事故废水收集系统切断装置，确保其均处于切断状态，并将事故废液通过事故沟等收集进入事故应急池内暂存，如果是运输、装卸过程中（室外）发生泄漏，则应立即检查厂区雨水管网切断装置，确保其处于切断状态，从而防止泄漏的物料通过雨水管网流入外环境。一旦事故污染物进入雨水管网，本单位立即启动应急预案，并报告相关主管部门，及时根据应急预案做好隔离措施和应对处理方案。</w:t>
            </w:r>
          </w:p>
          <w:p w14:paraId="5EE2AF16">
            <w:pPr>
              <w:spacing w:line="360" w:lineRule="auto"/>
              <w:ind w:firstLine="420" w:firstLineChars="200"/>
              <w:rPr>
                <w:bCs/>
                <w:color w:val="auto"/>
                <w:szCs w:val="21"/>
              </w:rPr>
            </w:pPr>
            <w:r>
              <w:rPr>
                <w:rFonts w:hint="eastAsia"/>
                <w:bCs/>
                <w:color w:val="auto"/>
                <w:szCs w:val="21"/>
              </w:rPr>
              <w:t>①</w:t>
            </w:r>
            <w:r>
              <w:rPr>
                <w:bCs/>
                <w:color w:val="auto"/>
                <w:szCs w:val="21"/>
              </w:rPr>
              <w:t>发生物料泄漏事故应急措施</w:t>
            </w:r>
          </w:p>
          <w:p w14:paraId="28F3223D">
            <w:pPr>
              <w:adjustRightInd w:val="0"/>
              <w:snapToGrid w:val="0"/>
              <w:spacing w:line="360" w:lineRule="auto"/>
              <w:ind w:firstLine="420" w:firstLineChars="200"/>
              <w:rPr>
                <w:bCs/>
                <w:color w:val="auto"/>
                <w:szCs w:val="21"/>
              </w:rPr>
            </w:pPr>
            <w:r>
              <w:rPr>
                <w:bCs/>
                <w:color w:val="auto"/>
                <w:szCs w:val="21"/>
              </w:rPr>
              <w:t>对泄漏点的应急处理</w:t>
            </w:r>
            <w:r>
              <w:rPr>
                <w:rFonts w:hint="eastAsia"/>
                <w:bCs/>
                <w:color w:val="auto"/>
                <w:szCs w:val="21"/>
              </w:rPr>
              <w:t>：</w:t>
            </w:r>
            <w:r>
              <w:rPr>
                <w:bCs/>
                <w:color w:val="auto"/>
                <w:szCs w:val="21"/>
              </w:rPr>
              <w:t>因工作失误造成原料桶破损，立即堵住原料桶破裂口，用砂土之类惰性材料覆盖泄漏物或用泵将泄漏液体抽到容器中，集中进行处理，同时将附近其它原料桶搬离泄漏区域。</w:t>
            </w:r>
          </w:p>
          <w:p w14:paraId="77BBFC74">
            <w:pPr>
              <w:spacing w:line="360" w:lineRule="auto"/>
              <w:ind w:firstLine="420" w:firstLineChars="200"/>
              <w:rPr>
                <w:bCs/>
                <w:color w:val="auto"/>
                <w:szCs w:val="21"/>
              </w:rPr>
            </w:pPr>
            <w:r>
              <w:rPr>
                <w:bCs/>
                <w:color w:val="auto"/>
                <w:szCs w:val="21"/>
              </w:rPr>
              <w:t>对泄漏物的应急处理</w:t>
            </w:r>
            <w:r>
              <w:rPr>
                <w:rFonts w:hint="eastAsia"/>
                <w:bCs/>
                <w:color w:val="auto"/>
                <w:szCs w:val="21"/>
              </w:rPr>
              <w:t>：</w:t>
            </w:r>
            <w:r>
              <w:rPr>
                <w:bCs/>
                <w:color w:val="auto"/>
                <w:szCs w:val="21"/>
              </w:rPr>
              <w:t>一旦发生物料泄漏需要先尽快堵住泄漏点，并用黄沙等吸附地面上的泄漏物料，再进行收集处理。</w:t>
            </w:r>
          </w:p>
          <w:p w14:paraId="59DC77F7">
            <w:pPr>
              <w:spacing w:line="360" w:lineRule="auto"/>
              <w:ind w:firstLine="420" w:firstLineChars="200"/>
              <w:rPr>
                <w:bCs/>
                <w:color w:val="auto"/>
                <w:szCs w:val="21"/>
              </w:rPr>
            </w:pPr>
            <w:r>
              <w:rPr>
                <w:rFonts w:hint="eastAsia"/>
                <w:bCs/>
                <w:color w:val="auto"/>
                <w:szCs w:val="21"/>
              </w:rPr>
              <w:t>②</w:t>
            </w:r>
            <w:r>
              <w:rPr>
                <w:bCs/>
                <w:color w:val="auto"/>
                <w:szCs w:val="21"/>
              </w:rPr>
              <w:t>环保设施非正常排放应急处理措施</w:t>
            </w:r>
          </w:p>
          <w:p w14:paraId="19B6B271">
            <w:pPr>
              <w:spacing w:line="360" w:lineRule="auto"/>
              <w:ind w:firstLine="420" w:firstLineChars="200"/>
              <w:rPr>
                <w:bCs/>
                <w:color w:val="auto"/>
                <w:szCs w:val="21"/>
              </w:rPr>
            </w:pPr>
            <w:r>
              <w:rPr>
                <w:bCs/>
                <w:color w:val="auto"/>
                <w:szCs w:val="21"/>
              </w:rPr>
              <w:t>当废气装置发生故障时，立即按照操作流程紧急停车，强行关阀止漏，不能关阀的要设法堵漏，从源头上控制废气的产生,尽快查找出故障源，进行检修。</w:t>
            </w:r>
          </w:p>
          <w:p w14:paraId="6197C5A7">
            <w:pPr>
              <w:spacing w:line="360" w:lineRule="auto"/>
              <w:ind w:firstLine="420" w:firstLineChars="200"/>
              <w:rPr>
                <w:bCs/>
                <w:color w:val="auto"/>
                <w:szCs w:val="21"/>
              </w:rPr>
            </w:pPr>
            <w:r>
              <w:rPr>
                <w:rFonts w:hint="eastAsia"/>
                <w:bCs/>
                <w:color w:val="auto"/>
                <w:szCs w:val="21"/>
              </w:rPr>
              <w:t>③</w:t>
            </w:r>
            <w:r>
              <w:rPr>
                <w:bCs/>
                <w:color w:val="auto"/>
                <w:szCs w:val="21"/>
              </w:rPr>
              <w:t>危废仓库应急措施</w:t>
            </w:r>
          </w:p>
          <w:p w14:paraId="49938C92">
            <w:pPr>
              <w:spacing w:line="360" w:lineRule="auto"/>
              <w:ind w:firstLine="420" w:firstLineChars="200"/>
              <w:rPr>
                <w:bCs/>
                <w:color w:val="auto"/>
                <w:szCs w:val="21"/>
              </w:rPr>
            </w:pPr>
            <w:r>
              <w:rPr>
                <w:bCs/>
                <w:color w:val="auto"/>
                <w:szCs w:val="21"/>
              </w:rPr>
              <w:t>危废仓库的废料若发生泄漏，若地面未做防渗处理，泄漏物将通过地面泄漏，进而影响土壤和地下水。应急措施主要包括：危废仓库发生漏雨，应将储存物料搬离漏雨点；包装如果受潮及时更换；地面如果受污染，将地面废物清扫后重新装袋，并对地面进行清洁；对地面清洁不能使用大量水冲洗，应先将污物擦净后，再用抹布清洗至少三遍；处理过程中应严禁火源，使用的清理工具应能有效防静电；处理时应正确穿戴防护用品，不能直接接触泄漏物。</w:t>
            </w:r>
          </w:p>
          <w:p w14:paraId="0E4950F0">
            <w:pPr>
              <w:pStyle w:val="60"/>
              <w:snapToGrid w:val="0"/>
              <w:spacing w:line="360" w:lineRule="auto"/>
              <w:ind w:left="0" w:firstLine="420" w:firstLineChars="200"/>
              <w:rPr>
                <w:rFonts w:hint="eastAsia" w:ascii="Times New Roman" w:hAnsi="Times New Roman" w:eastAsia="宋体"/>
                <w:bCs/>
                <w:color w:val="auto"/>
                <w:sz w:val="21"/>
                <w:szCs w:val="21"/>
                <w:lang w:val="en-US" w:eastAsia="zh-CN"/>
              </w:rPr>
            </w:pPr>
            <w:r>
              <w:rPr>
                <w:rFonts w:hint="eastAsia" w:ascii="Times New Roman" w:hAnsi="Times New Roman"/>
                <w:bCs/>
                <w:color w:val="auto"/>
                <w:sz w:val="21"/>
                <w:szCs w:val="21"/>
                <w:lang w:val="en-US" w:eastAsia="zh-CN"/>
              </w:rPr>
              <w:t>④</w:t>
            </w:r>
            <w:r>
              <w:rPr>
                <w:bCs/>
                <w:color w:val="auto"/>
                <w:szCs w:val="21"/>
              </w:rPr>
              <w:t>火灾爆炸事故应急措施</w:t>
            </w:r>
          </w:p>
          <w:p w14:paraId="7CBC69DD">
            <w:pPr>
              <w:pStyle w:val="60"/>
              <w:snapToGrid w:val="0"/>
              <w:spacing w:line="360" w:lineRule="auto"/>
              <w:ind w:left="0" w:firstLine="422" w:firstLineChars="200"/>
              <w:rPr>
                <w:rFonts w:hint="eastAsia" w:ascii="Times New Roman" w:hAnsi="Times New Roman"/>
                <w:bCs/>
                <w:color w:val="auto"/>
                <w:sz w:val="21"/>
                <w:szCs w:val="21"/>
              </w:rPr>
            </w:pPr>
            <w:r>
              <w:rPr>
                <w:rFonts w:hint="eastAsia" w:ascii="Times New Roman" w:hAnsi="Times New Roman"/>
                <w:b/>
                <w:bCs w:val="0"/>
                <w:color w:val="auto"/>
                <w:sz w:val="21"/>
                <w:szCs w:val="21"/>
              </w:rPr>
              <w:t>粉尘云爆炸/燃烧事故处置</w:t>
            </w:r>
          </w:p>
          <w:p w14:paraId="2BF963FA">
            <w:pPr>
              <w:pStyle w:val="60"/>
              <w:snapToGrid w:val="0"/>
              <w:spacing w:line="360" w:lineRule="auto"/>
              <w:ind w:left="0" w:firstLine="420" w:firstLineChars="200"/>
              <w:rPr>
                <w:rFonts w:hint="eastAsia" w:ascii="Times New Roman" w:hAnsi="Times New Roman"/>
                <w:bCs/>
                <w:color w:val="auto"/>
                <w:sz w:val="21"/>
                <w:szCs w:val="21"/>
              </w:rPr>
            </w:pPr>
            <w:r>
              <w:rPr>
                <w:rFonts w:hint="eastAsia" w:ascii="Times New Roman" w:hAnsi="Times New Roman"/>
                <w:bCs/>
                <w:color w:val="auto"/>
                <w:sz w:val="21"/>
                <w:szCs w:val="21"/>
              </w:rPr>
              <w:t>立即停机与报警：</w:t>
            </w:r>
          </w:p>
          <w:p w14:paraId="3A258E9D">
            <w:pPr>
              <w:pStyle w:val="60"/>
              <w:snapToGrid w:val="0"/>
              <w:spacing w:line="360" w:lineRule="auto"/>
              <w:ind w:left="0" w:firstLine="420" w:firstLineChars="200"/>
              <w:rPr>
                <w:rFonts w:hint="eastAsia" w:ascii="Times New Roman" w:hAnsi="Times New Roman"/>
                <w:bCs/>
                <w:color w:val="auto"/>
                <w:sz w:val="21"/>
                <w:szCs w:val="21"/>
              </w:rPr>
            </w:pPr>
            <w:r>
              <w:rPr>
                <w:rFonts w:hint="eastAsia" w:ascii="Times New Roman" w:hAnsi="Times New Roman"/>
                <w:bCs/>
                <w:color w:val="auto"/>
                <w:sz w:val="21"/>
                <w:szCs w:val="21"/>
              </w:rPr>
              <w:t>切断涉爆设备电源，启动车间声光报警，通知人员沿上风向撤离至安全区域。</w:t>
            </w:r>
          </w:p>
          <w:p w14:paraId="3CC167D6">
            <w:pPr>
              <w:pStyle w:val="60"/>
              <w:snapToGrid w:val="0"/>
              <w:spacing w:line="360" w:lineRule="auto"/>
              <w:ind w:left="0" w:firstLine="420" w:firstLineChars="200"/>
              <w:rPr>
                <w:rFonts w:hint="eastAsia" w:ascii="Times New Roman" w:hAnsi="Times New Roman"/>
                <w:bCs/>
                <w:color w:val="auto"/>
                <w:sz w:val="21"/>
                <w:szCs w:val="21"/>
              </w:rPr>
            </w:pPr>
            <w:r>
              <w:rPr>
                <w:rFonts w:hint="eastAsia" w:ascii="Times New Roman" w:hAnsi="Times New Roman"/>
                <w:bCs/>
                <w:color w:val="auto"/>
                <w:sz w:val="21"/>
                <w:szCs w:val="21"/>
              </w:rPr>
              <w:t>若火势较小（局部粉尘燃烧），操作人员可使用干粉灭火器（ABC型）或二氧化碳灭火器扑救（禁止用水扑灭铝粉、钛粉</w:t>
            </w:r>
            <w:r>
              <w:rPr>
                <w:rFonts w:hint="eastAsia" w:ascii="Times New Roman" w:hAnsi="Times New Roman"/>
                <w:bCs/>
                <w:color w:val="auto"/>
                <w:sz w:val="21"/>
                <w:szCs w:val="21"/>
                <w:lang w:val="en-US" w:eastAsia="zh-CN"/>
              </w:rPr>
              <w:t>等</w:t>
            </w:r>
            <w:r>
              <w:rPr>
                <w:rFonts w:hint="eastAsia" w:ascii="Times New Roman" w:hAnsi="Times New Roman"/>
                <w:bCs/>
                <w:color w:val="auto"/>
                <w:sz w:val="21"/>
                <w:szCs w:val="21"/>
              </w:rPr>
              <w:t>火灾，会加剧反应）。</w:t>
            </w:r>
          </w:p>
          <w:p w14:paraId="553A1C30">
            <w:pPr>
              <w:pStyle w:val="60"/>
              <w:snapToGrid w:val="0"/>
              <w:spacing w:line="360" w:lineRule="auto"/>
              <w:ind w:left="0" w:firstLine="420" w:firstLineChars="200"/>
              <w:rPr>
                <w:rFonts w:hint="eastAsia" w:ascii="Times New Roman" w:hAnsi="Times New Roman"/>
                <w:bCs/>
                <w:color w:val="auto"/>
                <w:sz w:val="21"/>
                <w:szCs w:val="21"/>
              </w:rPr>
            </w:pPr>
            <w:r>
              <w:rPr>
                <w:rFonts w:hint="eastAsia" w:ascii="Times New Roman" w:hAnsi="Times New Roman"/>
                <w:bCs/>
                <w:color w:val="auto"/>
                <w:sz w:val="21"/>
                <w:szCs w:val="21"/>
              </w:rPr>
              <w:t>惰性气体灭火：若清粉舱等密闭设备内起火，立即开启氩气紧急吹扫，降低氧含量至窒息灭火（需确保设备压力安全，防止超压爆炸）。</w:t>
            </w:r>
          </w:p>
          <w:p w14:paraId="227F0385">
            <w:pPr>
              <w:pStyle w:val="60"/>
              <w:snapToGrid w:val="0"/>
              <w:spacing w:line="360" w:lineRule="auto"/>
              <w:ind w:left="0" w:firstLine="420" w:firstLineChars="200"/>
              <w:rPr>
                <w:rFonts w:hint="eastAsia" w:ascii="Times New Roman" w:hAnsi="Times New Roman"/>
                <w:bCs/>
                <w:color w:val="auto"/>
                <w:sz w:val="21"/>
                <w:szCs w:val="21"/>
              </w:rPr>
            </w:pPr>
            <w:r>
              <w:rPr>
                <w:rFonts w:hint="eastAsia" w:ascii="Times New Roman" w:hAnsi="Times New Roman"/>
                <w:bCs/>
                <w:color w:val="auto"/>
                <w:sz w:val="21"/>
                <w:szCs w:val="21"/>
              </w:rPr>
              <w:t>专业救援：火势失控时，拨打119，告知“金属粉尘爆炸”，避免消防员盲目用水冲击（可能引发二次爆炸或氢气爆炸）。</w:t>
            </w:r>
          </w:p>
          <w:p w14:paraId="051186FF">
            <w:pPr>
              <w:pStyle w:val="60"/>
              <w:snapToGrid w:val="0"/>
              <w:spacing w:line="360" w:lineRule="auto"/>
              <w:ind w:left="0" w:firstLine="422" w:firstLineChars="200"/>
              <w:rPr>
                <w:rFonts w:hint="eastAsia" w:ascii="Times New Roman" w:hAnsi="Times New Roman"/>
                <w:b/>
                <w:bCs w:val="0"/>
                <w:color w:val="auto"/>
                <w:sz w:val="21"/>
                <w:szCs w:val="21"/>
              </w:rPr>
            </w:pPr>
            <w:r>
              <w:rPr>
                <w:rFonts w:hint="eastAsia" w:ascii="Times New Roman" w:hAnsi="Times New Roman"/>
                <w:b/>
                <w:bCs w:val="0"/>
                <w:color w:val="auto"/>
                <w:sz w:val="21"/>
                <w:szCs w:val="21"/>
              </w:rPr>
              <w:t>粉尘泄漏与人员暴露处置</w:t>
            </w:r>
          </w:p>
          <w:p w14:paraId="458A2BDD">
            <w:pPr>
              <w:pStyle w:val="60"/>
              <w:snapToGrid w:val="0"/>
              <w:spacing w:line="360" w:lineRule="auto"/>
              <w:ind w:left="0" w:firstLine="420" w:firstLineChars="200"/>
              <w:rPr>
                <w:rFonts w:hint="eastAsia" w:ascii="Times New Roman" w:hAnsi="Times New Roman"/>
                <w:bCs/>
                <w:color w:val="auto"/>
                <w:sz w:val="21"/>
                <w:szCs w:val="21"/>
              </w:rPr>
            </w:pPr>
            <w:r>
              <w:rPr>
                <w:rFonts w:hint="eastAsia" w:ascii="Times New Roman" w:hAnsi="Times New Roman"/>
                <w:bCs/>
                <w:color w:val="auto"/>
                <w:sz w:val="21"/>
                <w:szCs w:val="21"/>
              </w:rPr>
              <w:t>局部泄漏控制：</w:t>
            </w:r>
          </w:p>
          <w:p w14:paraId="46B9243A">
            <w:pPr>
              <w:pStyle w:val="60"/>
              <w:snapToGrid w:val="0"/>
              <w:spacing w:line="360" w:lineRule="auto"/>
              <w:ind w:left="0" w:firstLine="420" w:firstLineChars="200"/>
              <w:rPr>
                <w:rFonts w:hint="eastAsia" w:ascii="Times New Roman" w:hAnsi="Times New Roman"/>
                <w:bCs/>
                <w:color w:val="auto"/>
                <w:sz w:val="21"/>
                <w:szCs w:val="21"/>
              </w:rPr>
            </w:pPr>
            <w:r>
              <w:rPr>
                <w:rFonts w:hint="eastAsia" w:ascii="Times New Roman" w:hAnsi="Times New Roman"/>
                <w:bCs/>
                <w:color w:val="auto"/>
                <w:sz w:val="21"/>
                <w:szCs w:val="21"/>
              </w:rPr>
              <w:t>立即停止邻近设备，开启局部排风，用防静电覆盖物（如导电橡胶布）覆盖散落粉末，禁止踩踏或搅动。</w:t>
            </w:r>
          </w:p>
          <w:p w14:paraId="3E1BA127">
            <w:pPr>
              <w:pStyle w:val="60"/>
              <w:snapToGrid w:val="0"/>
              <w:spacing w:line="360" w:lineRule="auto"/>
              <w:ind w:left="0" w:firstLine="420" w:firstLineChars="200"/>
              <w:rPr>
                <w:rFonts w:hint="eastAsia" w:ascii="Times New Roman" w:hAnsi="Times New Roman"/>
                <w:bCs/>
                <w:color w:val="auto"/>
                <w:sz w:val="21"/>
                <w:szCs w:val="21"/>
              </w:rPr>
            </w:pPr>
            <w:r>
              <w:rPr>
                <w:rFonts w:hint="eastAsia" w:ascii="Times New Roman" w:hAnsi="Times New Roman"/>
                <w:bCs/>
                <w:color w:val="auto"/>
                <w:sz w:val="21"/>
                <w:szCs w:val="21"/>
              </w:rPr>
              <w:t>使用防静电真空吸尘器收集泄漏粉末，装入防爆容器，标注“可燃性粉尘，需惰性化储存”。</w:t>
            </w:r>
          </w:p>
          <w:p w14:paraId="3C533CF1">
            <w:pPr>
              <w:pStyle w:val="60"/>
              <w:snapToGrid w:val="0"/>
              <w:spacing w:line="360" w:lineRule="auto"/>
              <w:ind w:left="0" w:firstLine="422" w:firstLineChars="200"/>
              <w:rPr>
                <w:rFonts w:hint="eastAsia" w:ascii="Times New Roman" w:hAnsi="Times New Roman"/>
                <w:b/>
                <w:bCs w:val="0"/>
                <w:color w:val="auto"/>
                <w:sz w:val="21"/>
                <w:szCs w:val="21"/>
              </w:rPr>
            </w:pPr>
            <w:r>
              <w:rPr>
                <w:rFonts w:hint="eastAsia" w:ascii="Times New Roman" w:hAnsi="Times New Roman"/>
                <w:b/>
                <w:bCs w:val="0"/>
                <w:color w:val="auto"/>
                <w:sz w:val="21"/>
                <w:szCs w:val="21"/>
              </w:rPr>
              <w:t>应急预案与演练</w:t>
            </w:r>
          </w:p>
          <w:p w14:paraId="4AF5A996">
            <w:pPr>
              <w:pStyle w:val="60"/>
              <w:snapToGrid w:val="0"/>
              <w:spacing w:line="360" w:lineRule="auto"/>
              <w:ind w:left="0" w:firstLine="420" w:firstLineChars="200"/>
              <w:rPr>
                <w:rFonts w:hint="eastAsia" w:ascii="Times New Roman" w:hAnsi="Times New Roman"/>
                <w:bCs/>
                <w:color w:val="auto"/>
                <w:sz w:val="21"/>
                <w:szCs w:val="21"/>
              </w:rPr>
            </w:pPr>
            <w:r>
              <w:rPr>
                <w:rFonts w:hint="eastAsia" w:ascii="Times New Roman" w:hAnsi="Times New Roman"/>
                <w:bCs/>
                <w:color w:val="auto"/>
                <w:sz w:val="21"/>
                <w:szCs w:val="21"/>
              </w:rPr>
              <w:t>编制专项预案：明确涉爆粉尘事故的报警程序、应急小组职责、疏散路线、灭火器材配置（如在清粉区附近放置2-3具干粉灭火器和灭火毯）。</w:t>
            </w:r>
          </w:p>
          <w:p w14:paraId="5D57B7FF">
            <w:pPr>
              <w:pStyle w:val="60"/>
              <w:snapToGrid w:val="0"/>
              <w:spacing w:line="360" w:lineRule="auto"/>
              <w:ind w:left="0" w:firstLine="420" w:firstLineChars="200"/>
              <w:rPr>
                <w:rFonts w:hint="eastAsia" w:ascii="Times New Roman" w:hAnsi="Times New Roman" w:eastAsia="宋体"/>
                <w:bCs/>
                <w:color w:val="auto"/>
                <w:sz w:val="21"/>
                <w:szCs w:val="21"/>
                <w:lang w:eastAsia="zh-CN"/>
              </w:rPr>
            </w:pPr>
            <w:r>
              <w:rPr>
                <w:rFonts w:hint="eastAsia" w:ascii="Times New Roman" w:hAnsi="Times New Roman"/>
                <w:bCs/>
                <w:color w:val="auto"/>
                <w:sz w:val="21"/>
                <w:szCs w:val="21"/>
              </w:rPr>
              <w:t>定期演练：每半年至少开展1次粉尘爆炸应急演练，验证预案有效性（如模拟清粉舱起火后的惰性气体启动、人员疏散路线是否畅通）</w:t>
            </w:r>
            <w:r>
              <w:rPr>
                <w:rFonts w:hint="eastAsia" w:ascii="Times New Roman" w:hAnsi="Times New Roman"/>
                <w:bCs/>
                <w:color w:val="auto"/>
                <w:sz w:val="21"/>
                <w:szCs w:val="21"/>
                <w:lang w:eastAsia="zh-CN"/>
              </w:rPr>
              <w:t>。</w:t>
            </w:r>
          </w:p>
          <w:p w14:paraId="7FB81DE0">
            <w:pPr>
              <w:pStyle w:val="60"/>
              <w:snapToGrid w:val="0"/>
              <w:spacing w:line="360" w:lineRule="auto"/>
              <w:ind w:left="0" w:firstLine="420" w:firstLineChars="200"/>
              <w:rPr>
                <w:rFonts w:ascii="Times New Roman" w:hAnsi="Times New Roman"/>
                <w:bCs/>
                <w:color w:val="auto"/>
                <w:sz w:val="21"/>
                <w:szCs w:val="21"/>
              </w:rPr>
            </w:pPr>
            <w:r>
              <w:rPr>
                <w:rFonts w:hint="eastAsia" w:ascii="Times New Roman" w:hAnsi="Times New Roman"/>
                <w:bCs/>
                <w:color w:val="auto"/>
                <w:sz w:val="21"/>
                <w:szCs w:val="21"/>
                <w:lang w:val="en-US" w:eastAsia="zh-CN"/>
              </w:rPr>
              <w:t>⑤</w:t>
            </w:r>
            <w:r>
              <w:rPr>
                <w:rFonts w:ascii="Times New Roman" w:hAnsi="Times New Roman"/>
                <w:bCs/>
                <w:color w:val="auto"/>
                <w:sz w:val="21"/>
                <w:szCs w:val="21"/>
              </w:rPr>
              <w:t>应急物资</w:t>
            </w:r>
          </w:p>
          <w:p w14:paraId="52AB6737">
            <w:pPr>
              <w:adjustRightInd w:val="0"/>
              <w:snapToGrid w:val="0"/>
              <w:spacing w:line="360" w:lineRule="auto"/>
              <w:ind w:firstLine="420" w:firstLineChars="200"/>
              <w:rPr>
                <w:bCs/>
                <w:color w:val="auto"/>
                <w:szCs w:val="21"/>
              </w:rPr>
            </w:pPr>
            <w:r>
              <w:rPr>
                <w:bCs/>
                <w:color w:val="auto"/>
                <w:szCs w:val="21"/>
              </w:rPr>
              <w:t>目前厂内已配置一定数量的灭火器、消防沙等应急物资，可及时应对发生的泄漏事故。</w:t>
            </w:r>
          </w:p>
          <w:p w14:paraId="7B4F46BE">
            <w:pPr>
              <w:pStyle w:val="60"/>
              <w:snapToGrid w:val="0"/>
              <w:spacing w:line="360" w:lineRule="auto"/>
              <w:ind w:left="0" w:firstLine="420" w:firstLineChars="200"/>
              <w:rPr>
                <w:rFonts w:ascii="Times New Roman" w:hAnsi="Times New Roman"/>
                <w:bCs/>
                <w:color w:val="auto"/>
                <w:sz w:val="21"/>
                <w:szCs w:val="21"/>
              </w:rPr>
            </w:pPr>
            <w:r>
              <w:rPr>
                <w:rFonts w:hint="eastAsia" w:ascii="Times New Roman" w:hAnsi="Times New Roman"/>
                <w:bCs/>
                <w:color w:val="auto"/>
                <w:sz w:val="21"/>
                <w:szCs w:val="21"/>
                <w:lang w:val="en-US" w:eastAsia="zh-CN"/>
              </w:rPr>
              <w:t>⑥</w:t>
            </w:r>
            <w:r>
              <w:rPr>
                <w:rFonts w:ascii="Times New Roman" w:hAnsi="Times New Roman"/>
                <w:bCs/>
                <w:color w:val="auto"/>
                <w:sz w:val="21"/>
                <w:szCs w:val="21"/>
              </w:rPr>
              <w:t>应急监测</w:t>
            </w:r>
          </w:p>
          <w:p w14:paraId="738B25BF">
            <w:pPr>
              <w:adjustRightInd w:val="0"/>
              <w:snapToGrid w:val="0"/>
              <w:spacing w:line="360" w:lineRule="auto"/>
              <w:ind w:firstLine="420" w:firstLineChars="200"/>
              <w:rPr>
                <w:bCs/>
                <w:color w:val="auto"/>
                <w:szCs w:val="21"/>
              </w:rPr>
            </w:pPr>
            <w:r>
              <w:rPr>
                <w:bCs/>
                <w:color w:val="auto"/>
                <w:szCs w:val="21"/>
              </w:rPr>
              <w:t>由于公司目前无监测能力，因此发生突发环境事件时，已委托环境应急监测专业机构负责对事故现场进行现场应急监测，对事故性质、参数与后果进行评估，为指挥部门提供决策依据。</w:t>
            </w:r>
            <w:r>
              <w:rPr>
                <w:rFonts w:hint="eastAsia"/>
                <w:bCs/>
                <w:color w:val="auto"/>
                <w:szCs w:val="21"/>
                <w:lang w:val="en-US" w:eastAsia="zh-CN"/>
              </w:rPr>
              <w:t>部分原料可燃，</w:t>
            </w:r>
            <w:r>
              <w:rPr>
                <w:rFonts w:hint="eastAsia"/>
                <w:color w:val="auto"/>
              </w:rPr>
              <w:t>受热或接触火焰可能会产生膨胀或爆炸性分解</w:t>
            </w:r>
            <w:r>
              <w:rPr>
                <w:bCs/>
                <w:color w:val="auto"/>
                <w:szCs w:val="21"/>
              </w:rPr>
              <w:t>，在储运过程中可能发生火灾事故；发生火灾事故时，其灭火方式将采用消防水，因此，其可能的次生污染为火灾消防废水、消防土等，产生的伴生污染为燃烧产物，参考物质化学组分，燃烧产物主要为一氧化碳、二氧化碳、烟尘、氮氧化物等。故主要监测的大气因子为：颗粒物、氮氧化物；监测的水质因子为：pH、COD、SS、氨氮、总磷、石油类等；具体可根据事故情况做调整。</w:t>
            </w:r>
          </w:p>
          <w:p w14:paraId="1168E953">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22" w:firstLineChars="200"/>
              <w:textAlignment w:val="auto"/>
              <w:rPr>
                <w:rFonts w:hint="eastAsia" w:ascii="Times New Roman" w:hAnsi="Times New Roman" w:eastAsia="宋体" w:cs="Times New Roman"/>
                <w:b/>
                <w:bCs w:val="0"/>
                <w:color w:val="auto"/>
                <w:szCs w:val="21"/>
                <w:lang w:eastAsia="zh-CN"/>
              </w:rPr>
            </w:pPr>
            <w:r>
              <w:rPr>
                <w:rFonts w:hint="eastAsia" w:ascii="Times New Roman" w:hAnsi="Times New Roman" w:eastAsia="宋体" w:cs="Times New Roman"/>
                <w:b/>
                <w:bCs w:val="0"/>
                <w:color w:val="auto"/>
                <w:szCs w:val="21"/>
                <w:lang w:eastAsia="zh-CN"/>
              </w:rPr>
              <w:t>（</w:t>
            </w:r>
            <w:r>
              <w:rPr>
                <w:rFonts w:hint="eastAsia" w:ascii="Times New Roman" w:hAnsi="Times New Roman" w:eastAsia="宋体" w:cs="Times New Roman"/>
                <w:b/>
                <w:bCs w:val="0"/>
                <w:color w:val="auto"/>
                <w:szCs w:val="21"/>
                <w:lang w:val="en-US" w:eastAsia="zh-CN"/>
              </w:rPr>
              <w:t>4</w:t>
            </w:r>
            <w:r>
              <w:rPr>
                <w:rFonts w:hint="eastAsia" w:ascii="Times New Roman" w:hAnsi="Times New Roman" w:eastAsia="宋体" w:cs="Times New Roman"/>
                <w:b/>
                <w:bCs w:val="0"/>
                <w:color w:val="auto"/>
                <w:szCs w:val="21"/>
                <w:lang w:eastAsia="zh-CN"/>
              </w:rPr>
              <w:t>）</w:t>
            </w:r>
            <w:r>
              <w:rPr>
                <w:rFonts w:hint="default" w:ascii="Times New Roman" w:hAnsi="Times New Roman" w:eastAsia="宋体" w:cs="Times New Roman"/>
                <w:b/>
                <w:bCs w:val="0"/>
                <w:color w:val="auto"/>
                <w:szCs w:val="21"/>
                <w:lang w:val="en-US" w:eastAsia="zh-CN"/>
              </w:rPr>
              <w:t>与</w:t>
            </w:r>
            <w:r>
              <w:rPr>
                <w:rFonts w:hint="eastAsia" w:ascii="Times New Roman" w:hAnsi="Times New Roman" w:eastAsia="宋体" w:cs="Times New Roman"/>
                <w:b/>
                <w:bCs w:val="0"/>
                <w:color w:val="auto"/>
                <w:szCs w:val="21"/>
                <w:lang w:val="en-US" w:eastAsia="zh-CN"/>
              </w:rPr>
              <w:t>厂区</w:t>
            </w:r>
            <w:r>
              <w:rPr>
                <w:rFonts w:hint="default" w:ascii="Times New Roman" w:hAnsi="Times New Roman" w:eastAsia="宋体" w:cs="Times New Roman"/>
                <w:b/>
                <w:bCs w:val="0"/>
                <w:color w:val="auto"/>
                <w:szCs w:val="21"/>
                <w:lang w:val="en-US" w:eastAsia="zh-CN"/>
              </w:rPr>
              <w:t>应急设施衔接内容</w:t>
            </w:r>
          </w:p>
          <w:p w14:paraId="1E8AE313">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20" w:firstLineChars="200"/>
              <w:textAlignment w:val="auto"/>
              <w:rPr>
                <w:rFonts w:hint="eastAsia" w:ascii="Times New Roman" w:hAnsi="Times New Roman" w:eastAsia="宋体" w:cs="Times New Roman"/>
                <w:bCs/>
                <w:color w:val="auto"/>
                <w:szCs w:val="21"/>
              </w:rPr>
            </w:pPr>
            <w:r>
              <w:rPr>
                <w:rFonts w:hint="eastAsia" w:ascii="Times New Roman" w:hAnsi="Times New Roman" w:eastAsia="宋体" w:cs="Times New Roman"/>
                <w:bCs/>
                <w:color w:val="auto"/>
                <w:szCs w:val="21"/>
                <w:lang w:val="en-US" w:eastAsia="zh-CN"/>
              </w:rPr>
              <w:t>建设单位厂区目前未设置应急事故池，雨水排口</w:t>
            </w:r>
            <w:r>
              <w:rPr>
                <w:rFonts w:hint="eastAsia" w:cs="Times New Roman"/>
                <w:bCs/>
                <w:color w:val="auto"/>
                <w:szCs w:val="21"/>
                <w:lang w:val="en-US" w:eastAsia="zh-CN"/>
              </w:rPr>
              <w:t>未</w:t>
            </w:r>
            <w:r>
              <w:rPr>
                <w:rFonts w:hint="eastAsia" w:ascii="Times New Roman" w:hAnsi="Times New Roman" w:eastAsia="宋体" w:cs="Times New Roman"/>
                <w:bCs/>
                <w:color w:val="auto"/>
                <w:szCs w:val="21"/>
                <w:lang w:val="en-US" w:eastAsia="zh-CN"/>
              </w:rPr>
              <w:t>设置阀门</w:t>
            </w:r>
            <w:r>
              <w:rPr>
                <w:rFonts w:hint="eastAsia" w:ascii="Times New Roman" w:hAnsi="Times New Roman" w:eastAsia="宋体" w:cs="Times New Roman"/>
                <w:bCs/>
                <w:color w:val="auto"/>
                <w:szCs w:val="21"/>
              </w:rPr>
              <w:t>，</w:t>
            </w:r>
            <w:r>
              <w:rPr>
                <w:rFonts w:hint="eastAsia" w:ascii="Times New Roman" w:hAnsi="Times New Roman" w:eastAsia="宋体" w:cs="Times New Roman"/>
                <w:bCs/>
                <w:color w:val="auto"/>
                <w:szCs w:val="21"/>
                <w:lang w:val="en-US" w:eastAsia="zh-CN"/>
              </w:rPr>
              <w:t>厂区将</w:t>
            </w:r>
            <w:r>
              <w:rPr>
                <w:rFonts w:hint="eastAsia" w:ascii="Times New Roman" w:hAnsi="Times New Roman" w:eastAsia="宋体" w:cs="Times New Roman"/>
                <w:bCs/>
                <w:color w:val="auto"/>
                <w:szCs w:val="21"/>
              </w:rPr>
              <w:t>拟建一座应急事故池</w:t>
            </w:r>
            <w:r>
              <w:rPr>
                <w:rFonts w:hint="eastAsia" w:ascii="Times New Roman" w:hAnsi="Times New Roman" w:eastAsia="宋体" w:cs="Times New Roman"/>
                <w:bCs/>
                <w:color w:val="auto"/>
                <w:szCs w:val="21"/>
                <w:lang w:val="en-US" w:eastAsia="zh-CN"/>
              </w:rPr>
              <w:t>与水管网管链接，雨水排口设置阀门</w:t>
            </w:r>
            <w:r>
              <w:rPr>
                <w:rFonts w:hint="eastAsia" w:ascii="Times New Roman" w:hAnsi="Times New Roman" w:eastAsia="宋体" w:cs="Times New Roman"/>
                <w:bCs/>
                <w:color w:val="auto"/>
                <w:szCs w:val="21"/>
              </w:rPr>
              <w:t>，且厂区内已配备相应应急物资、建立相应应急管理制度，可对突发环境事件及时作出响应。当企业内部力量不足时，应立即向</w:t>
            </w:r>
            <w:r>
              <w:rPr>
                <w:rFonts w:hint="eastAsia" w:ascii="Times New Roman" w:hAnsi="Times New Roman" w:eastAsia="宋体" w:cs="Times New Roman"/>
                <w:bCs/>
                <w:color w:val="auto"/>
                <w:szCs w:val="21"/>
                <w:lang w:val="en-US" w:eastAsia="zh-CN"/>
              </w:rPr>
              <w:t>房东</w:t>
            </w:r>
            <w:r>
              <w:rPr>
                <w:rFonts w:hint="eastAsia" w:ascii="Times New Roman" w:hAnsi="Times New Roman" w:eastAsia="宋体" w:cs="Times New Roman"/>
                <w:bCs/>
                <w:color w:val="auto"/>
                <w:szCs w:val="21"/>
              </w:rPr>
              <w:t>汇报情况并请求支援，在必要情况下</w:t>
            </w:r>
            <w:r>
              <w:rPr>
                <w:rFonts w:hint="eastAsia" w:ascii="Times New Roman" w:hAnsi="Times New Roman" w:eastAsia="宋体" w:cs="Times New Roman"/>
                <w:bCs/>
                <w:color w:val="auto"/>
                <w:szCs w:val="21"/>
                <w:lang w:val="en-US" w:eastAsia="zh-CN"/>
              </w:rPr>
              <w:t>金坛经济</w:t>
            </w:r>
            <w:r>
              <w:rPr>
                <w:rFonts w:hint="eastAsia" w:ascii="Times New Roman" w:hAnsi="Times New Roman" w:eastAsia="宋体" w:cs="Times New Roman"/>
                <w:bCs/>
                <w:color w:val="auto"/>
                <w:szCs w:val="21"/>
              </w:rPr>
              <w:t>开发区可提供应急救援队伍、应急物资和装备等，支持现场应急救援及处置工作。</w:t>
            </w:r>
          </w:p>
          <w:p w14:paraId="6A3E884D">
            <w:pPr>
              <w:snapToGrid w:val="0"/>
              <w:spacing w:line="360" w:lineRule="auto"/>
              <w:ind w:left="420" w:leftChars="200"/>
              <w:rPr>
                <w:b/>
                <w:bCs/>
                <w:color w:val="auto"/>
                <w:szCs w:val="21"/>
              </w:rPr>
            </w:pPr>
            <w:r>
              <w:rPr>
                <w:rFonts w:hint="eastAsia"/>
                <w:b/>
                <w:bCs/>
                <w:color w:val="auto"/>
                <w:szCs w:val="21"/>
              </w:rPr>
              <w:t>3</w:t>
            </w:r>
            <w:r>
              <w:rPr>
                <w:b/>
                <w:bCs/>
                <w:color w:val="auto"/>
                <w:szCs w:val="21"/>
              </w:rPr>
              <w:t>、突发事故对策和应急预案</w:t>
            </w:r>
          </w:p>
          <w:p w14:paraId="51A1D304">
            <w:pPr>
              <w:adjustRightInd w:val="0"/>
              <w:snapToGrid w:val="0"/>
              <w:spacing w:line="360" w:lineRule="auto"/>
              <w:ind w:firstLine="420" w:firstLineChars="200"/>
              <w:rPr>
                <w:color w:val="auto"/>
                <w:szCs w:val="21"/>
              </w:rPr>
            </w:pPr>
            <w:r>
              <w:rPr>
                <w:color w:val="auto"/>
                <w:szCs w:val="21"/>
              </w:rPr>
              <w:t>当发生</w:t>
            </w:r>
            <w:r>
              <w:rPr>
                <w:rFonts w:hint="eastAsia"/>
                <w:color w:val="auto"/>
                <w:szCs w:val="21"/>
              </w:rPr>
              <w:t>泄漏、</w:t>
            </w:r>
            <w:r>
              <w:rPr>
                <w:color w:val="auto"/>
                <w:szCs w:val="21"/>
              </w:rPr>
              <w:t>火灾爆炸等事故后，由公司应急救援领导小组根据事故情况，对事故的影响和危害性进行判断，若为一般事故，只需启动一级应急救援相关程序，由现场值班的专职、兼职消防人员以及操作人员组成一级应急队伍，开展抢险救援行动。若事故规模较大、危害较严重，应急救援领导小组应迅速成立现场应急救援指挥部，由公司经理以及专业人员组成，并根据事故现场抢险救援的需要，在专职和兼职应急救援人员的基础上，组建各抢险救援、医疗救护、警戒、通讯、信息发布等专业队伍，全面投入应急救援行动中。</w:t>
            </w:r>
          </w:p>
          <w:p w14:paraId="5D68B558">
            <w:pPr>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textAlignment w:val="auto"/>
              <w:rPr>
                <w:b/>
                <w:color w:val="auto"/>
                <w:szCs w:val="21"/>
              </w:rPr>
            </w:pPr>
            <w:r>
              <w:rPr>
                <w:rFonts w:hint="eastAsia"/>
                <w:b/>
                <w:color w:val="auto"/>
                <w:szCs w:val="21"/>
              </w:rPr>
              <w:t>4</w:t>
            </w:r>
            <w:r>
              <w:rPr>
                <w:b/>
                <w:color w:val="auto"/>
                <w:szCs w:val="21"/>
              </w:rPr>
              <w:t>、结论</w:t>
            </w:r>
          </w:p>
          <w:p w14:paraId="0B786B29">
            <w:pPr>
              <w:spacing w:line="360" w:lineRule="auto"/>
              <w:ind w:firstLine="411" w:firstLineChars="196"/>
              <w:rPr>
                <w:bCs/>
                <w:color w:val="auto"/>
                <w:szCs w:val="21"/>
              </w:rPr>
            </w:pPr>
            <w:r>
              <w:rPr>
                <w:bCs/>
                <w:color w:val="auto"/>
                <w:szCs w:val="21"/>
              </w:rPr>
              <w:t>建设项目经采取有效的事故防范、减缓措施，加强风险防范和应急预案，环境风险可控。</w:t>
            </w:r>
          </w:p>
          <w:p w14:paraId="6670C8E2">
            <w:pPr>
              <w:keepNext w:val="0"/>
              <w:keepLines w:val="0"/>
              <w:pageBreakBefore w:val="0"/>
              <w:widowControl w:val="0"/>
              <w:kinsoku/>
              <w:wordWrap/>
              <w:overflowPunct/>
              <w:topLinePunct w:val="0"/>
              <w:autoSpaceDE/>
              <w:autoSpaceDN/>
              <w:bidi w:val="0"/>
              <w:adjustRightInd w:val="0"/>
              <w:snapToGrid w:val="0"/>
              <w:jc w:val="center"/>
              <w:textAlignment w:val="auto"/>
              <w:rPr>
                <w:b/>
                <w:bCs/>
                <w:color w:val="auto"/>
                <w:szCs w:val="21"/>
              </w:rPr>
            </w:pPr>
            <w:r>
              <w:rPr>
                <w:b/>
                <w:bCs/>
                <w:color w:val="auto"/>
                <w:szCs w:val="21"/>
              </w:rPr>
              <w:t>表4-</w:t>
            </w:r>
            <w:r>
              <w:rPr>
                <w:rFonts w:hint="eastAsia"/>
                <w:b/>
                <w:bCs/>
                <w:color w:val="auto"/>
                <w:szCs w:val="21"/>
                <w:lang w:val="en-US" w:eastAsia="zh-CN"/>
              </w:rPr>
              <w:t>32</w:t>
            </w:r>
            <w:r>
              <w:rPr>
                <w:b/>
                <w:bCs/>
                <w:color w:val="auto"/>
                <w:szCs w:val="21"/>
              </w:rPr>
              <w:t xml:space="preserve"> 建设项目环境风险简单分析内容表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25"/>
              <w:gridCol w:w="1140"/>
              <w:gridCol w:w="1504"/>
              <w:gridCol w:w="1356"/>
              <w:gridCol w:w="2955"/>
            </w:tblGrid>
            <w:tr w14:paraId="496979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pct"/>
                  <w:noWrap w:val="0"/>
                  <w:tcMar>
                    <w:top w:w="0" w:type="dxa"/>
                    <w:left w:w="0" w:type="dxa"/>
                    <w:bottom w:w="0" w:type="dxa"/>
                    <w:right w:w="0" w:type="dxa"/>
                  </w:tcMar>
                  <w:vAlign w:val="center"/>
                </w:tcPr>
                <w:p w14:paraId="6274C7D0">
                  <w:pPr>
                    <w:jc w:val="center"/>
                    <w:rPr>
                      <w:color w:val="auto"/>
                      <w:sz w:val="21"/>
                      <w:szCs w:val="21"/>
                    </w:rPr>
                  </w:pPr>
                  <w:r>
                    <w:rPr>
                      <w:color w:val="auto"/>
                      <w:sz w:val="21"/>
                      <w:szCs w:val="21"/>
                    </w:rPr>
                    <w:t>建设项目名称</w:t>
                  </w:r>
                </w:p>
              </w:tc>
              <w:tc>
                <w:tcPr>
                  <w:tcW w:w="4149" w:type="pct"/>
                  <w:gridSpan w:val="4"/>
                  <w:noWrap w:val="0"/>
                  <w:tcMar>
                    <w:top w:w="0" w:type="dxa"/>
                    <w:left w:w="0" w:type="dxa"/>
                    <w:bottom w:w="0" w:type="dxa"/>
                    <w:right w:w="0" w:type="dxa"/>
                  </w:tcMar>
                  <w:vAlign w:val="center"/>
                </w:tcPr>
                <w:p w14:paraId="198C9688">
                  <w:pPr>
                    <w:jc w:val="center"/>
                    <w:rPr>
                      <w:rFonts w:hint="eastAsia" w:eastAsia="宋体"/>
                      <w:color w:val="auto"/>
                      <w:sz w:val="21"/>
                      <w:szCs w:val="21"/>
                      <w:lang w:eastAsia="zh-CN"/>
                    </w:rPr>
                  </w:pPr>
                  <w:r>
                    <w:rPr>
                      <w:rFonts w:hint="eastAsia"/>
                      <w:color w:val="auto"/>
                      <w:sz w:val="21"/>
                      <w:szCs w:val="21"/>
                      <w:lang w:eastAsia="zh-CN"/>
                    </w:rPr>
                    <w:t>新建热塑性弹性体及汽车密封件项目</w:t>
                  </w:r>
                </w:p>
              </w:tc>
            </w:tr>
            <w:tr w14:paraId="6C1E24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pct"/>
                  <w:noWrap w:val="0"/>
                  <w:tcMar>
                    <w:top w:w="0" w:type="dxa"/>
                    <w:left w:w="0" w:type="dxa"/>
                    <w:bottom w:w="0" w:type="dxa"/>
                    <w:right w:w="0" w:type="dxa"/>
                  </w:tcMar>
                  <w:vAlign w:val="center"/>
                </w:tcPr>
                <w:p w14:paraId="0ABDD9A6">
                  <w:pPr>
                    <w:jc w:val="center"/>
                    <w:rPr>
                      <w:color w:val="auto"/>
                      <w:sz w:val="21"/>
                      <w:szCs w:val="21"/>
                    </w:rPr>
                  </w:pPr>
                  <w:r>
                    <w:rPr>
                      <w:color w:val="auto"/>
                      <w:sz w:val="21"/>
                      <w:szCs w:val="21"/>
                    </w:rPr>
                    <w:t>建设地点</w:t>
                  </w:r>
                </w:p>
              </w:tc>
              <w:tc>
                <w:tcPr>
                  <w:tcW w:w="680" w:type="pct"/>
                  <w:noWrap w:val="0"/>
                  <w:tcMar>
                    <w:top w:w="0" w:type="dxa"/>
                    <w:left w:w="0" w:type="dxa"/>
                    <w:bottom w:w="0" w:type="dxa"/>
                    <w:right w:w="0" w:type="dxa"/>
                  </w:tcMar>
                  <w:vAlign w:val="center"/>
                </w:tcPr>
                <w:p w14:paraId="09907805">
                  <w:pPr>
                    <w:jc w:val="center"/>
                    <w:rPr>
                      <w:color w:val="auto"/>
                      <w:sz w:val="21"/>
                      <w:szCs w:val="21"/>
                    </w:rPr>
                  </w:pPr>
                  <w:r>
                    <w:rPr>
                      <w:color w:val="auto"/>
                      <w:sz w:val="21"/>
                      <w:szCs w:val="21"/>
                    </w:rPr>
                    <w:t>江苏省</w:t>
                  </w:r>
                </w:p>
              </w:tc>
              <w:tc>
                <w:tcPr>
                  <w:tcW w:w="897" w:type="pct"/>
                  <w:noWrap w:val="0"/>
                  <w:tcMar>
                    <w:top w:w="0" w:type="dxa"/>
                    <w:left w:w="0" w:type="dxa"/>
                    <w:bottom w:w="0" w:type="dxa"/>
                    <w:right w:w="0" w:type="dxa"/>
                  </w:tcMar>
                  <w:vAlign w:val="center"/>
                </w:tcPr>
                <w:p w14:paraId="7091AB80">
                  <w:pPr>
                    <w:jc w:val="center"/>
                    <w:rPr>
                      <w:color w:val="auto"/>
                      <w:sz w:val="21"/>
                      <w:szCs w:val="21"/>
                    </w:rPr>
                  </w:pPr>
                  <w:r>
                    <w:rPr>
                      <w:color w:val="auto"/>
                      <w:sz w:val="21"/>
                      <w:szCs w:val="21"/>
                    </w:rPr>
                    <w:t>常州市</w:t>
                  </w:r>
                </w:p>
              </w:tc>
              <w:tc>
                <w:tcPr>
                  <w:tcW w:w="808" w:type="pct"/>
                  <w:noWrap w:val="0"/>
                  <w:tcMar>
                    <w:top w:w="0" w:type="dxa"/>
                    <w:left w:w="0" w:type="dxa"/>
                    <w:bottom w:w="0" w:type="dxa"/>
                    <w:right w:w="0" w:type="dxa"/>
                  </w:tcMar>
                  <w:vAlign w:val="center"/>
                </w:tcPr>
                <w:p w14:paraId="05D95ACD">
                  <w:pPr>
                    <w:jc w:val="center"/>
                    <w:rPr>
                      <w:color w:val="auto"/>
                      <w:sz w:val="21"/>
                      <w:szCs w:val="21"/>
                    </w:rPr>
                  </w:pPr>
                  <w:r>
                    <w:rPr>
                      <w:color w:val="auto"/>
                      <w:sz w:val="21"/>
                      <w:szCs w:val="21"/>
                    </w:rPr>
                    <w:t>金坛区</w:t>
                  </w:r>
                </w:p>
              </w:tc>
              <w:tc>
                <w:tcPr>
                  <w:tcW w:w="1762" w:type="pct"/>
                  <w:noWrap w:val="0"/>
                  <w:tcMar>
                    <w:top w:w="0" w:type="dxa"/>
                    <w:left w:w="0" w:type="dxa"/>
                    <w:bottom w:w="0" w:type="dxa"/>
                    <w:right w:w="0" w:type="dxa"/>
                  </w:tcMar>
                  <w:vAlign w:val="center"/>
                </w:tcPr>
                <w:p w14:paraId="5CAAB352">
                  <w:pPr>
                    <w:jc w:val="center"/>
                    <w:rPr>
                      <w:color w:val="auto"/>
                      <w:sz w:val="21"/>
                      <w:szCs w:val="21"/>
                    </w:rPr>
                  </w:pPr>
                  <w:r>
                    <w:rPr>
                      <w:rFonts w:hint="eastAsia"/>
                      <w:color w:val="auto"/>
                      <w:sz w:val="21"/>
                      <w:szCs w:val="21"/>
                    </w:rPr>
                    <w:t>南二环东路2777号</w:t>
                  </w:r>
                </w:p>
              </w:tc>
            </w:tr>
            <w:tr w14:paraId="264AF3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pct"/>
                  <w:noWrap w:val="0"/>
                  <w:tcMar>
                    <w:top w:w="0" w:type="dxa"/>
                    <w:left w:w="0" w:type="dxa"/>
                    <w:bottom w:w="0" w:type="dxa"/>
                    <w:right w:w="0" w:type="dxa"/>
                  </w:tcMar>
                  <w:vAlign w:val="center"/>
                </w:tcPr>
                <w:p w14:paraId="61BB6E8C">
                  <w:pPr>
                    <w:jc w:val="center"/>
                    <w:rPr>
                      <w:color w:val="auto"/>
                      <w:sz w:val="21"/>
                      <w:szCs w:val="21"/>
                    </w:rPr>
                  </w:pPr>
                  <w:r>
                    <w:rPr>
                      <w:color w:val="auto"/>
                      <w:sz w:val="21"/>
                      <w:szCs w:val="21"/>
                    </w:rPr>
                    <w:t>地理坐标</w:t>
                  </w:r>
                </w:p>
              </w:tc>
              <w:tc>
                <w:tcPr>
                  <w:tcW w:w="680" w:type="pct"/>
                  <w:noWrap w:val="0"/>
                  <w:tcMar>
                    <w:top w:w="0" w:type="dxa"/>
                    <w:left w:w="0" w:type="dxa"/>
                    <w:bottom w:w="0" w:type="dxa"/>
                    <w:right w:w="0" w:type="dxa"/>
                  </w:tcMar>
                  <w:vAlign w:val="center"/>
                </w:tcPr>
                <w:p w14:paraId="21E9F599">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经度</w:t>
                  </w:r>
                </w:p>
              </w:tc>
              <w:tc>
                <w:tcPr>
                  <w:tcW w:w="897" w:type="pct"/>
                  <w:noWrap w:val="0"/>
                  <w:tcMar>
                    <w:top w:w="0" w:type="dxa"/>
                    <w:left w:w="0" w:type="dxa"/>
                    <w:bottom w:w="0" w:type="dxa"/>
                    <w:right w:w="0" w:type="dxa"/>
                  </w:tcMar>
                  <w:vAlign w:val="center"/>
                </w:tcPr>
                <w:p w14:paraId="522C5FF7">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119.609108</w:t>
                  </w:r>
                </w:p>
              </w:tc>
              <w:tc>
                <w:tcPr>
                  <w:tcW w:w="808" w:type="pct"/>
                  <w:noWrap w:val="0"/>
                  <w:tcMar>
                    <w:top w:w="0" w:type="dxa"/>
                    <w:left w:w="0" w:type="dxa"/>
                    <w:bottom w:w="0" w:type="dxa"/>
                    <w:right w:w="0" w:type="dxa"/>
                  </w:tcMar>
                  <w:vAlign w:val="center"/>
                </w:tcPr>
                <w:p w14:paraId="611616AA">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纬度</w:t>
                  </w:r>
                </w:p>
              </w:tc>
              <w:tc>
                <w:tcPr>
                  <w:tcW w:w="1762" w:type="pct"/>
                  <w:noWrap w:val="0"/>
                  <w:tcMar>
                    <w:top w:w="0" w:type="dxa"/>
                    <w:left w:w="0" w:type="dxa"/>
                    <w:bottom w:w="0" w:type="dxa"/>
                    <w:right w:w="0" w:type="dxa"/>
                  </w:tcMar>
                  <w:vAlign w:val="center"/>
                </w:tcPr>
                <w:p w14:paraId="34F7D985">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31.758823</w:t>
                  </w:r>
                </w:p>
              </w:tc>
            </w:tr>
            <w:tr w14:paraId="4E6100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pct"/>
                  <w:vMerge w:val="restart"/>
                  <w:noWrap w:val="0"/>
                  <w:tcMar>
                    <w:top w:w="0" w:type="dxa"/>
                    <w:left w:w="0" w:type="dxa"/>
                    <w:bottom w:w="0" w:type="dxa"/>
                    <w:right w:w="0" w:type="dxa"/>
                  </w:tcMar>
                  <w:vAlign w:val="center"/>
                </w:tcPr>
                <w:p w14:paraId="09DCE54A">
                  <w:pPr>
                    <w:jc w:val="center"/>
                    <w:rPr>
                      <w:color w:val="auto"/>
                      <w:sz w:val="21"/>
                      <w:szCs w:val="21"/>
                    </w:rPr>
                  </w:pPr>
                  <w:r>
                    <w:rPr>
                      <w:color w:val="auto"/>
                      <w:sz w:val="21"/>
                      <w:szCs w:val="21"/>
                    </w:rPr>
                    <w:t>主要危险物质及分布</w:t>
                  </w:r>
                </w:p>
              </w:tc>
              <w:tc>
                <w:tcPr>
                  <w:tcW w:w="2386" w:type="pct"/>
                  <w:gridSpan w:val="3"/>
                  <w:noWrap w:val="0"/>
                  <w:tcMar>
                    <w:top w:w="0" w:type="dxa"/>
                    <w:left w:w="0" w:type="dxa"/>
                    <w:bottom w:w="0" w:type="dxa"/>
                    <w:right w:w="0" w:type="dxa"/>
                  </w:tcMar>
                  <w:vAlign w:val="center"/>
                </w:tcPr>
                <w:p w14:paraId="6466145F">
                  <w:pPr>
                    <w:jc w:val="center"/>
                    <w:rPr>
                      <w:color w:val="auto"/>
                      <w:sz w:val="21"/>
                      <w:szCs w:val="21"/>
                    </w:rPr>
                  </w:pPr>
                  <w:r>
                    <w:rPr>
                      <w:color w:val="auto"/>
                      <w:sz w:val="21"/>
                      <w:szCs w:val="21"/>
                    </w:rPr>
                    <w:t>主要危险物质</w:t>
                  </w:r>
                </w:p>
              </w:tc>
              <w:tc>
                <w:tcPr>
                  <w:tcW w:w="1762" w:type="pct"/>
                  <w:noWrap w:val="0"/>
                  <w:tcMar>
                    <w:top w:w="0" w:type="dxa"/>
                    <w:left w:w="0" w:type="dxa"/>
                    <w:bottom w:w="0" w:type="dxa"/>
                    <w:right w:w="0" w:type="dxa"/>
                  </w:tcMar>
                  <w:vAlign w:val="center"/>
                </w:tcPr>
                <w:p w14:paraId="3DC353AF">
                  <w:pPr>
                    <w:jc w:val="center"/>
                    <w:rPr>
                      <w:color w:val="auto"/>
                      <w:sz w:val="21"/>
                      <w:szCs w:val="21"/>
                    </w:rPr>
                  </w:pPr>
                  <w:r>
                    <w:rPr>
                      <w:color w:val="auto"/>
                      <w:sz w:val="21"/>
                      <w:szCs w:val="21"/>
                    </w:rPr>
                    <w:t>分布</w:t>
                  </w:r>
                </w:p>
              </w:tc>
            </w:tr>
            <w:tr w14:paraId="4B7D6C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pct"/>
                  <w:vMerge w:val="continue"/>
                  <w:noWrap w:val="0"/>
                  <w:tcMar>
                    <w:top w:w="0" w:type="dxa"/>
                    <w:left w:w="0" w:type="dxa"/>
                    <w:bottom w:w="0" w:type="dxa"/>
                    <w:right w:w="0" w:type="dxa"/>
                  </w:tcMar>
                  <w:vAlign w:val="center"/>
                </w:tcPr>
                <w:p w14:paraId="4D32CC33">
                  <w:pPr>
                    <w:jc w:val="center"/>
                    <w:rPr>
                      <w:color w:val="auto"/>
                      <w:sz w:val="21"/>
                      <w:szCs w:val="21"/>
                    </w:rPr>
                  </w:pPr>
                </w:p>
              </w:tc>
              <w:tc>
                <w:tcPr>
                  <w:tcW w:w="2386" w:type="pct"/>
                  <w:gridSpan w:val="3"/>
                  <w:noWrap w:val="0"/>
                  <w:tcMar>
                    <w:top w:w="0" w:type="dxa"/>
                    <w:left w:w="0" w:type="dxa"/>
                    <w:bottom w:w="0" w:type="dxa"/>
                    <w:right w:w="0" w:type="dxa"/>
                  </w:tcMar>
                  <w:vAlign w:val="center"/>
                </w:tcPr>
                <w:p w14:paraId="068A4A5B">
                  <w:pPr>
                    <w:jc w:val="center"/>
                    <w:rPr>
                      <w:rFonts w:hint="default" w:eastAsia="宋体"/>
                      <w:color w:val="auto"/>
                      <w:sz w:val="21"/>
                      <w:szCs w:val="21"/>
                      <w:lang w:val="en-US" w:eastAsia="zh-CN"/>
                    </w:rPr>
                  </w:pPr>
                  <w:r>
                    <w:rPr>
                      <w:rFonts w:hint="eastAsia"/>
                      <w:color w:val="auto"/>
                      <w:sz w:val="21"/>
                      <w:szCs w:val="21"/>
                      <w:lang w:val="en-US" w:eastAsia="zh-CN"/>
                    </w:rPr>
                    <w:t>润滑油、</w:t>
                  </w:r>
                  <w:r>
                    <w:rPr>
                      <w:rFonts w:ascii="Times New Roman" w:hAnsi="Times New Roman"/>
                      <w:color w:val="auto"/>
                      <w:szCs w:val="21"/>
                    </w:rPr>
                    <w:t>环保增塑剂</w:t>
                  </w:r>
                  <w:r>
                    <w:rPr>
                      <w:rFonts w:hint="eastAsia" w:ascii="Times New Roman" w:hAnsi="Times New Roman"/>
                      <w:color w:val="auto"/>
                      <w:szCs w:val="21"/>
                      <w:lang w:eastAsia="zh-CN"/>
                    </w:rPr>
                    <w:t>、</w:t>
                  </w:r>
                  <w:r>
                    <w:rPr>
                      <w:rFonts w:hint="eastAsia" w:ascii="Times New Roman" w:hAnsi="Times New Roman"/>
                      <w:color w:val="auto"/>
                      <w:szCs w:val="21"/>
                      <w:lang w:val="en-US" w:eastAsia="zh-CN"/>
                    </w:rPr>
                    <w:t>抗氧剂</w:t>
                  </w:r>
                </w:p>
              </w:tc>
              <w:tc>
                <w:tcPr>
                  <w:tcW w:w="1762" w:type="pct"/>
                  <w:noWrap w:val="0"/>
                  <w:tcMar>
                    <w:top w:w="0" w:type="dxa"/>
                    <w:left w:w="0" w:type="dxa"/>
                    <w:bottom w:w="0" w:type="dxa"/>
                    <w:right w:w="0" w:type="dxa"/>
                  </w:tcMar>
                  <w:vAlign w:val="center"/>
                </w:tcPr>
                <w:p w14:paraId="411C9AFD">
                  <w:pPr>
                    <w:jc w:val="center"/>
                    <w:rPr>
                      <w:rFonts w:hint="default" w:eastAsia="宋体"/>
                      <w:color w:val="auto"/>
                      <w:sz w:val="21"/>
                      <w:szCs w:val="21"/>
                      <w:lang w:val="en-US" w:eastAsia="zh-CN"/>
                    </w:rPr>
                  </w:pPr>
                  <w:r>
                    <w:rPr>
                      <w:rFonts w:hint="eastAsia"/>
                      <w:color w:val="auto"/>
                      <w:sz w:val="21"/>
                      <w:szCs w:val="21"/>
                      <w:lang w:val="en-US" w:eastAsia="zh-CN"/>
                    </w:rPr>
                    <w:t>原料仓库</w:t>
                  </w:r>
                </w:p>
              </w:tc>
            </w:tr>
            <w:tr w14:paraId="34DAF4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pct"/>
                  <w:vMerge w:val="continue"/>
                  <w:noWrap w:val="0"/>
                  <w:tcMar>
                    <w:top w:w="0" w:type="dxa"/>
                    <w:left w:w="0" w:type="dxa"/>
                    <w:bottom w:w="0" w:type="dxa"/>
                    <w:right w:w="0" w:type="dxa"/>
                  </w:tcMar>
                  <w:vAlign w:val="center"/>
                </w:tcPr>
                <w:p w14:paraId="48DC634F">
                  <w:pPr>
                    <w:jc w:val="center"/>
                    <w:rPr>
                      <w:color w:val="auto"/>
                      <w:sz w:val="21"/>
                      <w:szCs w:val="21"/>
                    </w:rPr>
                  </w:pPr>
                </w:p>
              </w:tc>
              <w:tc>
                <w:tcPr>
                  <w:tcW w:w="2386" w:type="pct"/>
                  <w:gridSpan w:val="3"/>
                  <w:noWrap w:val="0"/>
                  <w:tcMar>
                    <w:top w:w="0" w:type="dxa"/>
                    <w:left w:w="0" w:type="dxa"/>
                    <w:bottom w:w="0" w:type="dxa"/>
                    <w:right w:w="0" w:type="dxa"/>
                  </w:tcMar>
                  <w:vAlign w:val="center"/>
                </w:tcPr>
                <w:p w14:paraId="45BE41E7">
                  <w:pPr>
                    <w:jc w:val="center"/>
                    <w:rPr>
                      <w:rFonts w:hint="default" w:eastAsia="宋体"/>
                      <w:color w:val="auto"/>
                      <w:sz w:val="21"/>
                      <w:szCs w:val="21"/>
                      <w:lang w:val="en-US" w:eastAsia="zh-CN"/>
                    </w:rPr>
                  </w:pPr>
                  <w:r>
                    <w:rPr>
                      <w:rFonts w:hint="eastAsia"/>
                      <w:color w:val="auto"/>
                      <w:sz w:val="21"/>
                      <w:szCs w:val="21"/>
                      <w:lang w:val="en-US" w:eastAsia="zh-CN"/>
                    </w:rPr>
                    <w:t>喷淋塔废液、废油桶、废包装桶、废活性炭、废含油抹布等</w:t>
                  </w:r>
                </w:p>
              </w:tc>
              <w:tc>
                <w:tcPr>
                  <w:tcW w:w="1762" w:type="pct"/>
                  <w:noWrap w:val="0"/>
                  <w:tcMar>
                    <w:top w:w="0" w:type="dxa"/>
                    <w:left w:w="0" w:type="dxa"/>
                    <w:bottom w:w="0" w:type="dxa"/>
                    <w:right w:w="0" w:type="dxa"/>
                  </w:tcMar>
                  <w:vAlign w:val="center"/>
                </w:tcPr>
                <w:p w14:paraId="07ADA60F">
                  <w:pPr>
                    <w:jc w:val="center"/>
                    <w:rPr>
                      <w:color w:val="auto"/>
                      <w:sz w:val="21"/>
                      <w:szCs w:val="21"/>
                    </w:rPr>
                  </w:pPr>
                  <w:r>
                    <w:rPr>
                      <w:color w:val="auto"/>
                      <w:sz w:val="21"/>
                      <w:szCs w:val="21"/>
                    </w:rPr>
                    <w:t>危废仓库</w:t>
                  </w:r>
                </w:p>
              </w:tc>
            </w:tr>
            <w:tr w14:paraId="278996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pct"/>
                  <w:noWrap w:val="0"/>
                  <w:tcMar>
                    <w:top w:w="0" w:type="dxa"/>
                    <w:left w:w="0" w:type="dxa"/>
                    <w:bottom w:w="0" w:type="dxa"/>
                    <w:right w:w="0" w:type="dxa"/>
                  </w:tcMar>
                  <w:vAlign w:val="center"/>
                </w:tcPr>
                <w:p w14:paraId="07E60DE7">
                  <w:pPr>
                    <w:jc w:val="center"/>
                    <w:rPr>
                      <w:color w:val="auto"/>
                      <w:sz w:val="21"/>
                      <w:szCs w:val="21"/>
                    </w:rPr>
                  </w:pPr>
                  <w:r>
                    <w:rPr>
                      <w:color w:val="auto"/>
                      <w:sz w:val="21"/>
                      <w:szCs w:val="21"/>
                    </w:rPr>
                    <w:t>环境影响途径及危害后果（大气、地表水、地下水等）</w:t>
                  </w:r>
                </w:p>
              </w:tc>
              <w:tc>
                <w:tcPr>
                  <w:tcW w:w="4149" w:type="pct"/>
                  <w:gridSpan w:val="4"/>
                  <w:noWrap w:val="0"/>
                  <w:tcMar>
                    <w:top w:w="0" w:type="dxa"/>
                    <w:left w:w="0" w:type="dxa"/>
                    <w:bottom w:w="0" w:type="dxa"/>
                    <w:right w:w="0" w:type="dxa"/>
                  </w:tcMar>
                  <w:vAlign w:val="center"/>
                </w:tcPr>
                <w:p w14:paraId="239F30B9">
                  <w:pPr>
                    <w:jc w:val="center"/>
                    <w:rPr>
                      <w:bCs/>
                      <w:color w:val="auto"/>
                      <w:sz w:val="21"/>
                      <w:szCs w:val="21"/>
                    </w:rPr>
                  </w:pPr>
                  <w:r>
                    <w:rPr>
                      <w:bCs/>
                      <w:color w:val="auto"/>
                      <w:sz w:val="21"/>
                      <w:szCs w:val="21"/>
                    </w:rPr>
                    <w:t>本项目危险物质主要分布在</w:t>
                  </w:r>
                  <w:r>
                    <w:rPr>
                      <w:rFonts w:hint="eastAsia" w:eastAsia="宋体"/>
                      <w:color w:val="auto"/>
                      <w:sz w:val="21"/>
                      <w:szCs w:val="21"/>
                      <w:lang w:val="en-US" w:eastAsia="zh-CN"/>
                    </w:rPr>
                    <w:t>线切割区</w:t>
                  </w:r>
                  <w:r>
                    <w:rPr>
                      <w:bCs/>
                      <w:color w:val="auto"/>
                      <w:sz w:val="21"/>
                      <w:szCs w:val="21"/>
                    </w:rPr>
                    <w:t>、危废仓库</w:t>
                  </w:r>
                  <w:r>
                    <w:rPr>
                      <w:rFonts w:hint="eastAsia"/>
                      <w:bCs/>
                      <w:color w:val="auto"/>
                      <w:sz w:val="21"/>
                      <w:szCs w:val="21"/>
                      <w:lang w:val="en-US" w:eastAsia="zh-CN"/>
                    </w:rPr>
                    <w:t>等</w:t>
                  </w:r>
                  <w:r>
                    <w:rPr>
                      <w:bCs/>
                      <w:color w:val="auto"/>
                      <w:sz w:val="21"/>
                      <w:szCs w:val="21"/>
                    </w:rPr>
                    <w:t>，对环境影响途径为危险物质泄漏，液体进入雨水管网向外环境扩散，泄漏的危险物质扩散进水中，通过雨水管网进入附近水体，危险物质在下渗过程中会污染地下水，进而流入周围的河流，造成整个周围地区水环境的污染。</w:t>
                  </w:r>
                </w:p>
              </w:tc>
            </w:tr>
            <w:tr w14:paraId="3339C4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pct"/>
                  <w:noWrap w:val="0"/>
                  <w:tcMar>
                    <w:top w:w="0" w:type="dxa"/>
                    <w:left w:w="0" w:type="dxa"/>
                    <w:bottom w:w="0" w:type="dxa"/>
                    <w:right w:w="0" w:type="dxa"/>
                  </w:tcMar>
                  <w:vAlign w:val="center"/>
                </w:tcPr>
                <w:p w14:paraId="47D1F6FF">
                  <w:pPr>
                    <w:jc w:val="center"/>
                    <w:rPr>
                      <w:color w:val="auto"/>
                      <w:sz w:val="21"/>
                      <w:szCs w:val="21"/>
                    </w:rPr>
                  </w:pPr>
                  <w:r>
                    <w:rPr>
                      <w:color w:val="auto"/>
                      <w:sz w:val="21"/>
                      <w:szCs w:val="21"/>
                    </w:rPr>
                    <w:t>风险防范措施要求</w:t>
                  </w:r>
                </w:p>
              </w:tc>
              <w:tc>
                <w:tcPr>
                  <w:tcW w:w="4149" w:type="pct"/>
                  <w:gridSpan w:val="4"/>
                  <w:noWrap w:val="0"/>
                  <w:tcMar>
                    <w:top w:w="0" w:type="dxa"/>
                    <w:left w:w="0" w:type="dxa"/>
                    <w:bottom w:w="0" w:type="dxa"/>
                    <w:right w:w="0" w:type="dxa"/>
                  </w:tcMar>
                  <w:vAlign w:val="center"/>
                </w:tcPr>
                <w:p w14:paraId="6ED8034D">
                  <w:pPr>
                    <w:ind w:firstLine="420" w:firstLineChars="200"/>
                    <w:rPr>
                      <w:bCs/>
                      <w:color w:val="auto"/>
                      <w:sz w:val="21"/>
                      <w:szCs w:val="21"/>
                    </w:rPr>
                  </w:pPr>
                  <w:r>
                    <w:rPr>
                      <w:bCs/>
                      <w:color w:val="auto"/>
                      <w:sz w:val="21"/>
                      <w:szCs w:val="21"/>
                    </w:rPr>
                    <w:t>①物料储运安全防范措施</w:t>
                  </w:r>
                </w:p>
                <w:p w14:paraId="045341BB">
                  <w:pPr>
                    <w:ind w:firstLine="420" w:firstLineChars="200"/>
                    <w:rPr>
                      <w:bCs/>
                      <w:color w:val="auto"/>
                      <w:sz w:val="21"/>
                      <w:szCs w:val="21"/>
                    </w:rPr>
                  </w:pPr>
                  <w:r>
                    <w:rPr>
                      <w:bCs/>
                      <w:color w:val="auto"/>
                      <w:sz w:val="21"/>
                      <w:szCs w:val="21"/>
                    </w:rPr>
                    <w:t>包装过程要求包装材料与危险物相适应、包装封口与危险物相适应；包装标志执行《危险货物包装标志》</w:t>
                  </w:r>
                  <w:r>
                    <w:rPr>
                      <w:rFonts w:hint="eastAsia"/>
                      <w:bCs/>
                      <w:color w:val="auto"/>
                      <w:sz w:val="21"/>
                      <w:szCs w:val="21"/>
                    </w:rPr>
                    <w:t>（</w:t>
                  </w:r>
                  <w:r>
                    <w:rPr>
                      <w:bCs/>
                      <w:color w:val="auto"/>
                      <w:sz w:val="21"/>
                      <w:szCs w:val="21"/>
                    </w:rPr>
                    <w:t>GB190-2009</w:t>
                  </w:r>
                  <w:r>
                    <w:rPr>
                      <w:rFonts w:hint="eastAsia"/>
                      <w:bCs/>
                      <w:color w:val="auto"/>
                      <w:sz w:val="21"/>
                      <w:szCs w:val="21"/>
                    </w:rPr>
                    <w:t>）</w:t>
                  </w:r>
                  <w:r>
                    <w:rPr>
                      <w:bCs/>
                      <w:color w:val="auto"/>
                      <w:sz w:val="21"/>
                      <w:szCs w:val="21"/>
                    </w:rPr>
                    <w:t>和《危险货物运输图示标志》</w:t>
                  </w:r>
                  <w:r>
                    <w:rPr>
                      <w:rFonts w:hint="eastAsia"/>
                      <w:bCs/>
                      <w:color w:val="auto"/>
                      <w:sz w:val="21"/>
                      <w:szCs w:val="21"/>
                    </w:rPr>
                    <w:t>（</w:t>
                  </w:r>
                  <w:r>
                    <w:rPr>
                      <w:bCs/>
                      <w:color w:val="auto"/>
                      <w:sz w:val="21"/>
                      <w:szCs w:val="21"/>
                    </w:rPr>
                    <w:t>GB191-2008</w:t>
                  </w:r>
                  <w:r>
                    <w:rPr>
                      <w:rFonts w:hint="eastAsia"/>
                      <w:bCs/>
                      <w:color w:val="auto"/>
                      <w:sz w:val="21"/>
                      <w:szCs w:val="21"/>
                    </w:rPr>
                    <w:t>）</w:t>
                  </w:r>
                  <w:r>
                    <w:rPr>
                      <w:bCs/>
                      <w:color w:val="auto"/>
                      <w:sz w:val="21"/>
                      <w:szCs w:val="21"/>
                    </w:rPr>
                    <w:t>。运输过程应执行《危险货物运输包装通用技术条件》</w:t>
                  </w:r>
                  <w:r>
                    <w:rPr>
                      <w:rFonts w:hint="eastAsia"/>
                      <w:bCs/>
                      <w:color w:val="auto"/>
                      <w:sz w:val="21"/>
                      <w:szCs w:val="21"/>
                    </w:rPr>
                    <w:t>（</w:t>
                  </w:r>
                  <w:r>
                    <w:rPr>
                      <w:bCs/>
                      <w:color w:val="auto"/>
                      <w:sz w:val="21"/>
                      <w:szCs w:val="21"/>
                    </w:rPr>
                    <w:t>GB12465-2009</w:t>
                  </w:r>
                  <w:r>
                    <w:rPr>
                      <w:rFonts w:hint="eastAsia"/>
                      <w:bCs/>
                      <w:color w:val="auto"/>
                      <w:sz w:val="21"/>
                      <w:szCs w:val="21"/>
                    </w:rPr>
                    <w:t>）</w:t>
                  </w:r>
                  <w:r>
                    <w:rPr>
                      <w:bCs/>
                      <w:color w:val="auto"/>
                      <w:sz w:val="21"/>
                      <w:szCs w:val="21"/>
                    </w:rPr>
                    <w:t>和各种运输方式的《危险货物运输规则》。装卸过程要求防震、防撞、防倾斜；断火源、禁火种；通风和降温。</w:t>
                  </w:r>
                </w:p>
                <w:p w14:paraId="11254C1F">
                  <w:pPr>
                    <w:ind w:firstLine="420" w:firstLineChars="200"/>
                    <w:rPr>
                      <w:bCs/>
                      <w:color w:val="auto"/>
                      <w:sz w:val="21"/>
                      <w:szCs w:val="21"/>
                    </w:rPr>
                  </w:pPr>
                  <w:r>
                    <w:rPr>
                      <w:bCs/>
                      <w:color w:val="auto"/>
                      <w:sz w:val="21"/>
                      <w:szCs w:val="21"/>
                    </w:rPr>
                    <w:t>②物料储存、泄漏事故的防范措施</w:t>
                  </w:r>
                </w:p>
                <w:p w14:paraId="2B5680EF">
                  <w:pPr>
                    <w:ind w:firstLine="420" w:firstLineChars="200"/>
                    <w:rPr>
                      <w:bCs/>
                      <w:color w:val="auto"/>
                      <w:sz w:val="21"/>
                      <w:szCs w:val="21"/>
                    </w:rPr>
                  </w:pPr>
                  <w:r>
                    <w:rPr>
                      <w:bCs/>
                      <w:color w:val="auto"/>
                      <w:sz w:val="21"/>
                      <w:szCs w:val="21"/>
                    </w:rPr>
                    <w:t>仓库设置防止物料泄漏流失和扩散到环境的设施，以及收集系统，严禁吸烟，并按规定设置安全警示标志。原料包装必须严密，保持库房内干燥通风、密封避光，安装通风设施，夏季高温时应采取如喷淋降温、遮阳和防高温隔绝涂料等措施。装卸、搬运时应做到轻装、轻卸，严禁摔、碰、撞、击、拖拉、倾倒和滚动。操作人员应根据物品危险性，穿戴相应的防护用品。作业中不得饮食，不得用手擦嘴、脸、眼睛。每次作业完毕，应及时用肥皂（或专用洗涤剂）洗净面部、手部，用清水漱口，防护用具应及时清洗，集中存放。装卸作业结束后，应当对库区进行检查，确认安全后，方可离开。通过加强管理，提高员工的安全意识，可降低发生泄漏的概率。</w:t>
                  </w:r>
                </w:p>
                <w:p w14:paraId="7B74B585">
                  <w:pPr>
                    <w:ind w:firstLine="420" w:firstLineChars="200"/>
                    <w:rPr>
                      <w:bCs/>
                      <w:color w:val="auto"/>
                      <w:sz w:val="21"/>
                      <w:szCs w:val="21"/>
                    </w:rPr>
                  </w:pPr>
                  <w:r>
                    <w:rPr>
                      <w:bCs/>
                      <w:color w:val="auto"/>
                      <w:sz w:val="21"/>
                      <w:szCs w:val="21"/>
                    </w:rPr>
                    <w:t>③火灾爆炸事故的防范措施</w:t>
                  </w:r>
                </w:p>
                <w:p w14:paraId="093DB313">
                  <w:pPr>
                    <w:ind w:firstLine="420" w:firstLineChars="200"/>
                    <w:rPr>
                      <w:bCs/>
                      <w:color w:val="auto"/>
                      <w:sz w:val="21"/>
                      <w:szCs w:val="21"/>
                    </w:rPr>
                  </w:pPr>
                  <w:r>
                    <w:rPr>
                      <w:bCs/>
                      <w:color w:val="auto"/>
                      <w:sz w:val="21"/>
                      <w:szCs w:val="21"/>
                    </w:rPr>
                    <w:t>按照《建筑设计防火规范》</w:t>
                  </w:r>
                  <w:r>
                    <w:rPr>
                      <w:rFonts w:hint="eastAsia"/>
                      <w:bCs/>
                      <w:color w:val="auto"/>
                      <w:sz w:val="21"/>
                      <w:szCs w:val="21"/>
                    </w:rPr>
                    <w:t>（GB50016-2014，2018年版）</w:t>
                  </w:r>
                  <w:r>
                    <w:rPr>
                      <w:bCs/>
                      <w:color w:val="auto"/>
                      <w:sz w:val="21"/>
                      <w:szCs w:val="21"/>
                    </w:rPr>
                    <w:t>等标准的要求建设生产厂房，设置防火间距、平面布置等。定期对设备进行安全检测，检测内容、时间、人员应有记录保存。安全检测根据设备的安全性、危险性设定检测频次。设备检修过程中，要严格按照操作规程进行，防止火灾事故的发生。加强火源的管理，严禁烟火带入，对设备需进行维修焊接，经安全部门确认、准许，并有记录。机动车在厂内行驶，须安装阻火器，必要设备安装防火装置。要有完善的安全消防措施。各重点部位需设置灭火器，并且对其作定期检查。</w:t>
                  </w:r>
                </w:p>
                <w:p w14:paraId="1C3C6911">
                  <w:pPr>
                    <w:ind w:firstLine="420" w:firstLineChars="200"/>
                    <w:rPr>
                      <w:bCs/>
                      <w:color w:val="auto"/>
                      <w:sz w:val="21"/>
                      <w:szCs w:val="21"/>
                    </w:rPr>
                  </w:pPr>
                  <w:r>
                    <w:rPr>
                      <w:bCs/>
                      <w:color w:val="auto"/>
                      <w:sz w:val="21"/>
                      <w:szCs w:val="21"/>
                    </w:rPr>
                    <w:t>④危废仓库风险防范措施</w:t>
                  </w:r>
                </w:p>
                <w:p w14:paraId="3C880D46">
                  <w:pPr>
                    <w:ind w:firstLine="420" w:firstLineChars="200"/>
                    <w:rPr>
                      <w:bCs/>
                      <w:color w:val="auto"/>
                      <w:sz w:val="21"/>
                      <w:szCs w:val="21"/>
                    </w:rPr>
                  </w:pPr>
                  <w:r>
                    <w:rPr>
                      <w:bCs/>
                      <w:color w:val="auto"/>
                      <w:sz w:val="21"/>
                      <w:szCs w:val="21"/>
                    </w:rPr>
                    <w:t>危险废物分类存放到危废仓库，做好进出库管理，及时登记，账物相符，并做好贮存场所和危废包装的标识工作。危废堆场要做到“</w:t>
                  </w:r>
                  <w:r>
                    <w:rPr>
                      <w:rFonts w:hint="eastAsia"/>
                      <w:bCs/>
                      <w:color w:val="auto"/>
                      <w:sz w:val="21"/>
                      <w:szCs w:val="21"/>
                    </w:rPr>
                    <w:t>六</w:t>
                  </w:r>
                  <w:r>
                    <w:rPr>
                      <w:bCs/>
                      <w:color w:val="auto"/>
                      <w:sz w:val="21"/>
                      <w:szCs w:val="21"/>
                    </w:rPr>
                    <w:t>防”，即：防风、防晒、防雨、防漏、防渗、防腐；地面与裙脚要用坚固、防渗的材料建造，建筑材料必须与危险废物相容。通道、出入口和通向消防设施的道路保持畅通，同时配置合格的消防器材，并确保其处于完好状态。</w:t>
                  </w:r>
                </w:p>
              </w:tc>
            </w:tr>
            <w:tr w14:paraId="178348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pct"/>
                  <w:noWrap w:val="0"/>
                  <w:tcMar>
                    <w:top w:w="0" w:type="dxa"/>
                    <w:left w:w="0" w:type="dxa"/>
                    <w:bottom w:w="0" w:type="dxa"/>
                    <w:right w:w="0" w:type="dxa"/>
                  </w:tcMar>
                  <w:vAlign w:val="center"/>
                </w:tcPr>
                <w:p w14:paraId="4B659CC0">
                  <w:pPr>
                    <w:jc w:val="center"/>
                    <w:rPr>
                      <w:color w:val="auto"/>
                      <w:sz w:val="21"/>
                      <w:szCs w:val="21"/>
                    </w:rPr>
                  </w:pPr>
                  <w:r>
                    <w:rPr>
                      <w:color w:val="auto"/>
                      <w:sz w:val="21"/>
                      <w:szCs w:val="21"/>
                    </w:rPr>
                    <w:t>填表说明（列出项目相关信息及评价说明）</w:t>
                  </w:r>
                </w:p>
              </w:tc>
              <w:tc>
                <w:tcPr>
                  <w:tcW w:w="4149" w:type="pct"/>
                  <w:gridSpan w:val="4"/>
                  <w:noWrap w:val="0"/>
                  <w:tcMar>
                    <w:top w:w="0" w:type="dxa"/>
                    <w:left w:w="0" w:type="dxa"/>
                    <w:bottom w:w="0" w:type="dxa"/>
                    <w:right w:w="0" w:type="dxa"/>
                  </w:tcMar>
                  <w:vAlign w:val="center"/>
                </w:tcPr>
                <w:p w14:paraId="608F7243">
                  <w:pPr>
                    <w:jc w:val="center"/>
                    <w:rPr>
                      <w:color w:val="auto"/>
                      <w:sz w:val="21"/>
                      <w:szCs w:val="21"/>
                    </w:rPr>
                  </w:pPr>
                  <w:r>
                    <w:rPr>
                      <w:color w:val="auto"/>
                      <w:sz w:val="21"/>
                      <w:szCs w:val="21"/>
                    </w:rPr>
                    <w:t>本表根据《建设项目环境风险评价技术导则》（HJ/T169-2018）中“简单分析”工作等级在危险物质、环境影响途径、环境危害后果、风险防范措施等方面给出定性的说明</w:t>
                  </w:r>
                </w:p>
              </w:tc>
            </w:tr>
          </w:tbl>
          <w:p w14:paraId="72EFEF53">
            <w:pPr>
              <w:pStyle w:val="2"/>
              <w:spacing w:before="120" w:beforeLines="50" w:after="0" w:line="360" w:lineRule="auto"/>
              <w:ind w:firstLine="420" w:firstLineChars="200"/>
              <w:rPr>
                <w:rFonts w:hint="eastAsia"/>
                <w:b/>
                <w:color w:val="auto"/>
                <w:szCs w:val="21"/>
              </w:rPr>
            </w:pPr>
            <w:r>
              <w:rPr>
                <w:bCs/>
                <w:color w:val="auto"/>
                <w:szCs w:val="21"/>
              </w:rPr>
              <w:t>本项目通过审批后，</w:t>
            </w:r>
            <w:r>
              <w:rPr>
                <w:rFonts w:hint="eastAsia"/>
                <w:color w:val="auto"/>
                <w:szCs w:val="21"/>
              </w:rPr>
              <w:t>建设单位</w:t>
            </w:r>
            <w:r>
              <w:rPr>
                <w:rFonts w:hint="eastAsia"/>
                <w:bCs/>
                <w:color w:val="auto"/>
                <w:szCs w:val="21"/>
              </w:rPr>
              <w:t>进行编制环境应急预案</w:t>
            </w:r>
            <w:r>
              <w:rPr>
                <w:bCs/>
                <w:color w:val="auto"/>
                <w:szCs w:val="21"/>
              </w:rPr>
              <w:t>，并提交环保部门备案</w:t>
            </w:r>
            <w:r>
              <w:rPr>
                <w:rFonts w:hint="eastAsia"/>
                <w:bCs/>
                <w:color w:val="auto"/>
                <w:szCs w:val="21"/>
              </w:rPr>
              <w:t>。</w:t>
            </w:r>
          </w:p>
          <w:p w14:paraId="4F5FD07E">
            <w:pPr>
              <w:adjustRightInd w:val="0"/>
              <w:snapToGrid w:val="0"/>
              <w:spacing w:line="360" w:lineRule="auto"/>
              <w:ind w:firstLine="422" w:firstLineChars="200"/>
              <w:rPr>
                <w:b/>
                <w:color w:val="auto"/>
                <w:szCs w:val="21"/>
              </w:rPr>
            </w:pPr>
            <w:r>
              <w:rPr>
                <w:rFonts w:hint="eastAsia"/>
                <w:b/>
                <w:color w:val="auto"/>
                <w:szCs w:val="21"/>
              </w:rPr>
              <w:t>七</w:t>
            </w:r>
            <w:r>
              <w:rPr>
                <w:b/>
                <w:color w:val="auto"/>
                <w:szCs w:val="21"/>
              </w:rPr>
              <w:t>、碳排放</w:t>
            </w:r>
          </w:p>
          <w:p w14:paraId="53E35D49">
            <w:pPr>
              <w:pStyle w:val="67"/>
              <w:adjustRightInd w:val="0"/>
              <w:snapToGrid w:val="0"/>
              <w:spacing w:line="360" w:lineRule="auto"/>
              <w:ind w:firstLine="422"/>
              <w:rPr>
                <w:rFonts w:ascii="Times New Roman" w:hAnsi="Times New Roman" w:eastAsia="宋体"/>
                <w:b/>
                <w:bCs/>
                <w:color w:val="auto"/>
                <w:sz w:val="21"/>
                <w:szCs w:val="21"/>
              </w:rPr>
            </w:pPr>
            <w:r>
              <w:rPr>
                <w:rFonts w:hint="eastAsia" w:eastAsia="宋体"/>
                <w:b/>
                <w:bCs/>
                <w:color w:val="auto"/>
                <w:sz w:val="21"/>
                <w:szCs w:val="21"/>
              </w:rPr>
              <w:t>1、</w:t>
            </w:r>
            <w:r>
              <w:rPr>
                <w:rFonts w:ascii="Times New Roman" w:hAnsi="Times New Roman" w:eastAsia="宋体"/>
                <w:b/>
                <w:bCs/>
                <w:color w:val="auto"/>
                <w:sz w:val="21"/>
                <w:szCs w:val="21"/>
              </w:rPr>
              <w:t>建设项目碳排放分析</w:t>
            </w:r>
          </w:p>
          <w:p w14:paraId="52C4C1C0">
            <w:pPr>
              <w:pStyle w:val="69"/>
              <w:spacing w:line="360" w:lineRule="auto"/>
              <w:ind w:firstLine="420" w:firstLineChars="200"/>
              <w:rPr>
                <w:rFonts w:ascii="Times New Roman" w:hAnsi="Times New Roman" w:eastAsia="宋体" w:cs="Times New Roman"/>
                <w:color w:val="auto"/>
                <w:kern w:val="2"/>
                <w:sz w:val="21"/>
                <w:szCs w:val="21"/>
              </w:rPr>
            </w:pPr>
            <w:r>
              <w:rPr>
                <w:rFonts w:ascii="Times New Roman" w:hAnsi="Times New Roman" w:eastAsia="宋体" w:cs="Times New Roman"/>
                <w:color w:val="auto"/>
                <w:kern w:val="2"/>
                <w:sz w:val="21"/>
                <w:szCs w:val="21"/>
              </w:rPr>
              <w:t>本项目碳排放源识别见下表：</w:t>
            </w:r>
          </w:p>
          <w:p w14:paraId="610A03C4">
            <w:pPr>
              <w:pStyle w:val="67"/>
              <w:adjustRightInd w:val="0"/>
              <w:snapToGrid w:val="0"/>
              <w:spacing w:line="240" w:lineRule="auto"/>
              <w:ind w:firstLine="0" w:firstLineChars="0"/>
              <w:jc w:val="center"/>
              <w:rPr>
                <w:rFonts w:ascii="Times New Roman" w:hAnsi="Times New Roman" w:eastAsia="宋体"/>
                <w:b/>
                <w:bCs/>
                <w:color w:val="auto"/>
                <w:sz w:val="21"/>
                <w:szCs w:val="21"/>
              </w:rPr>
            </w:pPr>
            <w:r>
              <w:rPr>
                <w:rFonts w:ascii="Times New Roman" w:hAnsi="Times New Roman" w:eastAsia="宋体"/>
                <w:b/>
                <w:bCs/>
                <w:color w:val="auto"/>
                <w:sz w:val="21"/>
                <w:szCs w:val="21"/>
              </w:rPr>
              <w:t>表4-</w:t>
            </w:r>
            <w:r>
              <w:rPr>
                <w:rFonts w:hint="eastAsia" w:ascii="Times New Roman" w:hAnsi="Times New Roman" w:eastAsia="宋体"/>
                <w:b/>
                <w:bCs/>
                <w:color w:val="auto"/>
                <w:sz w:val="21"/>
                <w:szCs w:val="21"/>
                <w:lang w:val="en-US" w:eastAsia="zh-CN"/>
              </w:rPr>
              <w:t>33</w:t>
            </w:r>
            <w:r>
              <w:rPr>
                <w:rFonts w:ascii="Times New Roman" w:hAnsi="Times New Roman" w:eastAsia="宋体"/>
                <w:b/>
                <w:bCs/>
                <w:color w:val="auto"/>
                <w:sz w:val="21"/>
                <w:szCs w:val="21"/>
              </w:rPr>
              <w:t xml:space="preserve"> 碳排放源识别表</w:t>
            </w:r>
          </w:p>
          <w:tbl>
            <w:tblPr>
              <w:tblStyle w:val="28"/>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92"/>
              <w:gridCol w:w="1205"/>
              <w:gridCol w:w="1188"/>
              <w:gridCol w:w="796"/>
              <w:gridCol w:w="796"/>
              <w:gridCol w:w="796"/>
              <w:gridCol w:w="796"/>
              <w:gridCol w:w="796"/>
              <w:gridCol w:w="796"/>
              <w:gridCol w:w="16"/>
            </w:tblGrid>
            <w:tr w14:paraId="178172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30" w:type="pct"/>
                  <w:gridSpan w:val="2"/>
                  <w:vMerge w:val="restart"/>
                  <w:noWrap w:val="0"/>
                  <w:vAlign w:val="center"/>
                </w:tcPr>
                <w:p w14:paraId="4DBB7B28">
                  <w:pPr>
                    <w:pStyle w:val="67"/>
                    <w:adjustRightInd w:val="0"/>
                    <w:snapToGrid w:val="0"/>
                    <w:spacing w:line="240" w:lineRule="auto"/>
                    <w:ind w:firstLine="0" w:firstLineChars="0"/>
                    <w:jc w:val="center"/>
                    <w:rPr>
                      <w:rFonts w:ascii="Times New Roman" w:hAnsi="Times New Roman" w:eastAsia="宋体"/>
                      <w:b/>
                      <w:bCs/>
                      <w:color w:val="auto"/>
                      <w:sz w:val="21"/>
                      <w:szCs w:val="21"/>
                    </w:rPr>
                  </w:pPr>
                  <w:r>
                    <w:rPr>
                      <w:rFonts w:ascii="Times New Roman" w:hAnsi="Times New Roman" w:eastAsia="宋体"/>
                      <w:b/>
                      <w:bCs/>
                      <w:color w:val="auto"/>
                      <w:sz w:val="21"/>
                      <w:szCs w:val="21"/>
                    </w:rPr>
                    <w:t>排放类型</w:t>
                  </w:r>
                </w:p>
              </w:tc>
              <w:tc>
                <w:tcPr>
                  <w:tcW w:w="709" w:type="pct"/>
                  <w:vMerge w:val="restart"/>
                  <w:noWrap w:val="0"/>
                  <w:vAlign w:val="center"/>
                </w:tcPr>
                <w:p w14:paraId="42EE76A8">
                  <w:pPr>
                    <w:pStyle w:val="67"/>
                    <w:adjustRightInd w:val="0"/>
                    <w:snapToGrid w:val="0"/>
                    <w:spacing w:line="240" w:lineRule="auto"/>
                    <w:ind w:firstLine="0" w:firstLineChars="0"/>
                    <w:jc w:val="center"/>
                    <w:rPr>
                      <w:rFonts w:ascii="Times New Roman" w:hAnsi="Times New Roman" w:eastAsia="宋体"/>
                      <w:b/>
                      <w:bCs/>
                      <w:color w:val="auto"/>
                      <w:sz w:val="21"/>
                      <w:szCs w:val="21"/>
                    </w:rPr>
                  </w:pPr>
                  <w:r>
                    <w:rPr>
                      <w:rFonts w:ascii="Times New Roman" w:hAnsi="Times New Roman" w:eastAsia="宋体"/>
                      <w:b/>
                      <w:bCs/>
                      <w:color w:val="auto"/>
                      <w:sz w:val="21"/>
                      <w:szCs w:val="21"/>
                    </w:rPr>
                    <w:t>设施/材料</w:t>
                  </w:r>
                </w:p>
              </w:tc>
              <w:tc>
                <w:tcPr>
                  <w:tcW w:w="2859" w:type="pct"/>
                  <w:gridSpan w:val="7"/>
                  <w:noWrap w:val="0"/>
                  <w:vAlign w:val="center"/>
                </w:tcPr>
                <w:p w14:paraId="49FDF4C4">
                  <w:pPr>
                    <w:pStyle w:val="67"/>
                    <w:adjustRightInd w:val="0"/>
                    <w:snapToGrid w:val="0"/>
                    <w:spacing w:line="240" w:lineRule="auto"/>
                    <w:ind w:firstLine="0" w:firstLineChars="0"/>
                    <w:jc w:val="center"/>
                    <w:rPr>
                      <w:rFonts w:ascii="Times New Roman" w:hAnsi="Times New Roman" w:eastAsia="宋体"/>
                      <w:b/>
                      <w:bCs/>
                      <w:color w:val="auto"/>
                      <w:sz w:val="21"/>
                      <w:szCs w:val="21"/>
                    </w:rPr>
                  </w:pPr>
                  <w:r>
                    <w:rPr>
                      <w:rFonts w:ascii="Times New Roman" w:hAnsi="Times New Roman" w:eastAsia="宋体"/>
                      <w:b/>
                      <w:bCs/>
                      <w:color w:val="auto"/>
                      <w:sz w:val="21"/>
                      <w:szCs w:val="21"/>
                    </w:rPr>
                    <w:t>温室气体种类</w:t>
                  </w:r>
                </w:p>
              </w:tc>
            </w:tr>
            <w:tr w14:paraId="1001A9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5" w:type="dxa"/>
                <w:trHeight w:val="150" w:hRule="atLeast"/>
              </w:trPr>
              <w:tc>
                <w:tcPr>
                  <w:tcW w:w="1430" w:type="pct"/>
                  <w:gridSpan w:val="2"/>
                  <w:vMerge w:val="continue"/>
                  <w:noWrap w:val="0"/>
                  <w:vAlign w:val="center"/>
                </w:tcPr>
                <w:p w14:paraId="735EFE7D">
                  <w:pPr>
                    <w:pStyle w:val="67"/>
                    <w:adjustRightInd w:val="0"/>
                    <w:snapToGrid w:val="0"/>
                    <w:spacing w:line="240" w:lineRule="auto"/>
                    <w:ind w:firstLine="0" w:firstLineChars="0"/>
                    <w:jc w:val="center"/>
                    <w:rPr>
                      <w:rFonts w:ascii="Times New Roman" w:hAnsi="Times New Roman" w:eastAsia="宋体"/>
                      <w:b/>
                      <w:bCs/>
                      <w:color w:val="auto"/>
                      <w:sz w:val="21"/>
                      <w:szCs w:val="21"/>
                    </w:rPr>
                  </w:pPr>
                </w:p>
              </w:tc>
              <w:tc>
                <w:tcPr>
                  <w:tcW w:w="709" w:type="pct"/>
                  <w:vMerge w:val="continue"/>
                  <w:noWrap w:val="0"/>
                  <w:vAlign w:val="center"/>
                </w:tcPr>
                <w:p w14:paraId="3880F678">
                  <w:pPr>
                    <w:pStyle w:val="67"/>
                    <w:adjustRightInd w:val="0"/>
                    <w:snapToGrid w:val="0"/>
                    <w:spacing w:line="240" w:lineRule="auto"/>
                    <w:ind w:firstLine="0" w:firstLineChars="0"/>
                    <w:jc w:val="center"/>
                    <w:rPr>
                      <w:rFonts w:ascii="Times New Roman" w:hAnsi="Times New Roman" w:eastAsia="宋体"/>
                      <w:b/>
                      <w:bCs/>
                      <w:color w:val="auto"/>
                      <w:sz w:val="21"/>
                      <w:szCs w:val="21"/>
                    </w:rPr>
                  </w:pPr>
                </w:p>
              </w:tc>
              <w:tc>
                <w:tcPr>
                  <w:tcW w:w="475" w:type="pct"/>
                  <w:noWrap w:val="0"/>
                  <w:vAlign w:val="center"/>
                </w:tcPr>
                <w:p w14:paraId="27076C4C">
                  <w:pPr>
                    <w:pStyle w:val="67"/>
                    <w:adjustRightInd w:val="0"/>
                    <w:snapToGrid w:val="0"/>
                    <w:spacing w:line="240" w:lineRule="auto"/>
                    <w:ind w:firstLine="0" w:firstLineChars="0"/>
                    <w:jc w:val="center"/>
                    <w:rPr>
                      <w:rFonts w:ascii="Times New Roman" w:hAnsi="Times New Roman" w:eastAsia="宋体"/>
                      <w:b/>
                      <w:bCs/>
                      <w:color w:val="auto"/>
                      <w:sz w:val="21"/>
                      <w:szCs w:val="21"/>
                    </w:rPr>
                  </w:pPr>
                  <w:r>
                    <w:rPr>
                      <w:rFonts w:ascii="Times New Roman" w:hAnsi="Times New Roman" w:eastAsia="宋体"/>
                      <w:b/>
                      <w:bCs/>
                      <w:color w:val="auto"/>
                      <w:sz w:val="21"/>
                      <w:szCs w:val="21"/>
                    </w:rPr>
                    <w:t>CO</w:t>
                  </w:r>
                  <w:r>
                    <w:rPr>
                      <w:rFonts w:ascii="Times New Roman" w:hAnsi="Times New Roman" w:eastAsia="宋体"/>
                      <w:b/>
                      <w:bCs/>
                      <w:color w:val="auto"/>
                      <w:sz w:val="21"/>
                      <w:szCs w:val="21"/>
                      <w:vertAlign w:val="subscript"/>
                    </w:rPr>
                    <w:t>2</w:t>
                  </w:r>
                </w:p>
              </w:tc>
              <w:tc>
                <w:tcPr>
                  <w:tcW w:w="475" w:type="pct"/>
                  <w:noWrap w:val="0"/>
                  <w:vAlign w:val="center"/>
                </w:tcPr>
                <w:p w14:paraId="1223868D">
                  <w:pPr>
                    <w:pStyle w:val="67"/>
                    <w:adjustRightInd w:val="0"/>
                    <w:snapToGrid w:val="0"/>
                    <w:spacing w:line="240" w:lineRule="auto"/>
                    <w:ind w:firstLine="0" w:firstLineChars="0"/>
                    <w:jc w:val="center"/>
                    <w:rPr>
                      <w:rFonts w:ascii="Times New Roman" w:hAnsi="Times New Roman" w:eastAsia="宋体"/>
                      <w:b/>
                      <w:bCs/>
                      <w:color w:val="auto"/>
                      <w:sz w:val="21"/>
                      <w:szCs w:val="21"/>
                    </w:rPr>
                  </w:pPr>
                  <w:r>
                    <w:rPr>
                      <w:rFonts w:ascii="Times New Roman" w:hAnsi="Times New Roman" w:eastAsia="宋体"/>
                      <w:b/>
                      <w:bCs/>
                      <w:color w:val="auto"/>
                      <w:sz w:val="21"/>
                      <w:szCs w:val="21"/>
                    </w:rPr>
                    <w:t>CH</w:t>
                  </w:r>
                  <w:r>
                    <w:rPr>
                      <w:rFonts w:ascii="Times New Roman" w:hAnsi="Times New Roman" w:eastAsia="宋体"/>
                      <w:b/>
                      <w:bCs/>
                      <w:color w:val="auto"/>
                      <w:sz w:val="21"/>
                      <w:szCs w:val="21"/>
                      <w:vertAlign w:val="subscript"/>
                    </w:rPr>
                    <w:t>4</w:t>
                  </w:r>
                </w:p>
              </w:tc>
              <w:tc>
                <w:tcPr>
                  <w:tcW w:w="475" w:type="pct"/>
                  <w:noWrap w:val="0"/>
                  <w:vAlign w:val="center"/>
                </w:tcPr>
                <w:p w14:paraId="778FC572">
                  <w:pPr>
                    <w:pStyle w:val="67"/>
                    <w:adjustRightInd w:val="0"/>
                    <w:snapToGrid w:val="0"/>
                    <w:spacing w:line="240" w:lineRule="auto"/>
                    <w:ind w:firstLine="0" w:firstLineChars="0"/>
                    <w:jc w:val="center"/>
                    <w:rPr>
                      <w:rFonts w:ascii="Times New Roman" w:hAnsi="Times New Roman" w:eastAsia="宋体"/>
                      <w:b/>
                      <w:bCs/>
                      <w:color w:val="auto"/>
                      <w:sz w:val="21"/>
                      <w:szCs w:val="21"/>
                    </w:rPr>
                  </w:pPr>
                  <w:r>
                    <w:rPr>
                      <w:rFonts w:ascii="Times New Roman" w:hAnsi="Times New Roman" w:eastAsia="宋体"/>
                      <w:b/>
                      <w:bCs/>
                      <w:color w:val="auto"/>
                      <w:sz w:val="21"/>
                      <w:szCs w:val="21"/>
                    </w:rPr>
                    <w:t>N</w:t>
                  </w:r>
                  <w:r>
                    <w:rPr>
                      <w:rFonts w:ascii="Times New Roman" w:hAnsi="Times New Roman" w:eastAsia="宋体"/>
                      <w:b/>
                      <w:bCs/>
                      <w:color w:val="auto"/>
                      <w:sz w:val="21"/>
                      <w:szCs w:val="21"/>
                      <w:vertAlign w:val="subscript"/>
                    </w:rPr>
                    <w:t>2</w:t>
                  </w:r>
                  <w:r>
                    <w:rPr>
                      <w:rFonts w:ascii="Times New Roman" w:hAnsi="Times New Roman" w:eastAsia="宋体"/>
                      <w:b/>
                      <w:bCs/>
                      <w:color w:val="auto"/>
                      <w:sz w:val="21"/>
                      <w:szCs w:val="21"/>
                    </w:rPr>
                    <w:t>O</w:t>
                  </w:r>
                </w:p>
              </w:tc>
              <w:tc>
                <w:tcPr>
                  <w:tcW w:w="475" w:type="pct"/>
                  <w:noWrap w:val="0"/>
                  <w:vAlign w:val="center"/>
                </w:tcPr>
                <w:p w14:paraId="6193C26F">
                  <w:pPr>
                    <w:pStyle w:val="67"/>
                    <w:adjustRightInd w:val="0"/>
                    <w:snapToGrid w:val="0"/>
                    <w:spacing w:line="240" w:lineRule="auto"/>
                    <w:ind w:firstLine="0" w:firstLineChars="0"/>
                    <w:jc w:val="center"/>
                    <w:rPr>
                      <w:rFonts w:ascii="Times New Roman" w:hAnsi="Times New Roman" w:eastAsia="宋体"/>
                      <w:b/>
                      <w:bCs/>
                      <w:color w:val="auto"/>
                      <w:sz w:val="21"/>
                      <w:szCs w:val="21"/>
                    </w:rPr>
                  </w:pPr>
                  <w:r>
                    <w:rPr>
                      <w:rFonts w:ascii="Times New Roman" w:hAnsi="Times New Roman" w:eastAsia="宋体"/>
                      <w:b/>
                      <w:bCs/>
                      <w:color w:val="auto"/>
                      <w:sz w:val="21"/>
                      <w:szCs w:val="21"/>
                    </w:rPr>
                    <w:t>HFCs</w:t>
                  </w:r>
                </w:p>
              </w:tc>
              <w:tc>
                <w:tcPr>
                  <w:tcW w:w="475" w:type="pct"/>
                  <w:noWrap w:val="0"/>
                  <w:vAlign w:val="center"/>
                </w:tcPr>
                <w:p w14:paraId="3E9114FD">
                  <w:pPr>
                    <w:pStyle w:val="67"/>
                    <w:adjustRightInd w:val="0"/>
                    <w:snapToGrid w:val="0"/>
                    <w:spacing w:line="240" w:lineRule="auto"/>
                    <w:ind w:firstLine="0" w:firstLineChars="0"/>
                    <w:jc w:val="center"/>
                    <w:rPr>
                      <w:rFonts w:ascii="Times New Roman" w:hAnsi="Times New Roman" w:eastAsia="宋体"/>
                      <w:b/>
                      <w:bCs/>
                      <w:color w:val="auto"/>
                      <w:sz w:val="21"/>
                      <w:szCs w:val="21"/>
                    </w:rPr>
                  </w:pPr>
                  <w:r>
                    <w:rPr>
                      <w:rFonts w:ascii="Times New Roman" w:hAnsi="Times New Roman" w:eastAsia="宋体"/>
                      <w:b/>
                      <w:bCs/>
                      <w:color w:val="auto"/>
                      <w:sz w:val="21"/>
                      <w:szCs w:val="21"/>
                    </w:rPr>
                    <w:t>PFCs</w:t>
                  </w:r>
                </w:p>
              </w:tc>
              <w:tc>
                <w:tcPr>
                  <w:tcW w:w="475" w:type="pct"/>
                  <w:noWrap w:val="0"/>
                  <w:vAlign w:val="center"/>
                </w:tcPr>
                <w:p w14:paraId="34AE11E2">
                  <w:pPr>
                    <w:pStyle w:val="67"/>
                    <w:adjustRightInd w:val="0"/>
                    <w:snapToGrid w:val="0"/>
                    <w:spacing w:line="240" w:lineRule="auto"/>
                    <w:ind w:firstLine="0" w:firstLineChars="0"/>
                    <w:jc w:val="center"/>
                    <w:rPr>
                      <w:rFonts w:ascii="Times New Roman" w:hAnsi="Times New Roman" w:eastAsia="宋体"/>
                      <w:b/>
                      <w:bCs/>
                      <w:color w:val="auto"/>
                      <w:sz w:val="21"/>
                      <w:szCs w:val="21"/>
                    </w:rPr>
                  </w:pPr>
                  <w:r>
                    <w:rPr>
                      <w:rFonts w:ascii="Times New Roman" w:hAnsi="Times New Roman" w:eastAsia="宋体"/>
                      <w:b/>
                      <w:bCs/>
                      <w:color w:val="auto"/>
                      <w:sz w:val="21"/>
                      <w:szCs w:val="21"/>
                    </w:rPr>
                    <w:t>SF</w:t>
                  </w:r>
                  <w:r>
                    <w:rPr>
                      <w:rFonts w:ascii="Times New Roman" w:hAnsi="Times New Roman" w:eastAsia="宋体"/>
                      <w:b/>
                      <w:bCs/>
                      <w:color w:val="auto"/>
                      <w:sz w:val="21"/>
                      <w:szCs w:val="21"/>
                      <w:vertAlign w:val="subscript"/>
                    </w:rPr>
                    <w:t>6</w:t>
                  </w:r>
                </w:p>
              </w:tc>
            </w:tr>
            <w:tr w14:paraId="3F874C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5" w:type="dxa"/>
              </w:trPr>
              <w:tc>
                <w:tcPr>
                  <w:tcW w:w="711" w:type="pct"/>
                  <w:noWrap w:val="0"/>
                  <w:vAlign w:val="center"/>
                </w:tcPr>
                <w:p w14:paraId="0A7F8C2C">
                  <w:pPr>
                    <w:pStyle w:val="67"/>
                    <w:adjustRightInd w:val="0"/>
                    <w:snapToGrid w:val="0"/>
                    <w:spacing w:line="240" w:lineRule="auto"/>
                    <w:ind w:firstLine="0" w:firstLineChars="0"/>
                    <w:jc w:val="center"/>
                    <w:rPr>
                      <w:rFonts w:ascii="Times New Roman" w:hAnsi="Times New Roman" w:eastAsia="宋体"/>
                      <w:color w:val="auto"/>
                      <w:sz w:val="21"/>
                      <w:szCs w:val="21"/>
                    </w:rPr>
                  </w:pPr>
                  <w:r>
                    <w:rPr>
                      <w:rFonts w:ascii="Times New Roman" w:hAnsi="Times New Roman" w:eastAsia="宋体"/>
                      <w:color w:val="auto"/>
                      <w:sz w:val="21"/>
                      <w:szCs w:val="21"/>
                    </w:rPr>
                    <w:t>间接排放</w:t>
                  </w:r>
                </w:p>
              </w:tc>
              <w:tc>
                <w:tcPr>
                  <w:tcW w:w="718" w:type="pct"/>
                  <w:noWrap w:val="0"/>
                  <w:vAlign w:val="center"/>
                </w:tcPr>
                <w:p w14:paraId="077D09C9">
                  <w:pPr>
                    <w:pStyle w:val="67"/>
                    <w:adjustRightInd w:val="0"/>
                    <w:snapToGrid w:val="0"/>
                    <w:spacing w:line="240" w:lineRule="auto"/>
                    <w:ind w:firstLine="0" w:firstLineChars="0"/>
                    <w:jc w:val="center"/>
                    <w:rPr>
                      <w:rFonts w:ascii="Times New Roman" w:hAnsi="Times New Roman" w:eastAsia="宋体"/>
                      <w:color w:val="auto"/>
                      <w:sz w:val="21"/>
                      <w:szCs w:val="21"/>
                    </w:rPr>
                  </w:pPr>
                  <w:r>
                    <w:rPr>
                      <w:rFonts w:ascii="Times New Roman" w:hAnsi="Times New Roman" w:eastAsia="宋体"/>
                      <w:color w:val="auto"/>
                      <w:sz w:val="21"/>
                      <w:szCs w:val="21"/>
                    </w:rPr>
                    <w:t>净调入电力和热力</w:t>
                  </w:r>
                </w:p>
              </w:tc>
              <w:tc>
                <w:tcPr>
                  <w:tcW w:w="709" w:type="pct"/>
                  <w:noWrap w:val="0"/>
                  <w:vAlign w:val="center"/>
                </w:tcPr>
                <w:p w14:paraId="47D34F66">
                  <w:pPr>
                    <w:pStyle w:val="67"/>
                    <w:adjustRightInd w:val="0"/>
                    <w:snapToGrid w:val="0"/>
                    <w:spacing w:line="240" w:lineRule="auto"/>
                    <w:ind w:firstLine="0" w:firstLineChars="0"/>
                    <w:jc w:val="center"/>
                    <w:rPr>
                      <w:rFonts w:ascii="Times New Roman" w:hAnsi="Times New Roman"/>
                      <w:color w:val="auto"/>
                      <w:sz w:val="21"/>
                      <w:szCs w:val="21"/>
                    </w:rPr>
                  </w:pPr>
                  <w:r>
                    <w:rPr>
                      <w:rFonts w:ascii="Times New Roman" w:hAnsi="Times New Roman" w:eastAsia="宋体"/>
                      <w:color w:val="auto"/>
                      <w:sz w:val="21"/>
                      <w:szCs w:val="21"/>
                    </w:rPr>
                    <w:t>各种用电</w:t>
                  </w:r>
                  <w:r>
                    <w:rPr>
                      <w:rFonts w:hint="eastAsia" w:ascii="Times New Roman" w:hAnsi="Times New Roman" w:eastAsia="宋体"/>
                      <w:color w:val="auto"/>
                      <w:sz w:val="21"/>
                      <w:szCs w:val="21"/>
                    </w:rPr>
                    <w:t>、用天然气</w:t>
                  </w:r>
                  <w:r>
                    <w:rPr>
                      <w:rFonts w:ascii="Times New Roman" w:hAnsi="Times New Roman" w:eastAsia="宋体"/>
                      <w:color w:val="auto"/>
                      <w:sz w:val="21"/>
                      <w:szCs w:val="21"/>
                    </w:rPr>
                    <w:t>生产设备</w:t>
                  </w:r>
                </w:p>
              </w:tc>
              <w:tc>
                <w:tcPr>
                  <w:tcW w:w="475" w:type="pct"/>
                  <w:noWrap w:val="0"/>
                  <w:vAlign w:val="center"/>
                </w:tcPr>
                <w:p w14:paraId="7CE528F8">
                  <w:pPr>
                    <w:pStyle w:val="67"/>
                    <w:adjustRightInd w:val="0"/>
                    <w:snapToGrid w:val="0"/>
                    <w:spacing w:line="240" w:lineRule="auto"/>
                    <w:ind w:firstLine="0" w:firstLineChars="0"/>
                    <w:jc w:val="center"/>
                    <w:rPr>
                      <w:rFonts w:ascii="Times New Roman" w:hAnsi="Times New Roman" w:eastAsia="宋体"/>
                      <w:color w:val="auto"/>
                      <w:sz w:val="21"/>
                      <w:szCs w:val="21"/>
                    </w:rPr>
                  </w:pPr>
                  <w:r>
                    <w:rPr>
                      <w:rFonts w:ascii="Times New Roman" w:hAnsi="Times New Roman" w:eastAsia="宋体"/>
                      <w:color w:val="auto"/>
                      <w:sz w:val="21"/>
                      <w:szCs w:val="21"/>
                    </w:rPr>
                    <w:t>√</w:t>
                  </w:r>
                </w:p>
              </w:tc>
              <w:tc>
                <w:tcPr>
                  <w:tcW w:w="475" w:type="pct"/>
                  <w:noWrap w:val="0"/>
                  <w:vAlign w:val="center"/>
                </w:tcPr>
                <w:p w14:paraId="4C677687">
                  <w:pPr>
                    <w:pStyle w:val="67"/>
                    <w:adjustRightInd w:val="0"/>
                    <w:snapToGrid w:val="0"/>
                    <w:spacing w:line="240" w:lineRule="auto"/>
                    <w:ind w:firstLine="0" w:firstLineChars="0"/>
                    <w:jc w:val="center"/>
                    <w:rPr>
                      <w:rFonts w:ascii="Times New Roman" w:hAnsi="Times New Roman" w:eastAsia="宋体"/>
                      <w:color w:val="auto"/>
                      <w:sz w:val="21"/>
                      <w:szCs w:val="21"/>
                    </w:rPr>
                  </w:pPr>
                </w:p>
              </w:tc>
              <w:tc>
                <w:tcPr>
                  <w:tcW w:w="475" w:type="pct"/>
                  <w:noWrap w:val="0"/>
                  <w:vAlign w:val="center"/>
                </w:tcPr>
                <w:p w14:paraId="494DB205">
                  <w:pPr>
                    <w:pStyle w:val="67"/>
                    <w:adjustRightInd w:val="0"/>
                    <w:snapToGrid w:val="0"/>
                    <w:spacing w:line="240" w:lineRule="auto"/>
                    <w:ind w:firstLine="0" w:firstLineChars="0"/>
                    <w:jc w:val="center"/>
                    <w:rPr>
                      <w:rFonts w:ascii="Times New Roman" w:hAnsi="Times New Roman" w:eastAsia="宋体"/>
                      <w:color w:val="auto"/>
                      <w:sz w:val="21"/>
                      <w:szCs w:val="21"/>
                    </w:rPr>
                  </w:pPr>
                </w:p>
              </w:tc>
              <w:tc>
                <w:tcPr>
                  <w:tcW w:w="475" w:type="pct"/>
                  <w:noWrap w:val="0"/>
                  <w:vAlign w:val="center"/>
                </w:tcPr>
                <w:p w14:paraId="71FBE432">
                  <w:pPr>
                    <w:pStyle w:val="67"/>
                    <w:adjustRightInd w:val="0"/>
                    <w:snapToGrid w:val="0"/>
                    <w:spacing w:line="240" w:lineRule="auto"/>
                    <w:ind w:firstLine="0" w:firstLineChars="0"/>
                    <w:jc w:val="center"/>
                    <w:rPr>
                      <w:rFonts w:ascii="Times New Roman" w:hAnsi="Times New Roman" w:eastAsia="宋体"/>
                      <w:color w:val="auto"/>
                      <w:sz w:val="21"/>
                      <w:szCs w:val="21"/>
                    </w:rPr>
                  </w:pPr>
                </w:p>
              </w:tc>
              <w:tc>
                <w:tcPr>
                  <w:tcW w:w="475" w:type="pct"/>
                  <w:noWrap w:val="0"/>
                  <w:vAlign w:val="center"/>
                </w:tcPr>
                <w:p w14:paraId="7FD324C3">
                  <w:pPr>
                    <w:pStyle w:val="67"/>
                    <w:adjustRightInd w:val="0"/>
                    <w:snapToGrid w:val="0"/>
                    <w:spacing w:line="240" w:lineRule="auto"/>
                    <w:ind w:firstLine="0" w:firstLineChars="0"/>
                    <w:jc w:val="center"/>
                    <w:rPr>
                      <w:rFonts w:ascii="Times New Roman" w:hAnsi="Times New Roman" w:eastAsia="宋体"/>
                      <w:color w:val="auto"/>
                      <w:sz w:val="21"/>
                      <w:szCs w:val="21"/>
                    </w:rPr>
                  </w:pPr>
                </w:p>
              </w:tc>
              <w:tc>
                <w:tcPr>
                  <w:tcW w:w="475" w:type="pct"/>
                  <w:noWrap w:val="0"/>
                  <w:vAlign w:val="center"/>
                </w:tcPr>
                <w:p w14:paraId="415F61E8">
                  <w:pPr>
                    <w:pStyle w:val="67"/>
                    <w:adjustRightInd w:val="0"/>
                    <w:snapToGrid w:val="0"/>
                    <w:spacing w:line="240" w:lineRule="auto"/>
                    <w:ind w:firstLine="0" w:firstLineChars="0"/>
                    <w:jc w:val="center"/>
                    <w:rPr>
                      <w:rFonts w:ascii="Times New Roman" w:hAnsi="Times New Roman" w:eastAsia="宋体"/>
                      <w:color w:val="auto"/>
                      <w:sz w:val="21"/>
                      <w:szCs w:val="21"/>
                    </w:rPr>
                  </w:pPr>
                </w:p>
              </w:tc>
            </w:tr>
          </w:tbl>
          <w:p w14:paraId="2A45753F">
            <w:pPr>
              <w:pStyle w:val="67"/>
              <w:adjustRightInd w:val="0"/>
              <w:snapToGrid w:val="0"/>
              <w:spacing w:before="120" w:beforeLines="50" w:line="360" w:lineRule="auto"/>
              <w:ind w:firstLine="422"/>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2、碳排放预测与评价</w:t>
            </w:r>
          </w:p>
          <w:p w14:paraId="0F32DADB">
            <w:pPr>
              <w:pStyle w:val="67"/>
              <w:adjustRightInd w:val="0"/>
              <w:snapToGrid w:val="0"/>
              <w:spacing w:line="360" w:lineRule="auto"/>
              <w:ind w:firstLine="420"/>
              <w:rPr>
                <w:rFonts w:ascii="Times New Roman" w:hAnsi="Times New Roman" w:eastAsia="宋体"/>
                <w:color w:val="auto"/>
                <w:sz w:val="21"/>
                <w:szCs w:val="21"/>
              </w:rPr>
            </w:pPr>
            <w:r>
              <w:rPr>
                <w:rFonts w:ascii="Times New Roman" w:hAnsi="Times New Roman" w:eastAsia="宋体"/>
                <w:color w:val="auto"/>
                <w:sz w:val="21"/>
                <w:szCs w:val="21"/>
              </w:rPr>
              <w:t>营运期碳排放：</w:t>
            </w:r>
          </w:p>
          <w:p w14:paraId="57210D92">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pacing w:val="-1"/>
                <w:sz w:val="21"/>
                <w:szCs w:val="21"/>
              </w:rPr>
              <w:t>建设项目碳排放总量计算见公式</w:t>
            </w:r>
            <w:r>
              <w:rPr>
                <w:rFonts w:hint="default" w:ascii="Times New Roman" w:hAnsi="Times New Roman" w:eastAsia="宋体" w:cs="Times New Roman"/>
                <w:color w:val="auto"/>
                <w:sz w:val="21"/>
                <w:szCs w:val="21"/>
              </w:rPr>
              <w:t>（1）；</w:t>
            </w:r>
          </w:p>
          <w:p w14:paraId="2F5A8EA9">
            <w:pPr>
              <w:keepNext w:val="0"/>
              <w:keepLines w:val="0"/>
              <w:pageBreakBefore w:val="0"/>
              <w:widowControl w:val="0"/>
              <w:kinsoku/>
              <w:wordWrap/>
              <w:overflowPunct/>
              <w:topLinePunct w:val="0"/>
              <w:autoSpaceDE/>
              <w:autoSpaceDN/>
              <w:bidi w:val="0"/>
              <w:spacing w:line="360" w:lineRule="auto"/>
              <w:jc w:val="center"/>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总</w:t>
            </w: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燃料燃烧</w:t>
            </w: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工业生产过程</w:t>
            </w: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净调入电力和热力</w:t>
            </w:r>
            <w:r>
              <w:rPr>
                <w:rFonts w:hint="eastAsia" w:cs="Times New Roman"/>
                <w:color w:val="auto"/>
                <w:position w:val="2"/>
                <w:sz w:val="21"/>
                <w:szCs w:val="21"/>
                <w:lang w:eastAsia="zh-CN"/>
              </w:rPr>
              <w:t>（</w:t>
            </w:r>
            <w:r>
              <w:rPr>
                <w:rFonts w:hint="default" w:ascii="Times New Roman" w:hAnsi="Times New Roman" w:eastAsia="宋体" w:cs="Times New Roman"/>
                <w:color w:val="auto"/>
                <w:position w:val="2"/>
                <w:sz w:val="21"/>
                <w:szCs w:val="21"/>
              </w:rPr>
              <w:t>1</w:t>
            </w:r>
            <w:r>
              <w:rPr>
                <w:rFonts w:hint="eastAsia" w:cs="Times New Roman"/>
                <w:color w:val="auto"/>
                <w:position w:val="2"/>
                <w:sz w:val="21"/>
                <w:szCs w:val="21"/>
                <w:lang w:eastAsia="zh-CN"/>
              </w:rPr>
              <w:t>）</w:t>
            </w:r>
          </w:p>
          <w:p w14:paraId="1881AF67">
            <w:pPr>
              <w:pStyle w:val="2"/>
              <w:keepNext w:val="0"/>
              <w:keepLines w:val="0"/>
              <w:pageBreakBefore w:val="0"/>
              <w:widowControl w:val="0"/>
              <w:kinsoku/>
              <w:wordWrap/>
              <w:overflowPunct/>
              <w:topLinePunct w:val="0"/>
              <w:autoSpaceDE/>
              <w:autoSpaceDN/>
              <w:bidi w:val="0"/>
              <w:spacing w:after="0" w:line="360" w:lineRule="auto"/>
              <w:ind w:firstLine="420" w:firstLineChars="200"/>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式中：</w:t>
            </w:r>
          </w:p>
          <w:p w14:paraId="5A526EAA">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eastAsia" w:ascii="Times New Roman" w:hAnsi="Times New Roman" w:eastAsia="宋体" w:cs="Times New Roman"/>
                <w:color w:val="auto"/>
                <w:position w:val="2"/>
                <w:sz w:val="21"/>
                <w:szCs w:val="21"/>
                <w:lang w:eastAsia="zh-CN"/>
              </w:rPr>
            </w:pP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E</w:t>
            </w:r>
            <w:r>
              <w:rPr>
                <w:rFonts w:hint="default" w:ascii="Times New Roman" w:hAnsi="Times New Roman" w:eastAsia="宋体" w:cs="Times New Roman"/>
                <w:color w:val="auto"/>
                <w:spacing w:val="-1"/>
                <w:sz w:val="21"/>
                <w:szCs w:val="21"/>
                <w:vertAlign w:val="subscript"/>
              </w:rPr>
              <w:t>总</w:t>
            </w:r>
            <w:r>
              <w:rPr>
                <w:rFonts w:hint="default" w:ascii="Times New Roman" w:hAnsi="Times New Roman" w:eastAsia="宋体" w:cs="Times New Roman"/>
                <w:color w:val="auto"/>
                <w:position w:val="2"/>
                <w:sz w:val="21"/>
                <w:szCs w:val="21"/>
              </w:rPr>
              <w:t>——碳排放总量</w:t>
            </w:r>
            <w:r>
              <w:rPr>
                <w:rFonts w:hint="eastAsia" w:cs="Times New Roman"/>
                <w:color w:val="auto"/>
                <w:position w:val="2"/>
                <w:sz w:val="21"/>
                <w:szCs w:val="21"/>
                <w:lang w:eastAsia="zh-CN"/>
              </w:rPr>
              <w:t>（</w:t>
            </w:r>
            <w:r>
              <w:rPr>
                <w:rFonts w:hint="default" w:ascii="Times New Roman" w:hAnsi="Times New Roman" w:eastAsia="宋体" w:cs="Times New Roman"/>
                <w:color w:val="auto"/>
                <w:spacing w:val="1"/>
                <w:position w:val="2"/>
                <w:sz w:val="21"/>
                <w:szCs w:val="21"/>
              </w:rPr>
              <w:t>t</w:t>
            </w:r>
            <w:r>
              <w:rPr>
                <w:rFonts w:hint="default" w:ascii="Times New Roman" w:hAnsi="Times New Roman" w:eastAsia="宋体" w:cs="Times New Roman"/>
                <w:color w:val="auto"/>
                <w:position w:val="2"/>
                <w:sz w:val="21"/>
                <w:szCs w:val="21"/>
              </w:rPr>
              <w: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2"/>
                <w:sz w:val="21"/>
                <w:szCs w:val="21"/>
                <w:vertAlign w:val="subscript"/>
              </w:rPr>
              <w:t>e</w:t>
            </w:r>
            <w:r>
              <w:rPr>
                <w:rFonts w:hint="default" w:ascii="Times New Roman" w:hAnsi="Times New Roman" w:eastAsia="宋体" w:cs="Times New Roman"/>
                <w:color w:val="auto"/>
                <w:spacing w:val="-120"/>
                <w:position w:val="2"/>
                <w:sz w:val="21"/>
                <w:szCs w:val="21"/>
              </w:rPr>
              <w:t>）</w:t>
            </w:r>
            <w:r>
              <w:rPr>
                <w:rFonts w:hint="eastAsia" w:cs="Times New Roman"/>
                <w:color w:val="auto"/>
                <w:position w:val="2"/>
                <w:sz w:val="21"/>
                <w:szCs w:val="21"/>
                <w:lang w:eastAsia="zh-CN"/>
              </w:rPr>
              <w:t>）</w:t>
            </w:r>
          </w:p>
          <w:p w14:paraId="176EA900">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eastAsia" w:ascii="Times New Roman" w:hAnsi="Times New Roman" w:eastAsia="宋体" w:cs="Times New Roman"/>
                <w:color w:val="auto"/>
                <w:position w:val="2"/>
                <w:sz w:val="21"/>
                <w:szCs w:val="21"/>
                <w:lang w:eastAsia="zh-CN"/>
              </w:rPr>
            </w:pP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E</w:t>
            </w:r>
            <w:r>
              <w:rPr>
                <w:rFonts w:hint="default" w:ascii="Times New Roman" w:hAnsi="Times New Roman" w:eastAsia="宋体" w:cs="Times New Roman"/>
                <w:color w:val="auto"/>
                <w:spacing w:val="-1"/>
                <w:sz w:val="21"/>
                <w:szCs w:val="21"/>
                <w:vertAlign w:val="subscript"/>
              </w:rPr>
              <w:t>燃料燃烧</w:t>
            </w:r>
            <w:r>
              <w:rPr>
                <w:rFonts w:hint="default" w:ascii="Times New Roman" w:hAnsi="Times New Roman" w:eastAsia="宋体" w:cs="Times New Roman"/>
                <w:color w:val="auto"/>
                <w:position w:val="2"/>
                <w:sz w:val="21"/>
                <w:szCs w:val="21"/>
              </w:rPr>
              <w:t>——燃料燃烧碳排放量</w:t>
            </w:r>
            <w:r>
              <w:rPr>
                <w:rFonts w:hint="eastAsia" w:cs="Times New Roman"/>
                <w:color w:val="auto"/>
                <w:position w:val="2"/>
                <w:sz w:val="21"/>
                <w:szCs w:val="21"/>
                <w:lang w:eastAsia="zh-CN"/>
              </w:rPr>
              <w:t>（</w:t>
            </w:r>
            <w:r>
              <w:rPr>
                <w:rFonts w:hint="default" w:ascii="Times New Roman" w:hAnsi="Times New Roman" w:eastAsia="宋体" w:cs="Times New Roman"/>
                <w:color w:val="auto"/>
                <w:position w:val="2"/>
                <w:sz w:val="21"/>
                <w:szCs w:val="21"/>
              </w:rPr>
              <w:t>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2"/>
                <w:sz w:val="21"/>
                <w:szCs w:val="21"/>
                <w:vertAlign w:val="subscript"/>
              </w:rPr>
              <w:t>e</w:t>
            </w:r>
            <w:r>
              <w:rPr>
                <w:rFonts w:hint="eastAsia" w:cs="Times New Roman"/>
                <w:color w:val="auto"/>
                <w:position w:val="2"/>
                <w:sz w:val="21"/>
                <w:szCs w:val="21"/>
                <w:lang w:eastAsia="zh-CN"/>
              </w:rPr>
              <w:t>）</w:t>
            </w:r>
          </w:p>
          <w:p w14:paraId="1CF4E7EE">
            <w:pPr>
              <w:keepNext w:val="0"/>
              <w:keepLines w:val="0"/>
              <w:pageBreakBefore w:val="0"/>
              <w:widowControl w:val="0"/>
              <w:kinsoku/>
              <w:wordWrap/>
              <w:overflowPunct/>
              <w:topLinePunct w:val="0"/>
              <w:autoSpaceDE/>
              <w:autoSpaceDN/>
              <w:bidi w:val="0"/>
              <w:spacing w:line="360" w:lineRule="auto"/>
              <w:ind w:firstLine="416" w:firstLineChars="200"/>
              <w:textAlignment w:val="auto"/>
              <w:rPr>
                <w:rFonts w:hint="default" w:ascii="Times New Roman" w:hAnsi="Times New Roman" w:eastAsia="宋体" w:cs="Times New Roman"/>
                <w:color w:val="auto"/>
                <w:position w:val="2"/>
                <w:sz w:val="21"/>
                <w:szCs w:val="21"/>
              </w:rPr>
            </w:pP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E</w:t>
            </w:r>
            <w:r>
              <w:rPr>
                <w:rFonts w:hint="default" w:ascii="Times New Roman" w:hAnsi="Times New Roman" w:eastAsia="宋体" w:cs="Times New Roman"/>
                <w:color w:val="auto"/>
                <w:spacing w:val="-1"/>
                <w:sz w:val="21"/>
                <w:szCs w:val="21"/>
                <w:vertAlign w:val="subscript"/>
              </w:rPr>
              <w:t>工业生产过程</w:t>
            </w:r>
            <w:r>
              <w:rPr>
                <w:rFonts w:hint="default" w:ascii="Times New Roman" w:hAnsi="Times New Roman" w:eastAsia="宋体" w:cs="Times New Roman"/>
                <w:color w:val="auto"/>
                <w:position w:val="2"/>
                <w:sz w:val="21"/>
                <w:szCs w:val="21"/>
              </w:rPr>
              <w:t>——工业生产过程碳排放量（tC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2"/>
                <w:sz w:val="21"/>
                <w:szCs w:val="21"/>
                <w:vertAlign w:val="subscript"/>
              </w:rPr>
              <w:t>2e</w:t>
            </w:r>
            <w:r>
              <w:rPr>
                <w:rFonts w:hint="default" w:ascii="Times New Roman" w:hAnsi="Times New Roman" w:eastAsia="宋体" w:cs="Times New Roman"/>
                <w:color w:val="auto"/>
                <w:spacing w:val="-120"/>
                <w:position w:val="2"/>
                <w:sz w:val="21"/>
                <w:szCs w:val="21"/>
              </w:rPr>
              <w:t>）</w:t>
            </w:r>
            <w:r>
              <w:rPr>
                <w:rFonts w:hint="default" w:ascii="Times New Roman" w:hAnsi="Times New Roman" w:eastAsia="宋体" w:cs="Times New Roman"/>
                <w:color w:val="auto"/>
                <w:position w:val="2"/>
                <w:sz w:val="21"/>
                <w:szCs w:val="21"/>
              </w:rPr>
              <w:t>）</w:t>
            </w:r>
          </w:p>
          <w:p w14:paraId="092827D4">
            <w:pPr>
              <w:keepNext w:val="0"/>
              <w:keepLines w:val="0"/>
              <w:pageBreakBefore w:val="0"/>
              <w:widowControl w:val="0"/>
              <w:kinsoku/>
              <w:wordWrap/>
              <w:overflowPunct/>
              <w:topLinePunct w:val="0"/>
              <w:autoSpaceDE/>
              <w:autoSpaceDN/>
              <w:bidi w:val="0"/>
              <w:spacing w:line="360" w:lineRule="auto"/>
              <w:ind w:firstLine="416" w:firstLineChars="200"/>
              <w:textAlignment w:val="auto"/>
              <w:rPr>
                <w:rFonts w:hint="default" w:ascii="Times New Roman" w:hAnsi="Times New Roman" w:eastAsia="宋体" w:cs="Times New Roman"/>
                <w:color w:val="auto"/>
                <w:position w:val="2"/>
                <w:sz w:val="21"/>
                <w:szCs w:val="21"/>
              </w:rPr>
            </w:pP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E</w:t>
            </w:r>
            <w:r>
              <w:rPr>
                <w:rFonts w:hint="default" w:ascii="Times New Roman" w:hAnsi="Times New Roman" w:eastAsia="宋体" w:cs="Times New Roman"/>
                <w:color w:val="auto"/>
                <w:spacing w:val="-1"/>
                <w:sz w:val="21"/>
                <w:szCs w:val="21"/>
                <w:vertAlign w:val="subscript"/>
              </w:rPr>
              <w:t>净调入电力和热力</w:t>
            </w:r>
            <w:r>
              <w:rPr>
                <w:rFonts w:hint="default" w:ascii="Times New Roman" w:hAnsi="Times New Roman" w:eastAsia="宋体" w:cs="Times New Roman"/>
                <w:color w:val="auto"/>
                <w:position w:val="2"/>
                <w:sz w:val="21"/>
                <w:szCs w:val="21"/>
              </w:rPr>
              <w:t>——净调入电力和热力消耗碳排放总量（tC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2"/>
                <w:sz w:val="21"/>
                <w:szCs w:val="21"/>
                <w:vertAlign w:val="subscript"/>
              </w:rPr>
              <w:t>e</w:t>
            </w:r>
            <w:r>
              <w:rPr>
                <w:rFonts w:hint="default" w:ascii="Times New Roman" w:hAnsi="Times New Roman" w:eastAsia="宋体" w:cs="Times New Roman"/>
                <w:color w:val="auto"/>
                <w:spacing w:val="-120"/>
                <w:position w:val="2"/>
                <w:sz w:val="21"/>
                <w:szCs w:val="21"/>
              </w:rPr>
              <w:t>）</w:t>
            </w:r>
            <w:r>
              <w:rPr>
                <w:rFonts w:hint="default" w:ascii="Times New Roman" w:hAnsi="Times New Roman" w:eastAsia="宋体" w:cs="Times New Roman"/>
                <w:color w:val="auto"/>
                <w:position w:val="2"/>
                <w:sz w:val="21"/>
                <w:szCs w:val="21"/>
              </w:rPr>
              <w:t>）</w:t>
            </w:r>
          </w:p>
          <w:p w14:paraId="0EFDEF8E">
            <w:pPr>
              <w:keepNext w:val="0"/>
              <w:keepLines w:val="0"/>
              <w:pageBreakBefore w:val="0"/>
              <w:widowControl w:val="0"/>
              <w:kinsoku/>
              <w:wordWrap/>
              <w:overflowPunct/>
              <w:topLinePunct w:val="0"/>
              <w:autoSpaceDE/>
              <w:autoSpaceDN/>
              <w:bidi w:val="0"/>
              <w:spacing w:line="360" w:lineRule="auto"/>
              <w:ind w:firstLine="408"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3"/>
                <w:position w:val="2"/>
                <w:sz w:val="21"/>
                <w:szCs w:val="21"/>
              </w:rPr>
              <w:t>根据燃料用于电力生产还是用于其他工业生产情况不同，燃料燃烧排放量</w:t>
            </w: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燃料燃烧</w:t>
            </w:r>
            <w:r>
              <w:rPr>
                <w:rFonts w:hint="default" w:ascii="Times New Roman" w:hAnsi="Times New Roman" w:eastAsia="宋体" w:cs="Times New Roman"/>
                <w:color w:val="auto"/>
                <w:spacing w:val="-34"/>
                <w:position w:val="2"/>
                <w:sz w:val="21"/>
                <w:szCs w:val="21"/>
              </w:rPr>
              <w:t>）</w:t>
            </w:r>
            <w:r>
              <w:rPr>
                <w:rFonts w:hint="default" w:ascii="Times New Roman" w:hAnsi="Times New Roman" w:eastAsia="宋体" w:cs="Times New Roman"/>
                <w:color w:val="auto"/>
                <w:spacing w:val="-6"/>
                <w:position w:val="2"/>
                <w:sz w:val="21"/>
                <w:szCs w:val="21"/>
              </w:rPr>
              <w:t>计算</w:t>
            </w:r>
            <w:r>
              <w:rPr>
                <w:rFonts w:hint="default" w:ascii="Times New Roman" w:hAnsi="Times New Roman" w:eastAsia="宋体" w:cs="Times New Roman"/>
                <w:color w:val="auto"/>
                <w:sz w:val="21"/>
                <w:szCs w:val="21"/>
              </w:rPr>
              <w:t>方法不同，具体见公式（2</w:t>
            </w:r>
            <w:r>
              <w:rPr>
                <w:rFonts w:hint="default" w:ascii="Times New Roman" w:hAnsi="Times New Roman" w:eastAsia="宋体" w:cs="Times New Roman"/>
                <w:color w:val="auto"/>
                <w:position w:val="2"/>
                <w:sz w:val="21"/>
                <w:szCs w:val="21"/>
              </w:rPr>
              <w:t>）</w:t>
            </w:r>
          </w:p>
          <w:p w14:paraId="0D82F036">
            <w:pPr>
              <w:keepNext w:val="0"/>
              <w:keepLines w:val="0"/>
              <w:pageBreakBefore w:val="0"/>
              <w:widowControl w:val="0"/>
              <w:kinsoku/>
              <w:wordWrap/>
              <w:overflowPunct/>
              <w:topLinePunct w:val="0"/>
              <w:autoSpaceDE/>
              <w:autoSpaceDN/>
              <w:bidi w:val="0"/>
              <w:spacing w:line="360" w:lineRule="auto"/>
              <w:ind w:firstLine="420" w:firstLineChars="20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燃料燃烧</w:t>
            </w: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电燃</w:t>
            </w: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工燃</w:t>
            </w:r>
            <w:r>
              <w:rPr>
                <w:rFonts w:hint="default" w:ascii="Times New Roman" w:hAnsi="Times New Roman" w:eastAsia="宋体" w:cs="Times New Roman"/>
                <w:color w:val="auto"/>
                <w:position w:val="2"/>
                <w:sz w:val="21"/>
                <w:szCs w:val="21"/>
              </w:rPr>
              <w:t>（2）</w:t>
            </w:r>
          </w:p>
          <w:p w14:paraId="6941EC4D">
            <w:pPr>
              <w:pStyle w:val="2"/>
              <w:keepNext w:val="0"/>
              <w:keepLines w:val="0"/>
              <w:pageBreakBefore w:val="0"/>
              <w:widowControl w:val="0"/>
              <w:kinsoku/>
              <w:wordWrap/>
              <w:overflowPunct/>
              <w:topLinePunct w:val="0"/>
              <w:autoSpaceDE/>
              <w:autoSpaceDN/>
              <w:bidi w:val="0"/>
              <w:spacing w:after="0" w:line="360" w:lineRule="auto"/>
              <w:ind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式中：</w:t>
            </w:r>
          </w:p>
          <w:p w14:paraId="142CD8EF">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default" w:ascii="Times New Roman" w:hAnsi="Times New Roman" w:eastAsia="宋体" w:cs="Times New Roman"/>
                <w:color w:val="auto"/>
                <w:position w:val="2"/>
                <w:sz w:val="21"/>
                <w:szCs w:val="21"/>
              </w:rPr>
            </w:pP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E</w:t>
            </w:r>
            <w:r>
              <w:rPr>
                <w:rFonts w:hint="default" w:ascii="Times New Roman" w:hAnsi="Times New Roman" w:eastAsia="宋体" w:cs="Times New Roman"/>
                <w:color w:val="auto"/>
                <w:spacing w:val="-1"/>
                <w:sz w:val="21"/>
                <w:szCs w:val="21"/>
                <w:vertAlign w:val="subscript"/>
              </w:rPr>
              <w:t>电燃</w:t>
            </w:r>
            <w:r>
              <w:rPr>
                <w:rFonts w:hint="default" w:ascii="Times New Roman" w:hAnsi="Times New Roman" w:eastAsia="宋体" w:cs="Times New Roman"/>
                <w:color w:val="auto"/>
                <w:position w:val="2"/>
                <w:sz w:val="21"/>
                <w:szCs w:val="21"/>
              </w:rPr>
              <w:t>——电力生产燃料燃烧排放量（tC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2"/>
                <w:sz w:val="21"/>
                <w:szCs w:val="21"/>
                <w:vertAlign w:val="subscript"/>
              </w:rPr>
              <w:t>e</w:t>
            </w:r>
            <w:r>
              <w:rPr>
                <w:rFonts w:hint="default" w:ascii="Times New Roman" w:hAnsi="Times New Roman" w:eastAsia="宋体" w:cs="Times New Roman"/>
                <w:color w:val="auto"/>
                <w:spacing w:val="-120"/>
                <w:position w:val="2"/>
                <w:sz w:val="21"/>
                <w:szCs w:val="21"/>
              </w:rPr>
              <w:t>）</w:t>
            </w:r>
            <w:r>
              <w:rPr>
                <w:rFonts w:hint="default" w:ascii="Times New Roman" w:hAnsi="Times New Roman" w:eastAsia="宋体" w:cs="Times New Roman"/>
                <w:color w:val="auto"/>
                <w:position w:val="2"/>
                <w:sz w:val="21"/>
                <w:szCs w:val="21"/>
              </w:rPr>
              <w:t>）</w:t>
            </w:r>
          </w:p>
          <w:p w14:paraId="4F82CE89">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default" w:ascii="Times New Roman" w:hAnsi="Times New Roman" w:eastAsia="宋体" w:cs="Times New Roman"/>
                <w:color w:val="auto"/>
                <w:position w:val="2"/>
                <w:sz w:val="21"/>
                <w:szCs w:val="21"/>
              </w:rPr>
            </w:pP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E</w:t>
            </w:r>
            <w:r>
              <w:rPr>
                <w:rFonts w:hint="default" w:ascii="Times New Roman" w:hAnsi="Times New Roman" w:eastAsia="宋体" w:cs="Times New Roman"/>
                <w:color w:val="auto"/>
                <w:spacing w:val="-1"/>
                <w:sz w:val="21"/>
                <w:szCs w:val="21"/>
                <w:vertAlign w:val="subscript"/>
              </w:rPr>
              <w:t>工燃</w:t>
            </w:r>
            <w:r>
              <w:rPr>
                <w:rFonts w:hint="default" w:ascii="Times New Roman" w:hAnsi="Times New Roman" w:eastAsia="宋体" w:cs="Times New Roman"/>
                <w:color w:val="auto"/>
                <w:position w:val="2"/>
                <w:sz w:val="21"/>
                <w:szCs w:val="21"/>
              </w:rPr>
              <w:t>——工业生产燃料燃烧排放量（tC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2"/>
                <w:sz w:val="21"/>
                <w:szCs w:val="21"/>
                <w:vertAlign w:val="subscript"/>
              </w:rPr>
              <w:t>e</w:t>
            </w:r>
            <w:r>
              <w:rPr>
                <w:rFonts w:hint="default" w:ascii="Times New Roman" w:hAnsi="Times New Roman" w:eastAsia="宋体" w:cs="Times New Roman"/>
                <w:color w:val="auto"/>
                <w:spacing w:val="-120"/>
                <w:position w:val="2"/>
                <w:sz w:val="21"/>
                <w:szCs w:val="21"/>
              </w:rPr>
              <w:t>）</w:t>
            </w:r>
            <w:r>
              <w:rPr>
                <w:rFonts w:hint="default" w:ascii="Times New Roman" w:hAnsi="Times New Roman" w:eastAsia="宋体" w:cs="Times New Roman"/>
                <w:color w:val="auto"/>
                <w:position w:val="2"/>
                <w:sz w:val="21"/>
                <w:szCs w:val="21"/>
              </w:rPr>
              <w:t>）</w:t>
            </w:r>
          </w:p>
          <w:p w14:paraId="4314B847">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1"/>
                <w:position w:val="2"/>
                <w:sz w:val="21"/>
                <w:szCs w:val="21"/>
              </w:rPr>
              <w:t>建设项目用于电力生产的燃料燃烧产生的排放量</w:t>
            </w:r>
            <w:r>
              <w:rPr>
                <w:rFonts w:hint="default" w:ascii="Times New Roman" w:hAnsi="Times New Roman" w:eastAsia="宋体" w:cs="Times New Roman"/>
                <w:color w:val="auto"/>
                <w:spacing w:val="1"/>
                <w:position w:val="2"/>
                <w:sz w:val="21"/>
                <w:szCs w:val="21"/>
              </w:rPr>
              <w:t>（</w:t>
            </w: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E</w:t>
            </w:r>
            <w:r>
              <w:rPr>
                <w:rFonts w:hint="default" w:ascii="Times New Roman" w:hAnsi="Times New Roman" w:eastAsia="宋体" w:cs="Times New Roman"/>
                <w:color w:val="auto"/>
                <w:sz w:val="21"/>
                <w:szCs w:val="21"/>
                <w:vertAlign w:val="subscript"/>
              </w:rPr>
              <w:t>电燃</w:t>
            </w:r>
            <w:r>
              <w:rPr>
                <w:rFonts w:hint="default" w:ascii="Times New Roman" w:hAnsi="Times New Roman" w:eastAsia="宋体" w:cs="Times New Roman"/>
                <w:color w:val="auto"/>
                <w:position w:val="2"/>
                <w:sz w:val="21"/>
                <w:szCs w:val="21"/>
              </w:rPr>
              <w:t>）计算方法见公式（3）</w:t>
            </w:r>
          </w:p>
          <w:p w14:paraId="40EE1068">
            <w:pPr>
              <w:keepNext w:val="0"/>
              <w:keepLines w:val="0"/>
              <w:pageBreakBefore w:val="0"/>
              <w:widowControl w:val="0"/>
              <w:kinsoku/>
              <w:wordWrap/>
              <w:overflowPunct/>
              <w:topLinePunct w:val="0"/>
              <w:autoSpaceDE/>
              <w:autoSpaceDN/>
              <w:bidi w:val="0"/>
              <w:spacing w:line="360" w:lineRule="auto"/>
              <w:jc w:val="center"/>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电燃</w:t>
            </w:r>
            <w:r>
              <w:rPr>
                <w:rFonts w:hint="default" w:ascii="Times New Roman" w:hAnsi="Times New Roman" w:eastAsia="宋体" w:cs="Times New Roman"/>
                <w:color w:val="auto"/>
                <w:position w:val="2"/>
                <w:sz w:val="21"/>
                <w:szCs w:val="21"/>
              </w:rPr>
              <w:t>=∑</w:t>
            </w:r>
            <w:r>
              <w:rPr>
                <w:rFonts w:hint="eastAsia" w:cs="Times New Roman"/>
                <w:color w:val="auto"/>
                <w:position w:val="2"/>
                <w:sz w:val="21"/>
                <w:szCs w:val="21"/>
                <w:lang w:eastAsia="zh-CN"/>
              </w:rPr>
              <w:t>（</w:t>
            </w:r>
            <w:r>
              <w:rPr>
                <w:rFonts w:hint="default" w:ascii="Times New Roman" w:hAnsi="Times New Roman" w:eastAsia="宋体" w:cs="Times New Roman"/>
                <w:color w:val="auto"/>
                <w:position w:val="2"/>
                <w:sz w:val="21"/>
                <w:szCs w:val="21"/>
              </w:rPr>
              <w:t>AD</w:t>
            </w:r>
            <w:r>
              <w:rPr>
                <w:rFonts w:hint="default" w:ascii="Times New Roman" w:hAnsi="Times New Roman" w:eastAsia="宋体" w:cs="Times New Roman"/>
                <w:color w:val="auto"/>
                <w:sz w:val="21"/>
                <w:szCs w:val="21"/>
              </w:rPr>
              <w:t>i</w:t>
            </w:r>
            <w:r>
              <w:rPr>
                <w:rFonts w:hint="default" w:ascii="Times New Roman" w:hAnsi="Times New Roman" w:eastAsia="宋体" w:cs="Times New Roman"/>
                <w:color w:val="auto"/>
                <w:sz w:val="21"/>
                <w:szCs w:val="21"/>
                <w:vertAlign w:val="subscript"/>
              </w:rPr>
              <w:t>燃料</w:t>
            </w:r>
            <w:r>
              <w:rPr>
                <w:rFonts w:hint="default" w:ascii="Times New Roman" w:hAnsi="Times New Roman" w:eastAsia="宋体" w:cs="Times New Roman"/>
                <w:color w:val="auto"/>
                <w:position w:val="2"/>
                <w:sz w:val="21"/>
                <w:szCs w:val="21"/>
              </w:rPr>
              <w:t>*EF</w:t>
            </w:r>
            <w:r>
              <w:rPr>
                <w:rFonts w:hint="default" w:ascii="Times New Roman" w:hAnsi="Times New Roman" w:eastAsia="宋体" w:cs="Times New Roman"/>
                <w:color w:val="auto"/>
                <w:sz w:val="21"/>
                <w:szCs w:val="21"/>
              </w:rPr>
              <w:t>i</w:t>
            </w:r>
            <w:r>
              <w:rPr>
                <w:rFonts w:hint="default" w:ascii="Times New Roman" w:hAnsi="Times New Roman" w:eastAsia="宋体" w:cs="Times New Roman"/>
                <w:color w:val="auto"/>
                <w:sz w:val="21"/>
                <w:szCs w:val="21"/>
                <w:vertAlign w:val="subscript"/>
              </w:rPr>
              <w:t>燃料</w:t>
            </w:r>
            <w:r>
              <w:rPr>
                <w:rFonts w:hint="default" w:ascii="Times New Roman" w:hAnsi="Times New Roman" w:eastAsia="宋体" w:cs="Times New Roman"/>
                <w:color w:val="auto"/>
                <w:position w:val="2"/>
                <w:sz w:val="21"/>
                <w:szCs w:val="21"/>
              </w:rPr>
              <w:t>+AD</w:t>
            </w:r>
            <w:r>
              <w:rPr>
                <w:rFonts w:hint="default" w:ascii="Times New Roman" w:hAnsi="Times New Roman" w:eastAsia="宋体" w:cs="Times New Roman"/>
                <w:color w:val="auto"/>
                <w:sz w:val="21"/>
                <w:szCs w:val="21"/>
              </w:rPr>
              <w:t>i</w:t>
            </w:r>
            <w:r>
              <w:rPr>
                <w:rFonts w:hint="default" w:ascii="Times New Roman" w:hAnsi="Times New Roman" w:eastAsia="宋体" w:cs="Times New Roman"/>
                <w:color w:val="auto"/>
                <w:sz w:val="21"/>
                <w:szCs w:val="21"/>
                <w:vertAlign w:val="subscript"/>
              </w:rPr>
              <w:t>燃料</w:t>
            </w:r>
            <w:r>
              <w:rPr>
                <w:rFonts w:hint="default" w:ascii="Times New Roman" w:hAnsi="Times New Roman" w:eastAsia="宋体" w:cs="Times New Roman"/>
                <w:color w:val="auto"/>
                <w:position w:val="2"/>
                <w:sz w:val="21"/>
                <w:szCs w:val="21"/>
              </w:rPr>
              <w:t>*EF</w:t>
            </w:r>
            <w:r>
              <w:rPr>
                <w:rFonts w:hint="default" w:ascii="Times New Roman" w:hAnsi="Times New Roman" w:eastAsia="宋体" w:cs="Times New Roman"/>
                <w:color w:val="auto"/>
                <w:spacing w:val="-1"/>
                <w:position w:val="2"/>
                <w:sz w:val="21"/>
                <w:szCs w:val="21"/>
              </w:rPr>
              <w:t>＇</w:t>
            </w:r>
            <w:r>
              <w:rPr>
                <w:rFonts w:hint="default" w:ascii="Times New Roman" w:hAnsi="Times New Roman" w:eastAsia="宋体" w:cs="Times New Roman"/>
                <w:color w:val="auto"/>
                <w:sz w:val="21"/>
                <w:szCs w:val="21"/>
                <w:vertAlign w:val="subscript"/>
              </w:rPr>
              <w:t>i燃料</w:t>
            </w:r>
            <w:r>
              <w:rPr>
                <w:rFonts w:hint="default" w:ascii="Times New Roman" w:hAnsi="Times New Roman" w:eastAsia="宋体" w:cs="Times New Roman"/>
                <w:color w:val="auto"/>
                <w:position w:val="2"/>
                <w:sz w:val="21"/>
                <w:szCs w:val="21"/>
              </w:rPr>
              <w:t>*GWP</w:t>
            </w:r>
            <w:r>
              <w:rPr>
                <w:rFonts w:hint="default" w:ascii="Times New Roman" w:hAnsi="Times New Roman" w:eastAsia="宋体" w:cs="Times New Roman"/>
                <w:color w:val="auto"/>
                <w:sz w:val="21"/>
                <w:szCs w:val="21"/>
                <w:vertAlign w:val="subscript"/>
              </w:rPr>
              <w:t>N</w:t>
            </w:r>
            <w:r>
              <w:rPr>
                <w:rFonts w:hint="default" w:ascii="Times New Roman" w:hAnsi="Times New Roman" w:eastAsia="宋体" w:cs="Times New Roman"/>
                <w:color w:val="auto"/>
                <w:sz w:val="16"/>
                <w:szCs w:val="16"/>
                <w:vertAlign w:val="subscript"/>
              </w:rPr>
              <w:t>2</w:t>
            </w:r>
            <w:r>
              <w:rPr>
                <w:rFonts w:hint="default" w:ascii="Times New Roman" w:hAnsi="Times New Roman" w:eastAsia="宋体" w:cs="Times New Roman"/>
                <w:color w:val="auto"/>
                <w:sz w:val="21"/>
                <w:szCs w:val="21"/>
                <w:vertAlign w:val="subscript"/>
              </w:rPr>
              <w:t>O</w:t>
            </w:r>
            <w:r>
              <w:rPr>
                <w:rFonts w:hint="eastAsia" w:cs="Times New Roman"/>
                <w:color w:val="auto"/>
                <w:position w:val="2"/>
                <w:sz w:val="21"/>
                <w:szCs w:val="21"/>
                <w:lang w:eastAsia="zh-CN"/>
              </w:rPr>
              <w:t>）</w:t>
            </w:r>
          </w:p>
          <w:p w14:paraId="0D5F11D7">
            <w:pPr>
              <w:pStyle w:val="2"/>
              <w:keepNext w:val="0"/>
              <w:keepLines w:val="0"/>
              <w:pageBreakBefore w:val="0"/>
              <w:widowControl w:val="0"/>
              <w:kinsoku/>
              <w:wordWrap/>
              <w:overflowPunct/>
              <w:topLinePunct w:val="0"/>
              <w:autoSpaceDE/>
              <w:autoSpaceDN/>
              <w:bidi w:val="0"/>
              <w:spacing w:after="0" w:line="360" w:lineRule="auto"/>
              <w:ind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式中：</w:t>
            </w:r>
          </w:p>
          <w:p w14:paraId="15802CD2">
            <w:pPr>
              <w:pStyle w:val="2"/>
              <w:keepNext w:val="0"/>
              <w:keepLines w:val="0"/>
              <w:pageBreakBefore w:val="0"/>
              <w:widowControl w:val="0"/>
              <w:kinsoku/>
              <w:wordWrap/>
              <w:overflowPunct/>
              <w:topLinePunct w:val="0"/>
              <w:autoSpaceDE/>
              <w:autoSpaceDN/>
              <w:bidi w:val="0"/>
              <w:spacing w:after="0" w:line="360" w:lineRule="auto"/>
              <w:ind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i——燃料种类；</w:t>
            </w:r>
          </w:p>
          <w:p w14:paraId="311388D8">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default" w:ascii="Times New Roman" w:hAnsi="Times New Roman" w:eastAsia="宋体" w:cs="Times New Roman"/>
                <w:color w:val="auto"/>
                <w:position w:val="2"/>
                <w:sz w:val="21"/>
                <w:szCs w:val="21"/>
              </w:rPr>
            </w:pPr>
            <w:r>
              <w:rPr>
                <w:rFonts w:hint="default" w:ascii="Times New Roman" w:hAnsi="Times New Roman" w:eastAsia="宋体" w:cs="Times New Roman"/>
                <w:color w:val="auto"/>
                <w:spacing w:val="-1"/>
                <w:position w:val="2"/>
                <w:sz w:val="21"/>
                <w:szCs w:val="21"/>
              </w:rPr>
              <w:t>AD</w:t>
            </w:r>
            <w:r>
              <w:rPr>
                <w:rFonts w:hint="default" w:ascii="Times New Roman" w:hAnsi="Times New Roman" w:eastAsia="宋体" w:cs="Times New Roman"/>
                <w:color w:val="auto"/>
                <w:sz w:val="21"/>
                <w:szCs w:val="21"/>
              </w:rPr>
              <w:t>i</w:t>
            </w:r>
            <w:r>
              <w:rPr>
                <w:rFonts w:hint="default" w:ascii="Times New Roman" w:hAnsi="Times New Roman" w:eastAsia="宋体" w:cs="Times New Roman"/>
                <w:color w:val="auto"/>
                <w:spacing w:val="-1"/>
                <w:sz w:val="21"/>
                <w:szCs w:val="21"/>
                <w:vertAlign w:val="subscript"/>
              </w:rPr>
              <w:t>燃料</w:t>
            </w:r>
            <w:r>
              <w:rPr>
                <w:rFonts w:hint="default" w:ascii="Times New Roman" w:hAnsi="Times New Roman" w:eastAsia="宋体" w:cs="Times New Roman"/>
                <w:color w:val="auto"/>
                <w:position w:val="2"/>
                <w:sz w:val="21"/>
                <w:szCs w:val="21"/>
              </w:rPr>
              <w:t>——i</w:t>
            </w:r>
            <w:r>
              <w:rPr>
                <w:rFonts w:hint="default" w:ascii="Times New Roman" w:hAnsi="Times New Roman" w:eastAsia="宋体" w:cs="Times New Roman"/>
                <w:color w:val="auto"/>
                <w:spacing w:val="-1"/>
                <w:position w:val="2"/>
                <w:sz w:val="21"/>
                <w:szCs w:val="21"/>
              </w:rPr>
              <w:t>燃料燃烧消耗量</w:t>
            </w:r>
            <w:r>
              <w:rPr>
                <w:rFonts w:hint="default" w:ascii="Times New Roman" w:hAnsi="Times New Roman" w:eastAsia="宋体" w:cs="Times New Roman"/>
                <w:color w:val="auto"/>
                <w:position w:val="2"/>
                <w:sz w:val="21"/>
                <w:szCs w:val="21"/>
              </w:rPr>
              <w:t>（t</w:t>
            </w:r>
            <w:r>
              <w:rPr>
                <w:rFonts w:hint="default" w:ascii="Times New Roman" w:hAnsi="Times New Roman" w:eastAsia="宋体" w:cs="Times New Roman"/>
                <w:color w:val="auto"/>
                <w:spacing w:val="-30"/>
                <w:position w:val="2"/>
                <w:sz w:val="21"/>
                <w:szCs w:val="21"/>
              </w:rPr>
              <w:t>或</w:t>
            </w:r>
            <w:r>
              <w:rPr>
                <w:rFonts w:hint="default" w:ascii="Times New Roman" w:hAnsi="Times New Roman" w:eastAsia="宋体" w:cs="Times New Roman"/>
                <w:color w:val="auto"/>
                <w:position w:val="2"/>
                <w:sz w:val="21"/>
                <w:szCs w:val="21"/>
              </w:rPr>
              <w:t>kNm</w:t>
            </w:r>
            <w:r>
              <w:rPr>
                <w:rFonts w:hint="default" w:ascii="Times New Roman" w:hAnsi="Times New Roman" w:eastAsia="宋体" w:cs="Times New Roman"/>
                <w:color w:val="auto"/>
                <w:spacing w:val="1"/>
                <w:position w:val="2"/>
                <w:sz w:val="21"/>
                <w:szCs w:val="21"/>
                <w:vertAlign w:val="superscript"/>
              </w:rPr>
              <w:t>3</w:t>
            </w:r>
            <w:r>
              <w:rPr>
                <w:rFonts w:hint="default" w:ascii="Times New Roman" w:hAnsi="Times New Roman" w:eastAsia="宋体" w:cs="Times New Roman"/>
                <w:color w:val="auto"/>
                <w:spacing w:val="-120"/>
                <w:position w:val="2"/>
                <w:sz w:val="21"/>
                <w:szCs w:val="21"/>
              </w:rPr>
              <w:t>）</w:t>
            </w:r>
            <w:r>
              <w:rPr>
                <w:rFonts w:hint="default" w:ascii="Times New Roman" w:hAnsi="Times New Roman" w:eastAsia="宋体" w:cs="Times New Roman"/>
                <w:color w:val="auto"/>
                <w:position w:val="2"/>
                <w:sz w:val="21"/>
                <w:szCs w:val="21"/>
              </w:rPr>
              <w:t>）</w:t>
            </w:r>
          </w:p>
          <w:p w14:paraId="14C5F8F1">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default" w:ascii="Times New Roman" w:hAnsi="Times New Roman" w:eastAsia="宋体" w:cs="Times New Roman"/>
                <w:color w:val="auto"/>
                <w:position w:val="2"/>
                <w:sz w:val="21"/>
                <w:szCs w:val="21"/>
              </w:rPr>
            </w:pPr>
            <w:r>
              <w:rPr>
                <w:rFonts w:hint="default" w:ascii="Times New Roman" w:hAnsi="Times New Roman" w:eastAsia="宋体" w:cs="Times New Roman"/>
                <w:color w:val="auto"/>
                <w:spacing w:val="-1"/>
                <w:position w:val="2"/>
                <w:sz w:val="21"/>
                <w:szCs w:val="21"/>
              </w:rPr>
              <w:t>E</w:t>
            </w:r>
            <w:r>
              <w:rPr>
                <w:rFonts w:hint="default" w:ascii="Times New Roman" w:hAnsi="Times New Roman" w:eastAsia="宋体" w:cs="Times New Roman"/>
                <w:color w:val="auto"/>
                <w:spacing w:val="-2"/>
                <w:position w:val="2"/>
                <w:sz w:val="21"/>
                <w:szCs w:val="21"/>
              </w:rPr>
              <w:t>F</w:t>
            </w:r>
            <w:r>
              <w:rPr>
                <w:rFonts w:hint="default" w:ascii="Times New Roman" w:hAnsi="Times New Roman" w:eastAsia="宋体" w:cs="Times New Roman"/>
                <w:color w:val="auto"/>
                <w:sz w:val="21"/>
                <w:szCs w:val="21"/>
              </w:rPr>
              <w:t>i</w:t>
            </w:r>
            <w:r>
              <w:rPr>
                <w:rFonts w:hint="default" w:ascii="Times New Roman" w:hAnsi="Times New Roman" w:eastAsia="宋体" w:cs="Times New Roman"/>
                <w:color w:val="auto"/>
                <w:spacing w:val="-1"/>
                <w:sz w:val="21"/>
                <w:szCs w:val="21"/>
                <w:vertAlign w:val="subscript"/>
              </w:rPr>
              <w:t>燃料</w:t>
            </w:r>
            <w:r>
              <w:rPr>
                <w:rFonts w:hint="default" w:ascii="Times New Roman" w:hAnsi="Times New Roman" w:eastAsia="宋体" w:cs="Times New Roman"/>
                <w:color w:val="auto"/>
                <w:position w:val="2"/>
                <w:sz w:val="21"/>
                <w:szCs w:val="21"/>
              </w:rPr>
              <w:t>——i燃料燃烧二氧化碳排放因子（tC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2"/>
                <w:sz w:val="21"/>
                <w:szCs w:val="21"/>
                <w:vertAlign w:val="subscript"/>
              </w:rPr>
              <w:t>2e</w:t>
            </w:r>
            <w:r>
              <w:rPr>
                <w:rFonts w:hint="default" w:ascii="Times New Roman" w:hAnsi="Times New Roman" w:eastAsia="宋体" w:cs="Times New Roman"/>
                <w:color w:val="auto"/>
                <w:position w:val="2"/>
                <w:sz w:val="21"/>
                <w:szCs w:val="21"/>
              </w:rPr>
              <w:t>/kg</w:t>
            </w:r>
            <w:r>
              <w:rPr>
                <w:rFonts w:hint="default" w:ascii="Times New Roman" w:hAnsi="Times New Roman" w:eastAsia="宋体" w:cs="Times New Roman"/>
                <w:color w:val="auto"/>
                <w:spacing w:val="-30"/>
                <w:position w:val="2"/>
                <w:sz w:val="21"/>
                <w:szCs w:val="21"/>
              </w:rPr>
              <w:t>或</w:t>
            </w:r>
            <w:r>
              <w:rPr>
                <w:rFonts w:hint="default" w:ascii="Times New Roman" w:hAnsi="Times New Roman" w:eastAsia="宋体" w:cs="Times New Roman"/>
                <w:color w:val="auto"/>
                <w:position w:val="2"/>
                <w:sz w:val="21"/>
                <w:szCs w:val="21"/>
              </w:rPr>
              <w:t>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2"/>
                <w:sz w:val="21"/>
                <w:szCs w:val="21"/>
                <w:vertAlign w:val="subscript"/>
              </w:rPr>
              <w:t>e</w:t>
            </w:r>
            <w:r>
              <w:rPr>
                <w:rFonts w:hint="default" w:ascii="Times New Roman" w:hAnsi="Times New Roman" w:eastAsia="宋体" w:cs="Times New Roman"/>
                <w:color w:val="auto"/>
                <w:position w:val="2"/>
                <w:sz w:val="21"/>
                <w:szCs w:val="21"/>
              </w:rPr>
              <w:t>/kNm</w:t>
            </w:r>
            <w:r>
              <w:rPr>
                <w:rFonts w:hint="default" w:ascii="Times New Roman" w:hAnsi="Times New Roman" w:eastAsia="宋体" w:cs="Times New Roman"/>
                <w:color w:val="auto"/>
                <w:spacing w:val="1"/>
                <w:position w:val="2"/>
                <w:sz w:val="21"/>
                <w:szCs w:val="21"/>
                <w:vertAlign w:val="superscript"/>
              </w:rPr>
              <w:t>3</w:t>
            </w:r>
            <w:r>
              <w:rPr>
                <w:rFonts w:hint="default" w:ascii="Times New Roman" w:hAnsi="Times New Roman" w:eastAsia="宋体" w:cs="Times New Roman"/>
                <w:color w:val="auto"/>
                <w:spacing w:val="-120"/>
                <w:position w:val="2"/>
                <w:sz w:val="21"/>
                <w:szCs w:val="21"/>
              </w:rPr>
              <w:t>）</w:t>
            </w:r>
            <w:r>
              <w:rPr>
                <w:rFonts w:hint="default" w:ascii="Times New Roman" w:hAnsi="Times New Roman" w:eastAsia="宋体" w:cs="Times New Roman"/>
                <w:color w:val="auto"/>
                <w:position w:val="2"/>
                <w:sz w:val="21"/>
                <w:szCs w:val="21"/>
              </w:rPr>
              <w:t>）</w:t>
            </w:r>
          </w:p>
          <w:p w14:paraId="5D7C3F83">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eastAsia" w:ascii="Times New Roman" w:hAnsi="Times New Roman" w:eastAsia="宋体" w:cs="Times New Roman"/>
                <w:color w:val="auto"/>
                <w:position w:val="2"/>
                <w:sz w:val="21"/>
                <w:szCs w:val="21"/>
                <w:lang w:eastAsia="zh-CN"/>
              </w:rPr>
            </w:pPr>
            <w:r>
              <w:rPr>
                <w:rFonts w:hint="default" w:ascii="Times New Roman" w:hAnsi="Times New Roman" w:eastAsia="宋体" w:cs="Times New Roman"/>
                <w:color w:val="auto"/>
                <w:spacing w:val="-1"/>
                <w:position w:val="2"/>
                <w:sz w:val="21"/>
                <w:szCs w:val="21"/>
              </w:rPr>
              <w:t>E</w:t>
            </w:r>
            <w:r>
              <w:rPr>
                <w:rFonts w:hint="default" w:ascii="Times New Roman" w:hAnsi="Times New Roman" w:eastAsia="宋体" w:cs="Times New Roman"/>
                <w:color w:val="auto"/>
                <w:spacing w:val="-2"/>
                <w:position w:val="2"/>
                <w:sz w:val="21"/>
                <w:szCs w:val="21"/>
              </w:rPr>
              <w:t>F</w:t>
            </w:r>
            <w:r>
              <w:rPr>
                <w:rFonts w:hint="default" w:ascii="Times New Roman" w:hAnsi="Times New Roman" w:eastAsia="宋体" w:cs="Times New Roman"/>
                <w:color w:val="auto"/>
                <w:spacing w:val="-1"/>
                <w:position w:val="2"/>
                <w:sz w:val="21"/>
                <w:szCs w:val="21"/>
              </w:rPr>
              <w:t>＇</w:t>
            </w:r>
            <w:r>
              <w:rPr>
                <w:rFonts w:hint="default" w:ascii="Times New Roman" w:hAnsi="Times New Roman" w:eastAsia="宋体" w:cs="Times New Roman"/>
                <w:color w:val="auto"/>
                <w:sz w:val="21"/>
                <w:szCs w:val="21"/>
                <w:vertAlign w:val="subscript"/>
              </w:rPr>
              <w:t>i燃料</w:t>
            </w:r>
            <w:r>
              <w:rPr>
                <w:rFonts w:hint="default" w:ascii="Times New Roman" w:hAnsi="Times New Roman" w:eastAsia="宋体" w:cs="Times New Roman"/>
                <w:color w:val="auto"/>
                <w:position w:val="2"/>
                <w:sz w:val="21"/>
                <w:szCs w:val="21"/>
              </w:rPr>
              <w:t>——i燃料燃烧氧化亚氮排放因子</w:t>
            </w:r>
            <w:r>
              <w:rPr>
                <w:rFonts w:hint="eastAsia" w:cs="Times New Roman"/>
                <w:color w:val="auto"/>
                <w:position w:val="2"/>
                <w:sz w:val="21"/>
                <w:szCs w:val="21"/>
                <w:lang w:eastAsia="zh-CN"/>
              </w:rPr>
              <w:t>（</w:t>
            </w:r>
            <w:r>
              <w:rPr>
                <w:rFonts w:hint="default" w:ascii="Times New Roman" w:hAnsi="Times New Roman" w:eastAsia="宋体" w:cs="Times New Roman"/>
                <w:color w:val="auto"/>
                <w:position w:val="2"/>
                <w:sz w:val="21"/>
                <w:szCs w:val="21"/>
              </w:rPr>
              <w:t>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2"/>
                <w:sz w:val="21"/>
                <w:szCs w:val="21"/>
                <w:vertAlign w:val="subscript"/>
              </w:rPr>
              <w:t>e</w:t>
            </w:r>
            <w:r>
              <w:rPr>
                <w:rFonts w:hint="default" w:ascii="Times New Roman" w:hAnsi="Times New Roman" w:eastAsia="宋体" w:cs="Times New Roman"/>
                <w:color w:val="auto"/>
                <w:position w:val="2"/>
                <w:sz w:val="21"/>
                <w:szCs w:val="21"/>
              </w:rPr>
              <w:t>/kg</w:t>
            </w:r>
            <w:r>
              <w:rPr>
                <w:rFonts w:hint="default" w:ascii="Times New Roman" w:hAnsi="Times New Roman" w:eastAsia="宋体" w:cs="Times New Roman"/>
                <w:color w:val="auto"/>
                <w:spacing w:val="-30"/>
                <w:position w:val="2"/>
                <w:sz w:val="21"/>
                <w:szCs w:val="21"/>
              </w:rPr>
              <w:t>或</w:t>
            </w:r>
            <w:r>
              <w:rPr>
                <w:rFonts w:hint="default" w:ascii="Times New Roman" w:hAnsi="Times New Roman" w:eastAsia="宋体" w:cs="Times New Roman"/>
                <w:color w:val="auto"/>
                <w:position w:val="2"/>
                <w:sz w:val="21"/>
                <w:szCs w:val="21"/>
              </w:rPr>
              <w:t>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2"/>
                <w:sz w:val="21"/>
                <w:szCs w:val="21"/>
                <w:vertAlign w:val="subscript"/>
              </w:rPr>
              <w:t>e</w:t>
            </w:r>
            <w:r>
              <w:rPr>
                <w:rFonts w:hint="default" w:ascii="Times New Roman" w:hAnsi="Times New Roman" w:eastAsia="宋体" w:cs="Times New Roman"/>
                <w:color w:val="auto"/>
                <w:position w:val="2"/>
                <w:sz w:val="21"/>
                <w:szCs w:val="21"/>
              </w:rPr>
              <w:t>/kNm</w:t>
            </w:r>
            <w:r>
              <w:rPr>
                <w:rFonts w:hint="default" w:ascii="Times New Roman" w:hAnsi="Times New Roman" w:eastAsia="宋体" w:cs="Times New Roman"/>
                <w:color w:val="auto"/>
                <w:spacing w:val="1"/>
                <w:position w:val="2"/>
                <w:sz w:val="21"/>
                <w:szCs w:val="21"/>
                <w:vertAlign w:val="superscript"/>
              </w:rPr>
              <w:t>3</w:t>
            </w:r>
            <w:r>
              <w:rPr>
                <w:rFonts w:hint="eastAsia" w:cs="Times New Roman"/>
                <w:color w:val="auto"/>
                <w:position w:val="2"/>
                <w:sz w:val="21"/>
                <w:szCs w:val="21"/>
                <w:lang w:eastAsia="zh-CN"/>
              </w:rPr>
              <w:t>）</w:t>
            </w:r>
          </w:p>
          <w:p w14:paraId="67CC28A7">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1"/>
                <w:position w:val="2"/>
                <w:sz w:val="21"/>
                <w:szCs w:val="21"/>
              </w:rPr>
              <w:t>G</w:t>
            </w:r>
            <w:r>
              <w:rPr>
                <w:rFonts w:hint="default" w:ascii="Times New Roman" w:hAnsi="Times New Roman" w:eastAsia="宋体" w:cs="Times New Roman"/>
                <w:color w:val="auto"/>
                <w:spacing w:val="1"/>
                <w:position w:val="2"/>
                <w:sz w:val="21"/>
                <w:szCs w:val="21"/>
              </w:rPr>
              <w:t>W</w:t>
            </w:r>
            <w:r>
              <w:rPr>
                <w:rFonts w:hint="default" w:ascii="Times New Roman" w:hAnsi="Times New Roman" w:eastAsia="宋体" w:cs="Times New Roman"/>
                <w:color w:val="auto"/>
                <w:position w:val="2"/>
                <w:sz w:val="21"/>
                <w:szCs w:val="21"/>
              </w:rPr>
              <w:t>P</w:t>
            </w:r>
            <w:r>
              <w:rPr>
                <w:rFonts w:hint="default" w:ascii="Times New Roman" w:hAnsi="Times New Roman" w:eastAsia="宋体" w:cs="Times New Roman"/>
                <w:color w:val="auto"/>
                <w:spacing w:val="-1"/>
                <w:sz w:val="21"/>
                <w:szCs w:val="21"/>
                <w:vertAlign w:val="subscript"/>
              </w:rPr>
              <w:t>N</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1"/>
                <w:sz w:val="21"/>
                <w:szCs w:val="21"/>
                <w:vertAlign w:val="subscript"/>
              </w:rPr>
              <w:t>O</w:t>
            </w:r>
            <w:r>
              <w:rPr>
                <w:rFonts w:hint="default" w:ascii="Times New Roman" w:hAnsi="Times New Roman" w:eastAsia="宋体" w:cs="Times New Roman"/>
                <w:color w:val="auto"/>
                <w:position w:val="2"/>
                <w:sz w:val="21"/>
                <w:szCs w:val="21"/>
              </w:rPr>
              <w:t>——i</w:t>
            </w:r>
            <w:r>
              <w:rPr>
                <w:rFonts w:hint="default" w:ascii="Times New Roman" w:hAnsi="Times New Roman" w:eastAsia="宋体" w:cs="Times New Roman"/>
                <w:color w:val="auto"/>
                <w:spacing w:val="-1"/>
                <w:position w:val="2"/>
                <w:sz w:val="21"/>
                <w:szCs w:val="21"/>
              </w:rPr>
              <w:t>燃料燃烧二氧化碳排放因子</w:t>
            </w:r>
            <w:r>
              <w:rPr>
                <w:rFonts w:hint="eastAsia" w:cs="Times New Roman"/>
                <w:color w:val="auto"/>
                <w:position w:val="2"/>
                <w:sz w:val="21"/>
                <w:szCs w:val="21"/>
                <w:lang w:eastAsia="zh-CN"/>
              </w:rPr>
              <w:t>（</w:t>
            </w:r>
            <w:r>
              <w:rPr>
                <w:rFonts w:hint="default" w:ascii="Times New Roman" w:hAnsi="Times New Roman" w:eastAsia="宋体" w:cs="Times New Roman"/>
                <w:color w:val="auto"/>
                <w:position w:val="2"/>
                <w:sz w:val="21"/>
                <w:szCs w:val="21"/>
              </w:rPr>
              <w:t>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2"/>
                <w:sz w:val="21"/>
                <w:szCs w:val="21"/>
                <w:vertAlign w:val="subscript"/>
              </w:rPr>
              <w:t>e</w:t>
            </w:r>
            <w:r>
              <w:rPr>
                <w:rFonts w:hint="default" w:ascii="Times New Roman" w:hAnsi="Times New Roman" w:eastAsia="宋体" w:cs="Times New Roman"/>
                <w:color w:val="auto"/>
                <w:position w:val="2"/>
                <w:sz w:val="21"/>
                <w:szCs w:val="21"/>
              </w:rPr>
              <w:t>/kg</w:t>
            </w:r>
            <w:r>
              <w:rPr>
                <w:rFonts w:hint="default" w:ascii="Times New Roman" w:hAnsi="Times New Roman" w:eastAsia="宋体" w:cs="Times New Roman"/>
                <w:color w:val="auto"/>
                <w:spacing w:val="-30"/>
                <w:position w:val="2"/>
                <w:sz w:val="21"/>
                <w:szCs w:val="21"/>
              </w:rPr>
              <w:t>或</w:t>
            </w:r>
            <w:r>
              <w:rPr>
                <w:rFonts w:hint="default" w:ascii="Times New Roman" w:hAnsi="Times New Roman" w:eastAsia="宋体" w:cs="Times New Roman"/>
                <w:color w:val="auto"/>
                <w:position w:val="2"/>
                <w:sz w:val="21"/>
                <w:szCs w:val="21"/>
              </w:rPr>
              <w:t>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2"/>
                <w:sz w:val="21"/>
                <w:szCs w:val="21"/>
                <w:vertAlign w:val="subscript"/>
              </w:rPr>
              <w:t>e</w:t>
            </w:r>
            <w:r>
              <w:rPr>
                <w:rFonts w:hint="default" w:ascii="Times New Roman" w:hAnsi="Times New Roman" w:eastAsia="宋体" w:cs="Times New Roman"/>
                <w:color w:val="auto"/>
                <w:position w:val="2"/>
                <w:sz w:val="21"/>
                <w:szCs w:val="21"/>
              </w:rPr>
              <w:t>/kNm</w:t>
            </w:r>
            <w:r>
              <w:rPr>
                <w:rFonts w:hint="default" w:ascii="Times New Roman" w:hAnsi="Times New Roman" w:eastAsia="宋体" w:cs="Times New Roman"/>
                <w:color w:val="auto"/>
                <w:spacing w:val="1"/>
                <w:position w:val="2"/>
                <w:sz w:val="21"/>
                <w:szCs w:val="21"/>
                <w:vertAlign w:val="superscript"/>
              </w:rPr>
              <w:t>3</w:t>
            </w:r>
            <w:r>
              <w:rPr>
                <w:rFonts w:hint="eastAsia" w:cs="Times New Roman"/>
                <w:color w:val="auto"/>
                <w:position w:val="2"/>
                <w:sz w:val="21"/>
                <w:szCs w:val="21"/>
                <w:lang w:eastAsia="zh-CN"/>
              </w:rPr>
              <w:t>）</w:t>
            </w:r>
            <w:r>
              <w:rPr>
                <w:rFonts w:hint="default" w:ascii="Times New Roman" w:hAnsi="Times New Roman" w:eastAsia="宋体" w:cs="Times New Roman"/>
                <w:color w:val="auto"/>
                <w:position w:val="2"/>
                <w:sz w:val="21"/>
                <w:szCs w:val="21"/>
              </w:rPr>
              <w:t>EF</w:t>
            </w:r>
            <w:r>
              <w:rPr>
                <w:rFonts w:hint="default" w:ascii="Times New Roman" w:hAnsi="Times New Roman" w:eastAsia="宋体" w:cs="Times New Roman"/>
                <w:color w:val="auto"/>
                <w:sz w:val="21"/>
                <w:szCs w:val="21"/>
                <w:vertAlign w:val="subscript"/>
              </w:rPr>
              <w:t>i</w:t>
            </w:r>
            <w:r>
              <w:rPr>
                <w:rFonts w:hint="eastAsia" w:ascii="Times New Roman" w:hAnsi="Times New Roman" w:eastAsia="宋体" w:cs="Times New Roman"/>
                <w:color w:val="auto"/>
                <w:sz w:val="21"/>
                <w:szCs w:val="21"/>
                <w:vertAlign w:val="subscript"/>
                <w:lang w:val="en-US" w:eastAsia="zh-CN"/>
              </w:rPr>
              <w:t>燃料</w:t>
            </w:r>
            <w:r>
              <w:rPr>
                <w:rFonts w:hint="default" w:ascii="Times New Roman" w:hAnsi="Times New Roman" w:eastAsia="宋体" w:cs="Times New Roman"/>
                <w:color w:val="auto"/>
                <w:position w:val="2"/>
                <w:sz w:val="21"/>
                <w:szCs w:val="21"/>
              </w:rPr>
              <w:t>——氧化亚氮全球变暖潜势值。</w:t>
            </w:r>
          </w:p>
          <w:p w14:paraId="6F24AB10">
            <w:pPr>
              <w:pStyle w:val="2"/>
              <w:keepNext w:val="0"/>
              <w:keepLines w:val="0"/>
              <w:pageBreakBefore w:val="0"/>
              <w:widowControl w:val="0"/>
              <w:kinsoku/>
              <w:wordWrap/>
              <w:overflowPunct/>
              <w:topLinePunct w:val="0"/>
              <w:autoSpaceDE/>
              <w:autoSpaceDN/>
              <w:bidi w:val="0"/>
              <w:spacing w:after="0" w:line="360" w:lineRule="auto"/>
              <w:ind w:firstLine="412" w:firstLineChars="200"/>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pacing w:val="-2"/>
                <w:position w:val="2"/>
                <w:sz w:val="21"/>
                <w:szCs w:val="21"/>
              </w:rPr>
              <w:t>建设项目用于电力生产之外的其他工业生产的燃料燃烧产生的排放量</w:t>
            </w: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工燃</w:t>
            </w:r>
            <w:r>
              <w:rPr>
                <w:rFonts w:hint="default" w:ascii="Times New Roman" w:hAnsi="Times New Roman" w:eastAsia="宋体" w:cs="Times New Roman"/>
                <w:color w:val="auto"/>
                <w:spacing w:val="-48"/>
                <w:position w:val="2"/>
                <w:sz w:val="21"/>
                <w:szCs w:val="21"/>
              </w:rPr>
              <w:t>）</w:t>
            </w:r>
            <w:r>
              <w:rPr>
                <w:rFonts w:hint="default" w:ascii="Times New Roman" w:hAnsi="Times New Roman" w:eastAsia="宋体" w:cs="Times New Roman"/>
                <w:color w:val="auto"/>
                <w:spacing w:val="-3"/>
                <w:position w:val="2"/>
                <w:sz w:val="21"/>
                <w:szCs w:val="21"/>
              </w:rPr>
              <w:t>计算方法见</w:t>
            </w:r>
            <w:r>
              <w:rPr>
                <w:rFonts w:hint="default" w:ascii="Times New Roman" w:hAnsi="Times New Roman" w:eastAsia="宋体" w:cs="Times New Roman"/>
                <w:color w:val="auto"/>
                <w:sz w:val="21"/>
                <w:szCs w:val="21"/>
              </w:rPr>
              <w:t>公式</w:t>
            </w:r>
            <w:r>
              <w:rPr>
                <w:rFonts w:hint="eastAsia" w:cs="Times New Roman"/>
                <w:color w:val="auto"/>
                <w:sz w:val="21"/>
                <w:szCs w:val="21"/>
                <w:lang w:eastAsia="zh-CN"/>
              </w:rPr>
              <w:t>（</w:t>
            </w:r>
            <w:r>
              <w:rPr>
                <w:rFonts w:hint="default" w:ascii="Times New Roman" w:hAnsi="Times New Roman" w:eastAsia="宋体" w:cs="Times New Roman"/>
                <w:color w:val="auto"/>
                <w:sz w:val="21"/>
                <w:szCs w:val="21"/>
              </w:rPr>
              <w:t>4</w:t>
            </w:r>
            <w:r>
              <w:rPr>
                <w:rFonts w:hint="eastAsia" w:cs="Times New Roman"/>
                <w:color w:val="auto"/>
                <w:sz w:val="21"/>
                <w:szCs w:val="21"/>
                <w:lang w:eastAsia="zh-CN"/>
              </w:rPr>
              <w:t>）</w:t>
            </w:r>
          </w:p>
          <w:p w14:paraId="094EA590">
            <w:pPr>
              <w:keepNext w:val="0"/>
              <w:keepLines w:val="0"/>
              <w:pageBreakBefore w:val="0"/>
              <w:widowControl w:val="0"/>
              <w:kinsoku/>
              <w:wordWrap/>
              <w:overflowPunct/>
              <w:topLinePunct w:val="0"/>
              <w:autoSpaceDE/>
              <w:autoSpaceDN/>
              <w:bidi w:val="0"/>
              <w:spacing w:line="36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工燃</w:t>
            </w:r>
            <w:r>
              <w:rPr>
                <w:rFonts w:hint="default" w:ascii="Times New Roman" w:hAnsi="Times New Roman" w:eastAsia="宋体" w:cs="Times New Roman"/>
                <w:color w:val="auto"/>
                <w:position w:val="2"/>
                <w:sz w:val="21"/>
                <w:szCs w:val="21"/>
              </w:rPr>
              <w:t>=∑</w:t>
            </w:r>
            <w:r>
              <w:rPr>
                <w:rFonts w:hint="eastAsia" w:cs="Times New Roman"/>
                <w:color w:val="auto"/>
                <w:position w:val="2"/>
                <w:sz w:val="21"/>
                <w:szCs w:val="21"/>
                <w:lang w:eastAsia="zh-CN"/>
              </w:rPr>
              <w:t>（</w:t>
            </w:r>
            <w:r>
              <w:rPr>
                <w:rFonts w:hint="default" w:ascii="Times New Roman" w:hAnsi="Times New Roman" w:eastAsia="宋体" w:cs="Times New Roman"/>
                <w:color w:val="auto"/>
                <w:position w:val="2"/>
                <w:sz w:val="21"/>
                <w:szCs w:val="21"/>
              </w:rPr>
              <w:t>AD</w:t>
            </w:r>
            <w:r>
              <w:rPr>
                <w:rFonts w:hint="default" w:ascii="Times New Roman" w:hAnsi="Times New Roman" w:eastAsia="宋体" w:cs="Times New Roman"/>
                <w:color w:val="auto"/>
                <w:sz w:val="21"/>
                <w:szCs w:val="21"/>
                <w:vertAlign w:val="subscript"/>
              </w:rPr>
              <w:t>i燃料</w:t>
            </w:r>
            <w:r>
              <w:rPr>
                <w:rFonts w:hint="default" w:ascii="Times New Roman" w:hAnsi="Times New Roman" w:eastAsia="宋体" w:cs="Times New Roman"/>
                <w:color w:val="auto"/>
                <w:position w:val="2"/>
                <w:sz w:val="21"/>
                <w:szCs w:val="21"/>
              </w:rPr>
              <w:t>*EF</w:t>
            </w:r>
            <w:r>
              <w:rPr>
                <w:rFonts w:hint="default" w:ascii="Times New Roman" w:hAnsi="Times New Roman" w:eastAsia="宋体" w:cs="Times New Roman"/>
                <w:color w:val="auto"/>
                <w:sz w:val="21"/>
                <w:szCs w:val="21"/>
                <w:vertAlign w:val="subscript"/>
              </w:rPr>
              <w:t>i燃料</w:t>
            </w:r>
            <w:r>
              <w:rPr>
                <w:rFonts w:hint="eastAsia" w:cs="Times New Roman"/>
                <w:color w:val="auto"/>
                <w:position w:val="2"/>
                <w:sz w:val="21"/>
                <w:szCs w:val="21"/>
                <w:lang w:eastAsia="zh-CN"/>
              </w:rPr>
              <w:t>）</w:t>
            </w:r>
            <w:r>
              <w:rPr>
                <w:rFonts w:hint="default" w:ascii="Times New Roman" w:hAnsi="Times New Roman" w:eastAsia="宋体" w:cs="Times New Roman"/>
                <w:color w:val="auto"/>
                <w:position w:val="2"/>
                <w:sz w:val="21"/>
                <w:szCs w:val="21"/>
              </w:rPr>
              <w:t>（4）</w:t>
            </w:r>
          </w:p>
          <w:p w14:paraId="3824459E">
            <w:pPr>
              <w:pStyle w:val="2"/>
              <w:keepNext w:val="0"/>
              <w:keepLines w:val="0"/>
              <w:pageBreakBefore w:val="0"/>
              <w:widowControl w:val="0"/>
              <w:kinsoku/>
              <w:wordWrap/>
              <w:overflowPunct/>
              <w:topLinePunct w:val="0"/>
              <w:autoSpaceDE/>
              <w:autoSpaceDN/>
              <w:bidi w:val="0"/>
              <w:spacing w:after="0" w:line="360" w:lineRule="auto"/>
              <w:ind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式中：</w:t>
            </w:r>
          </w:p>
          <w:p w14:paraId="3979780E">
            <w:pPr>
              <w:pStyle w:val="2"/>
              <w:keepNext w:val="0"/>
              <w:keepLines w:val="0"/>
              <w:pageBreakBefore w:val="0"/>
              <w:widowControl w:val="0"/>
              <w:kinsoku/>
              <w:wordWrap/>
              <w:overflowPunct/>
              <w:topLinePunct w:val="0"/>
              <w:autoSpaceDE/>
              <w:autoSpaceDN/>
              <w:bidi w:val="0"/>
              <w:spacing w:after="0" w:line="360" w:lineRule="auto"/>
              <w:ind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i——燃料种类；</w:t>
            </w:r>
          </w:p>
          <w:p w14:paraId="73D5F263">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pacing w:val="-1"/>
                <w:position w:val="2"/>
                <w:sz w:val="21"/>
                <w:szCs w:val="21"/>
              </w:rPr>
              <w:t>AD</w:t>
            </w:r>
            <w:r>
              <w:rPr>
                <w:rFonts w:hint="default" w:ascii="Times New Roman" w:hAnsi="Times New Roman" w:eastAsia="宋体" w:cs="Times New Roman"/>
                <w:color w:val="auto"/>
                <w:sz w:val="21"/>
                <w:szCs w:val="21"/>
                <w:vertAlign w:val="subscript"/>
              </w:rPr>
              <w:t>i</w:t>
            </w:r>
            <w:r>
              <w:rPr>
                <w:rFonts w:hint="default" w:ascii="Times New Roman" w:hAnsi="Times New Roman" w:eastAsia="宋体" w:cs="Times New Roman"/>
                <w:color w:val="auto"/>
                <w:spacing w:val="-1"/>
                <w:sz w:val="21"/>
                <w:szCs w:val="21"/>
                <w:vertAlign w:val="subscript"/>
              </w:rPr>
              <w:t>燃料</w:t>
            </w:r>
            <w:r>
              <w:rPr>
                <w:rFonts w:hint="default" w:ascii="Times New Roman" w:hAnsi="Times New Roman" w:eastAsia="宋体" w:cs="Times New Roman"/>
                <w:color w:val="auto"/>
                <w:position w:val="2"/>
                <w:sz w:val="21"/>
                <w:szCs w:val="21"/>
              </w:rPr>
              <w:t>——i</w:t>
            </w:r>
            <w:r>
              <w:rPr>
                <w:rFonts w:hint="default" w:ascii="Times New Roman" w:hAnsi="Times New Roman" w:eastAsia="宋体" w:cs="Times New Roman"/>
                <w:color w:val="auto"/>
                <w:spacing w:val="-1"/>
                <w:position w:val="2"/>
                <w:sz w:val="21"/>
                <w:szCs w:val="21"/>
              </w:rPr>
              <w:t>燃料燃烧消耗量</w:t>
            </w:r>
            <w:r>
              <w:rPr>
                <w:rFonts w:hint="eastAsia" w:cs="Times New Roman"/>
                <w:color w:val="auto"/>
                <w:spacing w:val="-1"/>
                <w:position w:val="2"/>
                <w:sz w:val="21"/>
                <w:szCs w:val="21"/>
                <w:lang w:eastAsia="zh-CN"/>
              </w:rPr>
              <w:t>（</w:t>
            </w:r>
            <w:r>
              <w:rPr>
                <w:rFonts w:hint="default" w:ascii="Times New Roman" w:hAnsi="Times New Roman" w:eastAsia="宋体" w:cs="Times New Roman"/>
                <w:color w:val="auto"/>
                <w:position w:val="2"/>
                <w:sz w:val="21"/>
                <w:szCs w:val="21"/>
              </w:rPr>
              <w:t>t</w:t>
            </w:r>
            <w:r>
              <w:rPr>
                <w:rFonts w:hint="default" w:ascii="Times New Roman" w:hAnsi="Times New Roman" w:eastAsia="宋体" w:cs="Times New Roman"/>
                <w:color w:val="auto"/>
                <w:spacing w:val="-30"/>
                <w:position w:val="2"/>
                <w:sz w:val="21"/>
                <w:szCs w:val="21"/>
              </w:rPr>
              <w:t>或</w:t>
            </w:r>
            <w:r>
              <w:rPr>
                <w:rFonts w:hint="default" w:ascii="Times New Roman" w:hAnsi="Times New Roman" w:eastAsia="宋体" w:cs="Times New Roman"/>
                <w:color w:val="auto"/>
                <w:position w:val="2"/>
                <w:sz w:val="21"/>
                <w:szCs w:val="21"/>
              </w:rPr>
              <w:t>kNm</w:t>
            </w:r>
            <w:r>
              <w:rPr>
                <w:rFonts w:hint="default" w:ascii="Times New Roman" w:hAnsi="Times New Roman" w:eastAsia="宋体" w:cs="Times New Roman"/>
                <w:color w:val="auto"/>
                <w:spacing w:val="1"/>
                <w:position w:val="2"/>
                <w:sz w:val="21"/>
                <w:szCs w:val="21"/>
                <w:vertAlign w:val="superscript"/>
              </w:rPr>
              <w:t>3</w:t>
            </w:r>
            <w:r>
              <w:rPr>
                <w:rFonts w:hint="default" w:ascii="Times New Roman" w:hAnsi="Times New Roman" w:eastAsia="宋体" w:cs="Times New Roman"/>
                <w:color w:val="auto"/>
                <w:spacing w:val="-120"/>
                <w:position w:val="2"/>
                <w:sz w:val="21"/>
                <w:szCs w:val="21"/>
              </w:rPr>
              <w:t>）</w:t>
            </w:r>
            <w:r>
              <w:rPr>
                <w:rFonts w:hint="eastAsia" w:cs="Times New Roman"/>
                <w:color w:val="auto"/>
                <w:spacing w:val="-1"/>
                <w:position w:val="2"/>
                <w:sz w:val="21"/>
                <w:szCs w:val="21"/>
                <w:lang w:eastAsia="zh-CN"/>
              </w:rPr>
              <w:t>），</w:t>
            </w:r>
            <w:r>
              <w:rPr>
                <w:rFonts w:hint="eastAsia" w:cs="Times New Roman"/>
                <w:color w:val="auto"/>
                <w:spacing w:val="-1"/>
                <w:position w:val="2"/>
                <w:sz w:val="21"/>
                <w:szCs w:val="21"/>
                <w:lang w:val="en-US" w:eastAsia="zh-CN"/>
              </w:rPr>
              <w:t>0</w:t>
            </w:r>
            <w:r>
              <w:rPr>
                <w:rFonts w:hint="default" w:ascii="Times New Roman" w:hAnsi="Times New Roman" w:eastAsia="宋体" w:cs="Times New Roman"/>
                <w:color w:val="auto"/>
                <w:position w:val="2"/>
                <w:sz w:val="21"/>
                <w:szCs w:val="21"/>
              </w:rPr>
              <w:t>kNm</w:t>
            </w:r>
            <w:r>
              <w:rPr>
                <w:rFonts w:hint="default" w:ascii="Times New Roman" w:hAnsi="Times New Roman" w:eastAsia="宋体" w:cs="Times New Roman"/>
                <w:color w:val="auto"/>
                <w:spacing w:val="1"/>
                <w:position w:val="2"/>
                <w:sz w:val="21"/>
                <w:szCs w:val="21"/>
                <w:vertAlign w:val="superscript"/>
              </w:rPr>
              <w:t>3</w:t>
            </w:r>
          </w:p>
          <w:p w14:paraId="64FD52FC">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default" w:ascii="Times New Roman" w:hAnsi="Times New Roman" w:eastAsia="宋体" w:cs="Times New Roman"/>
                <w:color w:val="auto"/>
                <w:position w:val="2"/>
                <w:sz w:val="21"/>
                <w:szCs w:val="21"/>
                <w:lang w:val="en-US" w:eastAsia="zh-CN"/>
              </w:rPr>
            </w:pPr>
            <w:r>
              <w:rPr>
                <w:rFonts w:hint="default" w:ascii="Times New Roman" w:hAnsi="Times New Roman" w:eastAsia="宋体" w:cs="Times New Roman"/>
                <w:color w:val="auto"/>
                <w:spacing w:val="-1"/>
                <w:position w:val="2"/>
                <w:sz w:val="21"/>
                <w:szCs w:val="21"/>
              </w:rPr>
              <w:t>E</w:t>
            </w:r>
            <w:r>
              <w:rPr>
                <w:rFonts w:hint="default" w:ascii="Times New Roman" w:hAnsi="Times New Roman" w:eastAsia="宋体" w:cs="Times New Roman"/>
                <w:color w:val="auto"/>
                <w:spacing w:val="-2"/>
                <w:position w:val="2"/>
                <w:sz w:val="21"/>
                <w:szCs w:val="21"/>
              </w:rPr>
              <w:t>F</w:t>
            </w:r>
            <w:r>
              <w:rPr>
                <w:rFonts w:hint="default" w:ascii="Times New Roman" w:hAnsi="Times New Roman" w:eastAsia="宋体" w:cs="Times New Roman"/>
                <w:color w:val="auto"/>
                <w:sz w:val="21"/>
                <w:szCs w:val="21"/>
                <w:vertAlign w:val="subscript"/>
              </w:rPr>
              <w:t>i</w:t>
            </w:r>
            <w:r>
              <w:rPr>
                <w:rFonts w:hint="default" w:ascii="Times New Roman" w:hAnsi="Times New Roman" w:eastAsia="宋体" w:cs="Times New Roman"/>
                <w:color w:val="auto"/>
                <w:spacing w:val="-1"/>
                <w:sz w:val="21"/>
                <w:szCs w:val="21"/>
                <w:vertAlign w:val="subscript"/>
              </w:rPr>
              <w:t>燃料</w:t>
            </w:r>
            <w:r>
              <w:rPr>
                <w:rFonts w:hint="default" w:ascii="Times New Roman" w:hAnsi="Times New Roman" w:eastAsia="宋体" w:cs="Times New Roman"/>
                <w:color w:val="auto"/>
                <w:position w:val="2"/>
                <w:sz w:val="21"/>
                <w:szCs w:val="21"/>
              </w:rPr>
              <w:t>——i燃料燃烧二氧化碳排放因子</w:t>
            </w:r>
            <w:r>
              <w:rPr>
                <w:rFonts w:hint="eastAsia" w:cs="Times New Roman"/>
                <w:color w:val="auto"/>
                <w:position w:val="2"/>
                <w:sz w:val="21"/>
                <w:szCs w:val="21"/>
                <w:lang w:eastAsia="zh-CN"/>
              </w:rPr>
              <w:t>（</w:t>
            </w:r>
            <w:r>
              <w:rPr>
                <w:rFonts w:hint="default" w:ascii="Times New Roman" w:hAnsi="Times New Roman" w:eastAsia="宋体" w:cs="Times New Roman"/>
                <w:color w:val="auto"/>
                <w:position w:val="2"/>
                <w:sz w:val="21"/>
                <w:szCs w:val="21"/>
              </w:rPr>
              <w:t>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2"/>
                <w:sz w:val="21"/>
                <w:szCs w:val="21"/>
                <w:vertAlign w:val="subscript"/>
              </w:rPr>
              <w:t>2e</w:t>
            </w:r>
            <w:r>
              <w:rPr>
                <w:rFonts w:hint="default" w:ascii="Times New Roman" w:hAnsi="Times New Roman" w:eastAsia="宋体" w:cs="Times New Roman"/>
                <w:color w:val="auto"/>
                <w:position w:val="2"/>
                <w:sz w:val="21"/>
                <w:szCs w:val="21"/>
              </w:rPr>
              <w:t>/kg</w:t>
            </w:r>
            <w:r>
              <w:rPr>
                <w:rFonts w:hint="default" w:ascii="Times New Roman" w:hAnsi="Times New Roman" w:eastAsia="宋体" w:cs="Times New Roman"/>
                <w:color w:val="auto"/>
                <w:spacing w:val="-30"/>
                <w:position w:val="2"/>
                <w:sz w:val="21"/>
                <w:szCs w:val="21"/>
              </w:rPr>
              <w:t>或</w:t>
            </w:r>
            <w:r>
              <w:rPr>
                <w:rFonts w:hint="default" w:ascii="Times New Roman" w:hAnsi="Times New Roman" w:eastAsia="宋体" w:cs="Times New Roman"/>
                <w:color w:val="auto"/>
                <w:position w:val="2"/>
                <w:sz w:val="21"/>
                <w:szCs w:val="21"/>
              </w:rPr>
              <w:t>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2"/>
                <w:sz w:val="21"/>
                <w:szCs w:val="21"/>
                <w:vertAlign w:val="subscript"/>
              </w:rPr>
              <w:t>e</w:t>
            </w:r>
            <w:r>
              <w:rPr>
                <w:rFonts w:hint="default" w:ascii="Times New Roman" w:hAnsi="Times New Roman" w:eastAsia="宋体" w:cs="Times New Roman"/>
                <w:color w:val="auto"/>
                <w:position w:val="2"/>
                <w:sz w:val="21"/>
                <w:szCs w:val="21"/>
              </w:rPr>
              <w:t>/kNm</w:t>
            </w:r>
            <w:r>
              <w:rPr>
                <w:rFonts w:hint="default" w:ascii="Times New Roman" w:hAnsi="Times New Roman" w:eastAsia="宋体" w:cs="Times New Roman"/>
                <w:color w:val="auto"/>
                <w:spacing w:val="1"/>
                <w:position w:val="2"/>
                <w:sz w:val="21"/>
                <w:szCs w:val="21"/>
                <w:vertAlign w:val="superscript"/>
              </w:rPr>
              <w:t>3</w:t>
            </w:r>
            <w:r>
              <w:rPr>
                <w:rFonts w:hint="eastAsia" w:cs="Times New Roman"/>
                <w:color w:val="auto"/>
                <w:position w:val="2"/>
                <w:sz w:val="21"/>
                <w:szCs w:val="21"/>
                <w:lang w:eastAsia="zh-CN"/>
              </w:rPr>
              <w:t>），</w:t>
            </w:r>
            <w:r>
              <w:rPr>
                <w:rFonts w:hint="eastAsia" w:cs="Times New Roman"/>
                <w:color w:val="auto"/>
                <w:position w:val="2"/>
                <w:sz w:val="21"/>
                <w:szCs w:val="21"/>
                <w:lang w:val="en-US" w:eastAsia="zh-CN"/>
              </w:rPr>
              <w:t>0</w:t>
            </w:r>
            <w:r>
              <w:rPr>
                <w:rFonts w:hint="default" w:ascii="Times New Roman" w:hAnsi="Times New Roman" w:eastAsia="宋体" w:cs="Times New Roman"/>
                <w:color w:val="auto"/>
                <w:position w:val="2"/>
                <w:sz w:val="21"/>
                <w:szCs w:val="21"/>
              </w:rPr>
              <w:t>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pacing w:val="-2"/>
                <w:sz w:val="21"/>
                <w:szCs w:val="21"/>
                <w:vertAlign w:val="subscript"/>
              </w:rPr>
              <w:t>e</w:t>
            </w:r>
            <w:r>
              <w:rPr>
                <w:rFonts w:hint="default" w:ascii="Times New Roman" w:hAnsi="Times New Roman" w:eastAsia="宋体" w:cs="Times New Roman"/>
                <w:color w:val="auto"/>
                <w:position w:val="2"/>
                <w:sz w:val="21"/>
                <w:szCs w:val="21"/>
              </w:rPr>
              <w:t>/kNm</w:t>
            </w:r>
            <w:r>
              <w:rPr>
                <w:rFonts w:hint="default" w:ascii="Times New Roman" w:hAnsi="Times New Roman" w:eastAsia="宋体" w:cs="Times New Roman"/>
                <w:color w:val="auto"/>
                <w:spacing w:val="1"/>
                <w:position w:val="2"/>
                <w:sz w:val="21"/>
                <w:szCs w:val="21"/>
                <w:vertAlign w:val="superscript"/>
              </w:rPr>
              <w:t>3</w:t>
            </w:r>
          </w:p>
          <w:p w14:paraId="2BD6D2D4">
            <w:pPr>
              <w:pStyle w:val="2"/>
              <w:keepNext w:val="0"/>
              <w:keepLines w:val="0"/>
              <w:pageBreakBefore w:val="0"/>
              <w:widowControl w:val="0"/>
              <w:kinsoku/>
              <w:wordWrap/>
              <w:overflowPunct/>
              <w:topLinePunct w:val="0"/>
              <w:autoSpaceDE/>
              <w:autoSpaceDN/>
              <w:bidi w:val="0"/>
              <w:spacing w:after="0" w:line="360" w:lineRule="auto"/>
              <w:ind w:firstLine="420" w:firstLineChars="200"/>
              <w:textAlignment w:val="auto"/>
              <w:rPr>
                <w:rFonts w:hint="default" w:ascii="Times New Roman" w:hAnsi="Times New Roman" w:eastAsia="宋体" w:cs="Times New Roman"/>
                <w:color w:val="auto"/>
                <w:spacing w:val="-1"/>
                <w:position w:val="2"/>
                <w:sz w:val="21"/>
                <w:szCs w:val="21"/>
                <w:lang w:val="en-US" w:eastAsia="zh-CN"/>
              </w:rPr>
            </w:pP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工燃</w:t>
            </w:r>
            <w:r>
              <w:rPr>
                <w:rFonts w:hint="default" w:ascii="Times New Roman" w:hAnsi="Times New Roman" w:eastAsia="宋体" w:cs="Times New Roman"/>
                <w:color w:val="auto"/>
                <w:position w:val="2"/>
                <w:sz w:val="21"/>
                <w:szCs w:val="21"/>
              </w:rPr>
              <w:t>=∑（AD</w:t>
            </w:r>
            <w:r>
              <w:rPr>
                <w:rFonts w:hint="default" w:ascii="Times New Roman" w:hAnsi="Times New Roman" w:eastAsia="宋体" w:cs="Times New Roman"/>
                <w:color w:val="auto"/>
                <w:sz w:val="21"/>
                <w:szCs w:val="21"/>
                <w:vertAlign w:val="subscript"/>
              </w:rPr>
              <w:t>i燃料</w:t>
            </w:r>
            <w:r>
              <w:rPr>
                <w:rFonts w:hint="default" w:ascii="Times New Roman" w:hAnsi="Times New Roman" w:eastAsia="宋体" w:cs="Times New Roman"/>
                <w:color w:val="auto"/>
                <w:position w:val="2"/>
                <w:sz w:val="21"/>
                <w:szCs w:val="21"/>
              </w:rPr>
              <w:t>*EF</w:t>
            </w:r>
            <w:r>
              <w:rPr>
                <w:rFonts w:hint="default" w:ascii="Times New Roman" w:hAnsi="Times New Roman" w:eastAsia="宋体" w:cs="Times New Roman"/>
                <w:color w:val="auto"/>
                <w:sz w:val="21"/>
                <w:szCs w:val="21"/>
                <w:vertAlign w:val="subscript"/>
              </w:rPr>
              <w:t>i燃料</w:t>
            </w:r>
            <w:r>
              <w:rPr>
                <w:rFonts w:hint="default" w:ascii="Times New Roman" w:hAnsi="Times New Roman" w:eastAsia="宋体" w:cs="Times New Roman"/>
                <w:color w:val="auto"/>
                <w:position w:val="2"/>
                <w:sz w:val="21"/>
                <w:szCs w:val="21"/>
              </w:rPr>
              <w:t>）</w:t>
            </w:r>
            <w:r>
              <w:rPr>
                <w:rFonts w:hint="eastAsia" w:cs="Times New Roman"/>
                <w:color w:val="auto"/>
                <w:position w:val="2"/>
                <w:sz w:val="21"/>
                <w:szCs w:val="21"/>
                <w:lang w:val="en-US" w:eastAsia="zh-CN"/>
              </w:rPr>
              <w:t>=0</w:t>
            </w:r>
            <w:r>
              <w:rPr>
                <w:rFonts w:hint="default" w:ascii="Times New Roman" w:hAnsi="Times New Roman" w:eastAsia="宋体" w:cs="Times New Roman"/>
                <w:color w:val="auto"/>
                <w:position w:val="2"/>
                <w:sz w:val="21"/>
                <w:szCs w:val="21"/>
              </w:rPr>
              <w:t>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2"/>
                <w:sz w:val="21"/>
                <w:szCs w:val="21"/>
                <w:vertAlign w:val="subscript"/>
              </w:rPr>
              <w:t>2e</w:t>
            </w:r>
          </w:p>
          <w:p w14:paraId="7C25C0AF">
            <w:pPr>
              <w:keepNext w:val="0"/>
              <w:keepLines w:val="0"/>
              <w:pageBreakBefore w:val="0"/>
              <w:widowControl w:val="0"/>
              <w:kinsoku/>
              <w:wordWrap/>
              <w:overflowPunct/>
              <w:topLinePunct w:val="0"/>
              <w:autoSpaceDE/>
              <w:autoSpaceDN/>
              <w:bidi w:val="0"/>
              <w:spacing w:line="360" w:lineRule="auto"/>
              <w:ind w:firstLine="416"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1"/>
                <w:position w:val="2"/>
                <w:sz w:val="21"/>
                <w:szCs w:val="21"/>
              </w:rPr>
              <w:t>净调入电力和热力消耗碳排放总量</w:t>
            </w:r>
            <w:r>
              <w:rPr>
                <w:rFonts w:hint="default" w:ascii="Times New Roman" w:hAnsi="Times New Roman" w:eastAsia="宋体" w:cs="Times New Roman"/>
                <w:color w:val="auto"/>
                <w:position w:val="2"/>
                <w:sz w:val="21"/>
                <w:szCs w:val="21"/>
              </w:rPr>
              <w:t>（</w:t>
            </w: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E</w:t>
            </w:r>
            <w:r>
              <w:rPr>
                <w:rFonts w:hint="default" w:ascii="Times New Roman" w:hAnsi="Times New Roman" w:eastAsia="宋体" w:cs="Times New Roman"/>
                <w:color w:val="auto"/>
                <w:sz w:val="21"/>
                <w:szCs w:val="21"/>
              </w:rPr>
              <w:t>净调入电力和热力</w:t>
            </w:r>
            <w:r>
              <w:rPr>
                <w:rFonts w:hint="default" w:ascii="Times New Roman" w:hAnsi="Times New Roman" w:eastAsia="宋体" w:cs="Times New Roman"/>
                <w:color w:val="auto"/>
                <w:position w:val="2"/>
                <w:sz w:val="21"/>
                <w:szCs w:val="21"/>
              </w:rPr>
              <w:t>）计算方法见公式（5）</w:t>
            </w:r>
          </w:p>
          <w:p w14:paraId="63E095CA">
            <w:pPr>
              <w:keepNext w:val="0"/>
              <w:keepLines w:val="0"/>
              <w:pageBreakBefore w:val="0"/>
              <w:widowControl w:val="0"/>
              <w:kinsoku/>
              <w:wordWrap/>
              <w:overflowPunct/>
              <w:topLinePunct w:val="0"/>
              <w:autoSpaceDE/>
              <w:autoSpaceDN/>
              <w:bidi w:val="0"/>
              <w:spacing w:line="36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净调入电力和热力</w:t>
            </w: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净调入电力</w:t>
            </w: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净调入热力</w:t>
            </w:r>
            <w:r>
              <w:rPr>
                <w:rFonts w:hint="default" w:ascii="Times New Roman" w:hAnsi="Times New Roman" w:eastAsia="宋体" w:cs="Times New Roman"/>
                <w:color w:val="auto"/>
                <w:position w:val="2"/>
                <w:sz w:val="21"/>
                <w:szCs w:val="21"/>
              </w:rPr>
              <w:t>（5）</w:t>
            </w:r>
          </w:p>
          <w:p w14:paraId="4C174574">
            <w:pPr>
              <w:pStyle w:val="2"/>
              <w:keepNext w:val="0"/>
              <w:keepLines w:val="0"/>
              <w:pageBreakBefore w:val="0"/>
              <w:widowControl w:val="0"/>
              <w:kinsoku/>
              <w:wordWrap/>
              <w:overflowPunct/>
              <w:topLinePunct w:val="0"/>
              <w:autoSpaceDE/>
              <w:autoSpaceDN/>
              <w:bidi w:val="0"/>
              <w:spacing w:after="0" w:line="360" w:lineRule="auto"/>
              <w:ind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式中：</w:t>
            </w:r>
          </w:p>
          <w:p w14:paraId="1437D6FA">
            <w:pPr>
              <w:keepNext w:val="0"/>
              <w:keepLines w:val="0"/>
              <w:pageBreakBefore w:val="0"/>
              <w:widowControl w:val="0"/>
              <w:kinsoku/>
              <w:wordWrap/>
              <w:overflowPunct/>
              <w:topLinePunct w:val="0"/>
              <w:autoSpaceDE/>
              <w:autoSpaceDN/>
              <w:bidi w:val="0"/>
              <w:spacing w:line="360" w:lineRule="auto"/>
              <w:ind w:firstLine="416" w:firstLineChars="200"/>
              <w:textAlignment w:val="auto"/>
              <w:rPr>
                <w:rFonts w:hint="default" w:ascii="Times New Roman" w:hAnsi="Times New Roman" w:eastAsia="宋体" w:cs="Times New Roman"/>
                <w:color w:val="auto"/>
                <w:position w:val="2"/>
                <w:sz w:val="21"/>
                <w:szCs w:val="21"/>
              </w:rPr>
            </w:pP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E</w:t>
            </w:r>
            <w:r>
              <w:rPr>
                <w:rFonts w:hint="default" w:ascii="Times New Roman" w:hAnsi="Times New Roman" w:eastAsia="宋体" w:cs="Times New Roman"/>
                <w:color w:val="auto"/>
                <w:spacing w:val="-1"/>
                <w:sz w:val="21"/>
                <w:szCs w:val="21"/>
                <w:vertAlign w:val="subscript"/>
              </w:rPr>
              <w:t>净调入电力</w:t>
            </w:r>
            <w:r>
              <w:rPr>
                <w:rFonts w:hint="default" w:ascii="Times New Roman" w:hAnsi="Times New Roman" w:eastAsia="宋体" w:cs="Times New Roman"/>
                <w:color w:val="auto"/>
                <w:position w:val="2"/>
                <w:sz w:val="21"/>
                <w:szCs w:val="21"/>
              </w:rPr>
              <w:t>——净调入电力消耗碳排放量（tC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2"/>
                <w:sz w:val="21"/>
                <w:szCs w:val="21"/>
                <w:vertAlign w:val="subscript"/>
              </w:rPr>
              <w:t>2e</w:t>
            </w:r>
            <w:r>
              <w:rPr>
                <w:rFonts w:hint="default" w:ascii="Times New Roman" w:hAnsi="Times New Roman" w:eastAsia="宋体" w:cs="Times New Roman"/>
                <w:color w:val="auto"/>
                <w:spacing w:val="-120"/>
                <w:position w:val="2"/>
                <w:sz w:val="21"/>
                <w:szCs w:val="21"/>
              </w:rPr>
              <w:t>）</w:t>
            </w:r>
            <w:r>
              <w:rPr>
                <w:rFonts w:hint="default" w:ascii="Times New Roman" w:hAnsi="Times New Roman" w:eastAsia="宋体" w:cs="Times New Roman"/>
                <w:color w:val="auto"/>
                <w:position w:val="2"/>
                <w:sz w:val="21"/>
                <w:szCs w:val="21"/>
              </w:rPr>
              <w:t>）</w:t>
            </w:r>
          </w:p>
          <w:p w14:paraId="26C81309">
            <w:pPr>
              <w:keepNext w:val="0"/>
              <w:keepLines w:val="0"/>
              <w:pageBreakBefore w:val="0"/>
              <w:widowControl w:val="0"/>
              <w:kinsoku/>
              <w:wordWrap/>
              <w:overflowPunct/>
              <w:topLinePunct w:val="0"/>
              <w:autoSpaceDE/>
              <w:autoSpaceDN/>
              <w:bidi w:val="0"/>
              <w:spacing w:line="360" w:lineRule="auto"/>
              <w:ind w:firstLine="416" w:firstLineChars="200"/>
              <w:textAlignment w:val="auto"/>
              <w:rPr>
                <w:rFonts w:hint="default" w:ascii="Times New Roman" w:hAnsi="Times New Roman" w:eastAsia="宋体" w:cs="Times New Roman"/>
                <w:color w:val="auto"/>
                <w:position w:val="2"/>
                <w:sz w:val="21"/>
                <w:szCs w:val="21"/>
              </w:rPr>
            </w:pP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E</w:t>
            </w:r>
            <w:r>
              <w:rPr>
                <w:rFonts w:hint="default" w:ascii="Times New Roman" w:hAnsi="Times New Roman" w:eastAsia="宋体" w:cs="Times New Roman"/>
                <w:color w:val="auto"/>
                <w:spacing w:val="-1"/>
                <w:sz w:val="21"/>
                <w:szCs w:val="21"/>
                <w:vertAlign w:val="subscript"/>
              </w:rPr>
              <w:t>净调入热力</w:t>
            </w:r>
            <w:r>
              <w:rPr>
                <w:rFonts w:hint="default" w:ascii="Times New Roman" w:hAnsi="Times New Roman" w:eastAsia="宋体" w:cs="Times New Roman"/>
                <w:color w:val="auto"/>
                <w:position w:val="2"/>
                <w:sz w:val="21"/>
                <w:szCs w:val="21"/>
              </w:rPr>
              <w:t>——净调入热力消耗碳排放量（tC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2"/>
                <w:sz w:val="21"/>
                <w:szCs w:val="21"/>
                <w:vertAlign w:val="subscript"/>
              </w:rPr>
              <w:t>2e</w:t>
            </w:r>
            <w:r>
              <w:rPr>
                <w:rFonts w:hint="default" w:ascii="Times New Roman" w:hAnsi="Times New Roman" w:eastAsia="宋体" w:cs="Times New Roman"/>
                <w:color w:val="auto"/>
                <w:spacing w:val="-120"/>
                <w:position w:val="2"/>
                <w:sz w:val="21"/>
                <w:szCs w:val="21"/>
              </w:rPr>
              <w:t>）</w:t>
            </w:r>
            <w:r>
              <w:rPr>
                <w:rFonts w:hint="default" w:ascii="Times New Roman" w:hAnsi="Times New Roman" w:eastAsia="宋体" w:cs="Times New Roman"/>
                <w:color w:val="auto"/>
                <w:position w:val="2"/>
                <w:sz w:val="21"/>
                <w:szCs w:val="21"/>
              </w:rPr>
              <w:t>）</w:t>
            </w:r>
          </w:p>
          <w:p w14:paraId="67B358AE">
            <w:pPr>
              <w:keepNext w:val="0"/>
              <w:keepLines w:val="0"/>
              <w:pageBreakBefore w:val="0"/>
              <w:widowControl w:val="0"/>
              <w:kinsoku/>
              <w:wordWrap/>
              <w:overflowPunct/>
              <w:topLinePunct w:val="0"/>
              <w:autoSpaceDE/>
              <w:autoSpaceDN/>
              <w:bidi w:val="0"/>
              <w:spacing w:line="360" w:lineRule="auto"/>
              <w:ind w:firstLine="416" w:firstLineChars="200"/>
              <w:textAlignment w:val="auto"/>
              <w:rPr>
                <w:rFonts w:hint="default" w:ascii="Times New Roman" w:hAnsi="Times New Roman" w:eastAsia="宋体" w:cs="Times New Roman"/>
                <w:color w:val="auto"/>
                <w:position w:val="2"/>
                <w:sz w:val="21"/>
                <w:szCs w:val="21"/>
              </w:rPr>
            </w:pPr>
            <w:r>
              <w:rPr>
                <w:rFonts w:hint="default" w:ascii="Times New Roman" w:hAnsi="Times New Roman" w:eastAsia="宋体" w:cs="Times New Roman"/>
                <w:color w:val="auto"/>
                <w:spacing w:val="-1"/>
                <w:position w:val="2"/>
                <w:sz w:val="21"/>
                <w:szCs w:val="21"/>
              </w:rPr>
              <w:t>其中，净调入电力消耗碳排放量</w:t>
            </w:r>
            <w:r>
              <w:rPr>
                <w:rFonts w:hint="default" w:ascii="Times New Roman" w:hAnsi="Times New Roman" w:eastAsia="宋体" w:cs="Times New Roman"/>
                <w:color w:val="auto"/>
                <w:position w:val="2"/>
                <w:sz w:val="21"/>
                <w:szCs w:val="21"/>
              </w:rPr>
              <w:t>（</w:t>
            </w: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E</w:t>
            </w:r>
            <w:r>
              <w:rPr>
                <w:rFonts w:hint="default" w:ascii="Times New Roman" w:hAnsi="Times New Roman" w:eastAsia="宋体" w:cs="Times New Roman"/>
                <w:color w:val="auto"/>
                <w:sz w:val="21"/>
                <w:szCs w:val="21"/>
              </w:rPr>
              <w:t>净调入电力</w:t>
            </w:r>
            <w:r>
              <w:rPr>
                <w:rFonts w:hint="default" w:ascii="Times New Roman" w:hAnsi="Times New Roman" w:eastAsia="宋体" w:cs="Times New Roman"/>
                <w:color w:val="auto"/>
                <w:position w:val="2"/>
                <w:sz w:val="21"/>
                <w:szCs w:val="21"/>
              </w:rPr>
              <w:t>）计算方法见公式（6</w:t>
            </w:r>
            <w:r>
              <w:rPr>
                <w:rFonts w:hint="default" w:ascii="Times New Roman" w:hAnsi="Times New Roman" w:eastAsia="宋体" w:cs="Times New Roman"/>
                <w:color w:val="auto"/>
                <w:spacing w:val="-120"/>
                <w:position w:val="2"/>
                <w:sz w:val="21"/>
                <w:szCs w:val="21"/>
              </w:rPr>
              <w:t>）</w:t>
            </w:r>
            <w:r>
              <w:rPr>
                <w:rFonts w:hint="default" w:ascii="Times New Roman" w:hAnsi="Times New Roman" w:eastAsia="宋体" w:cs="Times New Roman"/>
                <w:color w:val="auto"/>
                <w:position w:val="2"/>
                <w:sz w:val="21"/>
                <w:szCs w:val="21"/>
              </w:rPr>
              <w:t>）</w:t>
            </w:r>
          </w:p>
          <w:p w14:paraId="532A2FCE">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净调入电力</w:t>
            </w:r>
            <w:r>
              <w:rPr>
                <w:rFonts w:hint="default" w:ascii="Times New Roman" w:hAnsi="Times New Roman" w:eastAsia="宋体" w:cs="Times New Roman"/>
                <w:color w:val="auto"/>
                <w:position w:val="2"/>
                <w:sz w:val="21"/>
                <w:szCs w:val="21"/>
              </w:rPr>
              <w:t>=AD</w:t>
            </w:r>
            <w:r>
              <w:rPr>
                <w:rFonts w:hint="default" w:ascii="Times New Roman" w:hAnsi="Times New Roman" w:eastAsia="宋体" w:cs="Times New Roman"/>
                <w:color w:val="auto"/>
                <w:sz w:val="21"/>
                <w:szCs w:val="21"/>
                <w:vertAlign w:val="subscript"/>
              </w:rPr>
              <w:t>净调入电量</w:t>
            </w:r>
            <w:r>
              <w:rPr>
                <w:rFonts w:hint="default" w:ascii="Times New Roman" w:hAnsi="Times New Roman" w:eastAsia="宋体" w:cs="Times New Roman"/>
                <w:color w:val="auto"/>
                <w:position w:val="2"/>
                <w:sz w:val="21"/>
                <w:szCs w:val="21"/>
              </w:rPr>
              <w:t>*EF</w:t>
            </w:r>
            <w:r>
              <w:rPr>
                <w:rFonts w:hint="default" w:ascii="Times New Roman" w:hAnsi="Times New Roman" w:eastAsia="宋体" w:cs="Times New Roman"/>
                <w:color w:val="auto"/>
                <w:sz w:val="21"/>
                <w:szCs w:val="21"/>
                <w:vertAlign w:val="subscript"/>
              </w:rPr>
              <w:t>电力</w:t>
            </w:r>
            <w:r>
              <w:rPr>
                <w:rFonts w:hint="default" w:ascii="Times New Roman" w:hAnsi="Times New Roman" w:eastAsia="宋体" w:cs="Times New Roman"/>
                <w:color w:val="auto"/>
                <w:position w:val="2"/>
                <w:sz w:val="21"/>
                <w:szCs w:val="21"/>
              </w:rPr>
              <w:t>（6）</w:t>
            </w:r>
          </w:p>
          <w:p w14:paraId="3CF390AC">
            <w:pPr>
              <w:pStyle w:val="2"/>
              <w:keepNext w:val="0"/>
              <w:keepLines w:val="0"/>
              <w:pageBreakBefore w:val="0"/>
              <w:widowControl w:val="0"/>
              <w:kinsoku/>
              <w:wordWrap/>
              <w:overflowPunct/>
              <w:topLinePunct w:val="0"/>
              <w:autoSpaceDE/>
              <w:autoSpaceDN/>
              <w:bidi w:val="0"/>
              <w:spacing w:after="0" w:line="360" w:lineRule="auto"/>
              <w:ind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式中：</w:t>
            </w:r>
          </w:p>
          <w:p w14:paraId="378AF500">
            <w:pPr>
              <w:keepNext w:val="0"/>
              <w:keepLines w:val="0"/>
              <w:pageBreakBefore w:val="0"/>
              <w:widowControl w:val="0"/>
              <w:kinsoku/>
              <w:wordWrap/>
              <w:overflowPunct/>
              <w:topLinePunct w:val="0"/>
              <w:autoSpaceDE/>
              <w:autoSpaceDN/>
              <w:bidi w:val="0"/>
              <w:spacing w:line="360" w:lineRule="auto"/>
              <w:ind w:firstLine="416"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D</w:t>
            </w:r>
            <w:r>
              <w:rPr>
                <w:rFonts w:hint="default" w:ascii="Times New Roman" w:hAnsi="Times New Roman" w:eastAsia="宋体" w:cs="Times New Roman"/>
                <w:color w:val="auto"/>
                <w:spacing w:val="-1"/>
                <w:sz w:val="21"/>
                <w:szCs w:val="21"/>
                <w:vertAlign w:val="subscript"/>
              </w:rPr>
              <w:t>净调入电量</w:t>
            </w:r>
            <w:r>
              <w:rPr>
                <w:rFonts w:hint="default" w:ascii="Times New Roman" w:hAnsi="Times New Roman" w:eastAsia="宋体" w:cs="Times New Roman"/>
                <w:color w:val="auto"/>
                <w:position w:val="2"/>
                <w:sz w:val="21"/>
                <w:szCs w:val="21"/>
              </w:rPr>
              <w:t>——净调入电力消耗量（M</w:t>
            </w:r>
            <w:r>
              <w:rPr>
                <w:rFonts w:hint="default" w:ascii="Times New Roman" w:hAnsi="Times New Roman" w:eastAsia="宋体" w:cs="Times New Roman"/>
                <w:color w:val="auto"/>
                <w:spacing w:val="1"/>
                <w:position w:val="2"/>
                <w:sz w:val="21"/>
                <w:szCs w:val="21"/>
              </w:rPr>
              <w:t>W</w:t>
            </w:r>
            <w:r>
              <w:rPr>
                <w:rFonts w:hint="default" w:ascii="Times New Roman" w:hAnsi="Times New Roman" w:eastAsia="宋体" w:cs="Times New Roman"/>
                <w:color w:val="auto"/>
                <w:position w:val="2"/>
                <w:sz w:val="21"/>
                <w:szCs w:val="21"/>
              </w:rPr>
              <w:t>h</w:t>
            </w:r>
            <w:r>
              <w:rPr>
                <w:rFonts w:hint="default" w:ascii="Times New Roman" w:hAnsi="Times New Roman" w:eastAsia="宋体" w:cs="Times New Roman"/>
                <w:color w:val="auto"/>
                <w:spacing w:val="-120"/>
                <w:position w:val="2"/>
                <w:sz w:val="21"/>
                <w:szCs w:val="21"/>
              </w:rPr>
              <w:t>）</w:t>
            </w:r>
          </w:p>
          <w:p w14:paraId="7FF5EEB0">
            <w:pPr>
              <w:pStyle w:val="2"/>
              <w:keepNext w:val="0"/>
              <w:keepLines w:val="0"/>
              <w:pageBreakBefore w:val="0"/>
              <w:widowControl w:val="0"/>
              <w:kinsoku/>
              <w:wordWrap/>
              <w:overflowPunct/>
              <w:topLinePunct w:val="0"/>
              <w:autoSpaceDE/>
              <w:autoSpaceDN/>
              <w:bidi w:val="0"/>
              <w:spacing w:after="0" w:line="360" w:lineRule="auto"/>
              <w:ind w:firstLine="416" w:firstLineChars="200"/>
              <w:textAlignment w:val="auto"/>
              <w:rPr>
                <w:rFonts w:hint="eastAsia" w:ascii="Times New Roman" w:hAnsi="Times New Roman" w:eastAsia="宋体" w:cs="Times New Roman"/>
                <w:color w:val="auto"/>
                <w:position w:val="2"/>
                <w:sz w:val="21"/>
                <w:szCs w:val="21"/>
                <w:lang w:eastAsia="zh-CN"/>
              </w:rPr>
            </w:pPr>
            <w:r>
              <w:rPr>
                <w:rFonts w:hint="default" w:ascii="Times New Roman" w:hAnsi="Times New Roman" w:eastAsia="宋体" w:cs="Times New Roman"/>
                <w:color w:val="auto"/>
                <w:spacing w:val="-1"/>
                <w:position w:val="2"/>
                <w:sz w:val="21"/>
                <w:szCs w:val="21"/>
              </w:rPr>
              <w:t>E</w:t>
            </w:r>
            <w:r>
              <w:rPr>
                <w:rFonts w:hint="default" w:ascii="Times New Roman" w:hAnsi="Times New Roman" w:eastAsia="宋体" w:cs="Times New Roman"/>
                <w:color w:val="auto"/>
                <w:position w:val="2"/>
                <w:sz w:val="21"/>
                <w:szCs w:val="21"/>
              </w:rPr>
              <w:t>F</w:t>
            </w:r>
            <w:r>
              <w:rPr>
                <w:rFonts w:hint="default" w:ascii="Times New Roman" w:hAnsi="Times New Roman" w:eastAsia="宋体" w:cs="Times New Roman"/>
                <w:color w:val="auto"/>
                <w:spacing w:val="-1"/>
                <w:sz w:val="21"/>
                <w:szCs w:val="21"/>
                <w:vertAlign w:val="subscript"/>
              </w:rPr>
              <w:t>电力</w:t>
            </w:r>
            <w:r>
              <w:rPr>
                <w:rFonts w:hint="default" w:ascii="Times New Roman" w:hAnsi="Times New Roman" w:eastAsia="宋体" w:cs="Times New Roman"/>
                <w:color w:val="auto"/>
                <w:position w:val="2"/>
                <w:sz w:val="21"/>
                <w:szCs w:val="21"/>
              </w:rPr>
              <w:t>——电力排放因子（tC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z w:val="21"/>
                <w:szCs w:val="21"/>
                <w:vertAlign w:val="subscript"/>
              </w:rPr>
              <w:t>e</w:t>
            </w:r>
            <w:r>
              <w:rPr>
                <w:rFonts w:hint="default" w:ascii="Times New Roman" w:hAnsi="Times New Roman" w:eastAsia="宋体" w:cs="Times New Roman"/>
                <w:color w:val="auto"/>
                <w:position w:val="2"/>
                <w:sz w:val="21"/>
                <w:szCs w:val="21"/>
              </w:rPr>
              <w:t>/M</w:t>
            </w:r>
            <w:r>
              <w:rPr>
                <w:rFonts w:hint="default" w:ascii="Times New Roman" w:hAnsi="Times New Roman" w:eastAsia="宋体" w:cs="Times New Roman"/>
                <w:color w:val="auto"/>
                <w:spacing w:val="1"/>
                <w:position w:val="2"/>
                <w:sz w:val="21"/>
                <w:szCs w:val="21"/>
              </w:rPr>
              <w:t>W</w:t>
            </w:r>
            <w:r>
              <w:rPr>
                <w:rFonts w:hint="default" w:ascii="Times New Roman" w:hAnsi="Times New Roman" w:eastAsia="宋体" w:cs="Times New Roman"/>
                <w:color w:val="auto"/>
                <w:position w:val="2"/>
                <w:sz w:val="21"/>
                <w:szCs w:val="21"/>
              </w:rPr>
              <w:t>h</w:t>
            </w:r>
            <w:r>
              <w:rPr>
                <w:rFonts w:hint="default" w:ascii="Times New Roman" w:hAnsi="Times New Roman" w:eastAsia="宋体" w:cs="Times New Roman"/>
                <w:color w:val="auto"/>
                <w:spacing w:val="-120"/>
                <w:position w:val="2"/>
                <w:sz w:val="21"/>
                <w:szCs w:val="21"/>
              </w:rPr>
              <w:t>）</w:t>
            </w:r>
            <w:r>
              <w:rPr>
                <w:rFonts w:hint="default" w:ascii="Times New Roman" w:hAnsi="Times New Roman" w:eastAsia="宋体" w:cs="Times New Roman"/>
                <w:color w:val="auto"/>
                <w:position w:val="2"/>
                <w:sz w:val="21"/>
                <w:szCs w:val="21"/>
              </w:rPr>
              <w:t>）</w:t>
            </w:r>
            <w:r>
              <w:rPr>
                <w:rFonts w:hint="default" w:ascii="Times New Roman" w:hAnsi="Times New Roman" w:eastAsia="宋体" w:cs="Times New Roman"/>
                <w:color w:val="auto"/>
                <w:spacing w:val="-21"/>
                <w:position w:val="2"/>
                <w:sz w:val="21"/>
                <w:szCs w:val="21"/>
              </w:rPr>
              <w:t>为</w:t>
            </w:r>
            <w:r>
              <w:rPr>
                <w:rFonts w:hint="default" w:ascii="Times New Roman" w:hAnsi="Times New Roman" w:eastAsia="宋体" w:cs="Times New Roman"/>
                <w:color w:val="auto"/>
                <w:position w:val="2"/>
                <w:sz w:val="21"/>
                <w:szCs w:val="21"/>
              </w:rPr>
              <w:t>0.</w:t>
            </w:r>
            <w:r>
              <w:rPr>
                <w:rFonts w:hint="eastAsia" w:ascii="Times New Roman" w:hAnsi="Times New Roman" w:eastAsia="宋体" w:cs="Times New Roman"/>
                <w:color w:val="auto"/>
                <w:position w:val="2"/>
                <w:sz w:val="21"/>
                <w:szCs w:val="21"/>
                <w:lang w:val="en-US" w:eastAsia="zh-CN"/>
              </w:rPr>
              <w:t>5073</w:t>
            </w:r>
            <w:r>
              <w:rPr>
                <w:rFonts w:hint="default" w:ascii="Times New Roman" w:hAnsi="Times New Roman" w:eastAsia="宋体" w:cs="Times New Roman"/>
                <w:color w:val="auto"/>
                <w:position w:val="2"/>
                <w:sz w:val="21"/>
                <w:szCs w:val="21"/>
              </w:rPr>
              <w:t>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z w:val="21"/>
                <w:szCs w:val="21"/>
                <w:vertAlign w:val="subscript"/>
              </w:rPr>
              <w:t>e</w:t>
            </w:r>
            <w:r>
              <w:rPr>
                <w:rFonts w:hint="default" w:ascii="Times New Roman" w:hAnsi="Times New Roman" w:eastAsia="宋体" w:cs="Times New Roman"/>
                <w:color w:val="auto"/>
                <w:position w:val="2"/>
                <w:sz w:val="21"/>
                <w:szCs w:val="21"/>
              </w:rPr>
              <w:t>/M</w:t>
            </w:r>
            <w:r>
              <w:rPr>
                <w:rFonts w:hint="default" w:ascii="Times New Roman" w:hAnsi="Times New Roman" w:eastAsia="宋体" w:cs="Times New Roman"/>
                <w:color w:val="auto"/>
                <w:spacing w:val="1"/>
                <w:position w:val="2"/>
                <w:sz w:val="21"/>
                <w:szCs w:val="21"/>
              </w:rPr>
              <w:t>W</w:t>
            </w:r>
            <w:r>
              <w:rPr>
                <w:rFonts w:hint="default" w:ascii="Times New Roman" w:hAnsi="Times New Roman" w:eastAsia="宋体" w:cs="Times New Roman"/>
                <w:color w:val="auto"/>
                <w:position w:val="2"/>
                <w:sz w:val="21"/>
                <w:szCs w:val="21"/>
              </w:rPr>
              <w:t>h。</w:t>
            </w:r>
            <w:r>
              <w:rPr>
                <w:rFonts w:hint="default" w:ascii="Times New Roman" w:hAnsi="Times New Roman" w:eastAsia="宋体" w:cs="Times New Roman"/>
                <w:color w:val="auto"/>
                <w:spacing w:val="-1"/>
                <w:position w:val="2"/>
                <w:sz w:val="21"/>
                <w:szCs w:val="21"/>
              </w:rPr>
              <w:t>其中，净调入热力消耗碳排放量</w:t>
            </w:r>
            <w:r>
              <w:rPr>
                <w:rFonts w:hint="default" w:ascii="Times New Roman" w:hAnsi="Times New Roman" w:eastAsia="宋体" w:cs="Times New Roman"/>
                <w:color w:val="auto"/>
                <w:position w:val="2"/>
                <w:sz w:val="21"/>
                <w:szCs w:val="21"/>
              </w:rPr>
              <w:t>（</w:t>
            </w: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E</w:t>
            </w:r>
            <w:r>
              <w:rPr>
                <w:rFonts w:hint="default" w:ascii="Times New Roman" w:hAnsi="Times New Roman" w:eastAsia="宋体" w:cs="Times New Roman"/>
                <w:color w:val="auto"/>
                <w:sz w:val="21"/>
                <w:szCs w:val="21"/>
                <w:vertAlign w:val="subscript"/>
              </w:rPr>
              <w:t>净调入热力</w:t>
            </w:r>
            <w:r>
              <w:rPr>
                <w:rFonts w:hint="default" w:ascii="Times New Roman" w:hAnsi="Times New Roman" w:eastAsia="宋体" w:cs="Times New Roman"/>
                <w:color w:val="auto"/>
                <w:position w:val="2"/>
                <w:sz w:val="21"/>
                <w:szCs w:val="21"/>
              </w:rPr>
              <w:t>）计算方法见公式</w:t>
            </w:r>
            <w:r>
              <w:rPr>
                <w:rFonts w:hint="eastAsia" w:cs="Times New Roman"/>
                <w:color w:val="auto"/>
                <w:position w:val="2"/>
                <w:sz w:val="21"/>
                <w:szCs w:val="21"/>
                <w:lang w:eastAsia="zh-CN"/>
              </w:rPr>
              <w:t>（</w:t>
            </w:r>
            <w:r>
              <w:rPr>
                <w:rFonts w:hint="eastAsia" w:cs="Times New Roman"/>
                <w:color w:val="auto"/>
                <w:position w:val="2"/>
                <w:sz w:val="21"/>
                <w:szCs w:val="21"/>
                <w:lang w:val="en-US" w:eastAsia="zh-CN"/>
              </w:rPr>
              <w:t>7</w:t>
            </w:r>
            <w:r>
              <w:rPr>
                <w:rFonts w:hint="eastAsia" w:cs="Times New Roman"/>
                <w:color w:val="auto"/>
                <w:position w:val="2"/>
                <w:sz w:val="21"/>
                <w:szCs w:val="21"/>
                <w:lang w:eastAsia="zh-CN"/>
              </w:rPr>
              <w:t>）</w:t>
            </w:r>
          </w:p>
          <w:p w14:paraId="2821D947">
            <w:pPr>
              <w:pStyle w:val="2"/>
              <w:keepNext w:val="0"/>
              <w:keepLines w:val="0"/>
              <w:pageBreakBefore w:val="0"/>
              <w:widowControl w:val="0"/>
              <w:kinsoku/>
              <w:wordWrap/>
              <w:overflowPunct/>
              <w:topLinePunct w:val="0"/>
              <w:autoSpaceDE/>
              <w:autoSpaceDN/>
              <w:bidi w:val="0"/>
              <w:spacing w:after="0" w:line="360" w:lineRule="auto"/>
              <w:ind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position w:val="2"/>
                <w:sz w:val="21"/>
                <w:szCs w:val="21"/>
              </w:rPr>
              <w:t>AE</w:t>
            </w:r>
            <w:r>
              <w:rPr>
                <w:rFonts w:hint="default" w:ascii="Times New Roman" w:hAnsi="Times New Roman" w:eastAsia="宋体" w:cs="Times New Roman"/>
                <w:color w:val="auto"/>
                <w:sz w:val="21"/>
                <w:szCs w:val="21"/>
                <w:vertAlign w:val="subscript"/>
              </w:rPr>
              <w:t>净调入热力</w:t>
            </w:r>
            <w:r>
              <w:rPr>
                <w:rFonts w:hint="default" w:ascii="Times New Roman" w:hAnsi="Times New Roman" w:eastAsia="宋体" w:cs="Times New Roman"/>
                <w:color w:val="auto"/>
                <w:position w:val="2"/>
                <w:sz w:val="21"/>
                <w:szCs w:val="21"/>
              </w:rPr>
              <w:t>=AD</w:t>
            </w:r>
            <w:r>
              <w:rPr>
                <w:rFonts w:hint="default" w:ascii="Times New Roman" w:hAnsi="Times New Roman" w:eastAsia="宋体" w:cs="Times New Roman"/>
                <w:color w:val="auto"/>
                <w:sz w:val="21"/>
                <w:szCs w:val="21"/>
                <w:vertAlign w:val="subscript"/>
              </w:rPr>
              <w:t>净调入热力消耗量</w:t>
            </w:r>
            <w:r>
              <w:rPr>
                <w:rFonts w:hint="default" w:ascii="Times New Roman" w:hAnsi="Times New Roman" w:eastAsia="宋体" w:cs="Times New Roman"/>
                <w:color w:val="auto"/>
                <w:position w:val="2"/>
                <w:sz w:val="21"/>
                <w:szCs w:val="21"/>
              </w:rPr>
              <w:t>*EF</w:t>
            </w:r>
            <w:r>
              <w:rPr>
                <w:rFonts w:hint="default" w:ascii="Times New Roman" w:hAnsi="Times New Roman" w:eastAsia="宋体" w:cs="Times New Roman"/>
                <w:color w:val="auto"/>
                <w:sz w:val="21"/>
                <w:szCs w:val="21"/>
                <w:vertAlign w:val="subscript"/>
              </w:rPr>
              <w:t>热力</w:t>
            </w:r>
            <w:r>
              <w:rPr>
                <w:rFonts w:hint="default" w:ascii="Times New Roman" w:hAnsi="Times New Roman" w:eastAsia="宋体" w:cs="Times New Roman"/>
                <w:color w:val="auto"/>
                <w:position w:val="2"/>
                <w:sz w:val="21"/>
                <w:szCs w:val="21"/>
              </w:rPr>
              <w:t>（7）</w:t>
            </w:r>
          </w:p>
          <w:p w14:paraId="435A81BF">
            <w:pPr>
              <w:pStyle w:val="2"/>
              <w:keepNext w:val="0"/>
              <w:keepLines w:val="0"/>
              <w:pageBreakBefore w:val="0"/>
              <w:widowControl w:val="0"/>
              <w:kinsoku/>
              <w:wordWrap/>
              <w:overflowPunct/>
              <w:topLinePunct w:val="0"/>
              <w:autoSpaceDE/>
              <w:autoSpaceDN/>
              <w:bidi w:val="0"/>
              <w:spacing w:after="0" w:line="360" w:lineRule="auto"/>
              <w:ind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式中：</w:t>
            </w:r>
          </w:p>
          <w:p w14:paraId="55CC95B4">
            <w:pPr>
              <w:keepNext w:val="0"/>
              <w:keepLines w:val="0"/>
              <w:pageBreakBefore w:val="0"/>
              <w:widowControl w:val="0"/>
              <w:kinsoku/>
              <w:wordWrap/>
              <w:overflowPunct/>
              <w:topLinePunct w:val="0"/>
              <w:autoSpaceDE/>
              <w:autoSpaceDN/>
              <w:bidi w:val="0"/>
              <w:spacing w:line="360" w:lineRule="auto"/>
              <w:ind w:firstLine="416" w:firstLineChars="200"/>
              <w:textAlignment w:val="auto"/>
              <w:rPr>
                <w:rFonts w:hint="default" w:ascii="Times New Roman" w:hAnsi="Times New Roman" w:eastAsia="宋体" w:cs="Times New Roman"/>
                <w:color w:val="auto"/>
                <w:position w:val="2"/>
                <w:sz w:val="21"/>
                <w:szCs w:val="21"/>
              </w:rPr>
            </w:pPr>
            <w:r>
              <w:rPr>
                <w:rFonts w:hint="default" w:ascii="Times New Roman" w:hAnsi="Times New Roman" w:eastAsia="宋体" w:cs="Times New Roman"/>
                <w:color w:val="auto"/>
                <w:spacing w:val="-1"/>
                <w:position w:val="2"/>
                <w:sz w:val="21"/>
                <w:szCs w:val="21"/>
              </w:rPr>
              <w:t>A</w:t>
            </w:r>
            <w:r>
              <w:rPr>
                <w:rFonts w:hint="default" w:ascii="Times New Roman" w:hAnsi="Times New Roman" w:eastAsia="宋体" w:cs="Times New Roman"/>
                <w:color w:val="auto"/>
                <w:position w:val="2"/>
                <w:sz w:val="21"/>
                <w:szCs w:val="21"/>
              </w:rPr>
              <w:t>D</w:t>
            </w:r>
            <w:r>
              <w:rPr>
                <w:rFonts w:hint="default" w:ascii="Times New Roman" w:hAnsi="Times New Roman" w:eastAsia="宋体" w:cs="Times New Roman"/>
                <w:color w:val="auto"/>
                <w:spacing w:val="-1"/>
                <w:sz w:val="21"/>
                <w:szCs w:val="21"/>
                <w:vertAlign w:val="subscript"/>
              </w:rPr>
              <w:t>净调入热力消耗量</w:t>
            </w:r>
            <w:r>
              <w:rPr>
                <w:rFonts w:hint="default" w:ascii="Times New Roman" w:hAnsi="Times New Roman" w:eastAsia="宋体" w:cs="Times New Roman"/>
                <w:color w:val="auto"/>
                <w:position w:val="2"/>
                <w:sz w:val="21"/>
                <w:szCs w:val="21"/>
              </w:rPr>
              <w:t>——净调入热力消耗量（</w:t>
            </w:r>
            <w:r>
              <w:rPr>
                <w:rFonts w:hint="default" w:ascii="Times New Roman" w:hAnsi="Times New Roman" w:eastAsia="宋体" w:cs="Times New Roman"/>
                <w:color w:val="auto"/>
                <w:spacing w:val="-1"/>
                <w:position w:val="2"/>
                <w:sz w:val="21"/>
                <w:szCs w:val="21"/>
              </w:rPr>
              <w:t>G</w:t>
            </w:r>
            <w:r>
              <w:rPr>
                <w:rFonts w:hint="default" w:ascii="Times New Roman" w:hAnsi="Times New Roman" w:eastAsia="宋体" w:cs="Times New Roman"/>
                <w:color w:val="auto"/>
                <w:position w:val="2"/>
                <w:sz w:val="21"/>
                <w:szCs w:val="21"/>
              </w:rPr>
              <w:t>j</w:t>
            </w:r>
            <w:r>
              <w:rPr>
                <w:rFonts w:hint="default" w:ascii="Times New Roman" w:hAnsi="Times New Roman" w:eastAsia="宋体" w:cs="Times New Roman"/>
                <w:color w:val="auto"/>
                <w:spacing w:val="-120"/>
                <w:position w:val="2"/>
                <w:sz w:val="21"/>
                <w:szCs w:val="21"/>
              </w:rPr>
              <w:t>）</w:t>
            </w:r>
            <w:r>
              <w:rPr>
                <w:rFonts w:hint="default" w:ascii="Times New Roman" w:hAnsi="Times New Roman" w:eastAsia="宋体" w:cs="Times New Roman"/>
                <w:color w:val="auto"/>
                <w:position w:val="2"/>
                <w:sz w:val="21"/>
                <w:szCs w:val="21"/>
              </w:rPr>
              <w:t>）</w:t>
            </w:r>
          </w:p>
          <w:p w14:paraId="47EC0845">
            <w:pPr>
              <w:spacing w:line="360" w:lineRule="auto"/>
              <w:ind w:firstLine="416" w:firstLineChars="200"/>
              <w:rPr>
                <w:color w:val="auto"/>
                <w:szCs w:val="21"/>
              </w:rPr>
            </w:pPr>
            <w:r>
              <w:rPr>
                <w:rFonts w:hint="default" w:ascii="Times New Roman" w:hAnsi="Times New Roman" w:eastAsia="宋体" w:cs="Times New Roman"/>
                <w:color w:val="auto"/>
                <w:spacing w:val="-1"/>
                <w:position w:val="2"/>
                <w:sz w:val="21"/>
                <w:szCs w:val="21"/>
              </w:rPr>
              <w:t>E</w:t>
            </w:r>
            <w:r>
              <w:rPr>
                <w:rFonts w:hint="default" w:ascii="Times New Roman" w:hAnsi="Times New Roman" w:eastAsia="宋体" w:cs="Times New Roman"/>
                <w:color w:val="auto"/>
                <w:position w:val="2"/>
                <w:sz w:val="21"/>
                <w:szCs w:val="21"/>
              </w:rPr>
              <w:t>F</w:t>
            </w:r>
            <w:r>
              <w:rPr>
                <w:rFonts w:hint="default" w:ascii="Times New Roman" w:hAnsi="Times New Roman" w:eastAsia="宋体" w:cs="Times New Roman"/>
                <w:color w:val="auto"/>
                <w:spacing w:val="-1"/>
                <w:sz w:val="21"/>
                <w:szCs w:val="21"/>
                <w:vertAlign w:val="subscript"/>
              </w:rPr>
              <w:t>热力</w:t>
            </w:r>
            <w:r>
              <w:rPr>
                <w:rFonts w:hint="default" w:ascii="Times New Roman" w:hAnsi="Times New Roman" w:eastAsia="宋体" w:cs="Times New Roman"/>
                <w:color w:val="auto"/>
                <w:position w:val="2"/>
                <w:sz w:val="21"/>
                <w:szCs w:val="21"/>
              </w:rPr>
              <w:t>——热力排放因子（tC</w:t>
            </w:r>
            <w:r>
              <w:rPr>
                <w:rFonts w:hint="default" w:ascii="Times New Roman" w:hAnsi="Times New Roman" w:eastAsia="宋体" w:cs="Times New Roman"/>
                <w:color w:val="auto"/>
                <w:spacing w:val="-1"/>
                <w:position w:val="2"/>
                <w:sz w:val="21"/>
                <w:szCs w:val="21"/>
              </w:rPr>
              <w:t>O</w:t>
            </w:r>
            <w:r>
              <w:rPr>
                <w:rFonts w:hint="default" w:ascii="Times New Roman" w:hAnsi="Times New Roman" w:eastAsia="宋体" w:cs="Times New Roman"/>
                <w:color w:val="auto"/>
                <w:spacing w:val="1"/>
                <w:sz w:val="21"/>
                <w:szCs w:val="21"/>
                <w:vertAlign w:val="subscript"/>
              </w:rPr>
              <w:t>2</w:t>
            </w:r>
            <w:r>
              <w:rPr>
                <w:rFonts w:hint="default" w:ascii="Times New Roman" w:hAnsi="Times New Roman" w:eastAsia="宋体" w:cs="Times New Roman"/>
                <w:color w:val="auto"/>
                <w:sz w:val="21"/>
                <w:szCs w:val="21"/>
                <w:vertAlign w:val="subscript"/>
              </w:rPr>
              <w:t>e</w:t>
            </w:r>
            <w:r>
              <w:rPr>
                <w:rFonts w:hint="default" w:ascii="Times New Roman" w:hAnsi="Times New Roman" w:eastAsia="宋体" w:cs="Times New Roman"/>
                <w:color w:val="auto"/>
                <w:position w:val="2"/>
                <w:sz w:val="21"/>
                <w:szCs w:val="21"/>
              </w:rPr>
              <w:t>/</w:t>
            </w:r>
            <w:r>
              <w:rPr>
                <w:rFonts w:hint="default" w:ascii="Times New Roman" w:hAnsi="Times New Roman" w:eastAsia="宋体" w:cs="Times New Roman"/>
                <w:color w:val="auto"/>
                <w:spacing w:val="-1"/>
                <w:position w:val="2"/>
                <w:sz w:val="21"/>
                <w:szCs w:val="21"/>
              </w:rPr>
              <w:t>G</w:t>
            </w:r>
            <w:r>
              <w:rPr>
                <w:rFonts w:hint="default" w:ascii="Times New Roman" w:hAnsi="Times New Roman" w:eastAsia="宋体" w:cs="Times New Roman"/>
                <w:color w:val="auto"/>
                <w:position w:val="2"/>
                <w:sz w:val="21"/>
                <w:szCs w:val="21"/>
              </w:rPr>
              <w:t>j</w:t>
            </w:r>
            <w:r>
              <w:rPr>
                <w:rFonts w:hint="default" w:ascii="Times New Roman" w:hAnsi="Times New Roman" w:eastAsia="宋体" w:cs="Times New Roman"/>
                <w:color w:val="auto"/>
                <w:spacing w:val="-120"/>
                <w:position w:val="2"/>
                <w:sz w:val="21"/>
                <w:szCs w:val="21"/>
              </w:rPr>
              <w:t>）</w:t>
            </w:r>
            <w:r>
              <w:rPr>
                <w:rFonts w:hint="default" w:ascii="Times New Roman" w:hAnsi="Times New Roman" w:eastAsia="宋体" w:cs="Times New Roman"/>
                <w:color w:val="auto"/>
                <w:position w:val="2"/>
                <w:sz w:val="21"/>
                <w:szCs w:val="21"/>
              </w:rPr>
              <w:t>）</w:t>
            </w:r>
            <w:r>
              <w:rPr>
                <w:color w:val="auto"/>
                <w:position w:val="2"/>
                <w:szCs w:val="21"/>
              </w:rPr>
              <w:t>。</w:t>
            </w:r>
          </w:p>
          <w:p w14:paraId="341C0334">
            <w:pPr>
              <w:pStyle w:val="5"/>
              <w:rPr>
                <w:rFonts w:ascii="Times New Roman" w:hAnsi="Times New Roman" w:eastAsia="宋体" w:cs="Times New Roman"/>
                <w:color w:val="auto"/>
                <w:sz w:val="21"/>
                <w:szCs w:val="21"/>
              </w:rPr>
            </w:pPr>
            <w:bookmarkStart w:id="23" w:name="_Toc12601"/>
            <w:bookmarkStart w:id="24" w:name="_Toc68895592"/>
            <w:bookmarkStart w:id="25" w:name="_Toc32132"/>
            <w:bookmarkStart w:id="26" w:name="_Toc24365"/>
            <w:r>
              <w:rPr>
                <w:rFonts w:ascii="Times New Roman" w:hAnsi="Times New Roman" w:eastAsia="宋体" w:cs="Times New Roman"/>
                <w:color w:val="auto"/>
                <w:sz w:val="21"/>
                <w:szCs w:val="21"/>
              </w:rPr>
              <w:t>表4-</w:t>
            </w:r>
            <w:r>
              <w:rPr>
                <w:rFonts w:hint="eastAsia" w:ascii="Times New Roman" w:hAnsi="Times New Roman" w:eastAsia="宋体" w:cs="Times New Roman"/>
                <w:color w:val="auto"/>
                <w:sz w:val="21"/>
                <w:szCs w:val="21"/>
                <w:lang w:val="en-US" w:eastAsia="zh-CN"/>
              </w:rPr>
              <w:t>34</w:t>
            </w:r>
            <w:r>
              <w:rPr>
                <w:rFonts w:hint="eastAsia" w:ascii="Times New Roman" w:hAnsi="Times New Roman" w:eastAsia="宋体" w:cs="Times New Roman"/>
                <w:color w:val="auto"/>
                <w:sz w:val="21"/>
                <w:szCs w:val="21"/>
              </w:rPr>
              <w:t xml:space="preserve"> </w:t>
            </w:r>
            <w:r>
              <w:rPr>
                <w:rFonts w:ascii="Times New Roman" w:hAnsi="Times New Roman" w:eastAsia="宋体" w:cs="Times New Roman"/>
                <w:color w:val="auto"/>
                <w:sz w:val="21"/>
                <w:szCs w:val="21"/>
              </w:rPr>
              <w:t>营运期使用的材料表</w:t>
            </w:r>
            <w:bookmarkEnd w:id="23"/>
            <w:bookmarkEnd w:id="24"/>
            <w:bookmarkEnd w:id="25"/>
            <w:bookmarkEnd w:id="26"/>
          </w:p>
          <w:tbl>
            <w:tblPr>
              <w:tblStyle w:val="28"/>
              <w:tblW w:w="4998" w:type="pct"/>
              <w:tblInd w:w="5"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3908"/>
              <w:gridCol w:w="4469"/>
            </w:tblGrid>
            <w:tr w14:paraId="18922B4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332" w:type="pct"/>
                  <w:noWrap w:val="0"/>
                  <w:vAlign w:val="center"/>
                </w:tcPr>
                <w:p w14:paraId="50882B71">
                  <w:pPr>
                    <w:pStyle w:val="69"/>
                    <w:jc w:val="center"/>
                    <w:rPr>
                      <w:rFonts w:ascii="Times New Roman" w:hAnsi="Times New Roman" w:eastAsia="宋体" w:cs="Times New Roman"/>
                      <w:b/>
                      <w:bCs/>
                      <w:color w:val="auto"/>
                      <w:sz w:val="21"/>
                      <w:szCs w:val="21"/>
                    </w:rPr>
                  </w:pPr>
                  <w:r>
                    <w:rPr>
                      <w:rFonts w:ascii="Times New Roman" w:hAnsi="Times New Roman" w:eastAsia="宋体" w:cs="Times New Roman"/>
                      <w:b/>
                      <w:bCs/>
                      <w:color w:val="auto"/>
                      <w:sz w:val="21"/>
                      <w:szCs w:val="21"/>
                    </w:rPr>
                    <w:t>类别</w:t>
                  </w:r>
                </w:p>
              </w:tc>
              <w:tc>
                <w:tcPr>
                  <w:tcW w:w="2667" w:type="pct"/>
                  <w:noWrap w:val="0"/>
                  <w:vAlign w:val="center"/>
                </w:tcPr>
                <w:p w14:paraId="52D7EE13">
                  <w:pPr>
                    <w:pStyle w:val="69"/>
                    <w:jc w:val="center"/>
                    <w:rPr>
                      <w:rFonts w:ascii="Times New Roman" w:hAnsi="Times New Roman" w:eastAsia="宋体" w:cs="Times New Roman"/>
                      <w:b/>
                      <w:bCs/>
                      <w:color w:val="auto"/>
                      <w:sz w:val="21"/>
                      <w:szCs w:val="21"/>
                    </w:rPr>
                  </w:pPr>
                  <w:r>
                    <w:rPr>
                      <w:rFonts w:ascii="Times New Roman" w:hAnsi="Times New Roman" w:eastAsia="宋体" w:cs="Times New Roman"/>
                      <w:b/>
                      <w:bCs/>
                      <w:color w:val="auto"/>
                      <w:sz w:val="21"/>
                      <w:szCs w:val="21"/>
                    </w:rPr>
                    <w:t>使用量</w:t>
                  </w:r>
                </w:p>
              </w:tc>
            </w:tr>
            <w:tr w14:paraId="7618422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332" w:type="pct"/>
                  <w:noWrap w:val="0"/>
                  <w:vAlign w:val="center"/>
                </w:tcPr>
                <w:p w14:paraId="5D9FB861">
                  <w:pPr>
                    <w:pStyle w:val="69"/>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电力使用量</w:t>
                  </w:r>
                </w:p>
              </w:tc>
              <w:tc>
                <w:tcPr>
                  <w:tcW w:w="2667" w:type="pct"/>
                  <w:noWrap w:val="0"/>
                  <w:vAlign w:val="center"/>
                </w:tcPr>
                <w:p w14:paraId="646B3F6F">
                  <w:pPr>
                    <w:pStyle w:val="69"/>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300</w:t>
                  </w:r>
                  <w:r>
                    <w:rPr>
                      <w:rFonts w:ascii="Times New Roman" w:hAnsi="Times New Roman" w:eastAsia="宋体" w:cs="Times New Roman"/>
                      <w:color w:val="auto"/>
                      <w:sz w:val="21"/>
                      <w:szCs w:val="21"/>
                    </w:rPr>
                    <w:t>MWh</w:t>
                  </w:r>
                </w:p>
              </w:tc>
            </w:tr>
          </w:tbl>
          <w:p w14:paraId="79A438FF">
            <w:pPr>
              <w:pStyle w:val="2"/>
              <w:spacing w:after="0" w:line="360" w:lineRule="auto"/>
              <w:ind w:firstLine="420" w:firstLineChars="200"/>
              <w:rPr>
                <w:color w:val="auto"/>
                <w:kern w:val="0"/>
                <w:szCs w:val="21"/>
              </w:rPr>
            </w:pPr>
            <w:r>
              <w:rPr>
                <w:color w:val="auto"/>
                <w:szCs w:val="21"/>
              </w:rPr>
              <w:t>本项目碳排放总量如下：</w:t>
            </w:r>
          </w:p>
          <w:p w14:paraId="5F4002BA">
            <w:pPr>
              <w:pStyle w:val="2"/>
              <w:adjustRightInd w:val="0"/>
              <w:snapToGrid w:val="0"/>
              <w:spacing w:after="0" w:line="360" w:lineRule="auto"/>
              <w:ind w:firstLine="420" w:firstLineChars="200"/>
              <w:rPr>
                <w:color w:val="auto"/>
                <w:position w:val="2"/>
                <w:szCs w:val="21"/>
              </w:rPr>
            </w:pPr>
            <w:r>
              <w:rPr>
                <w:color w:val="auto"/>
                <w:position w:val="2"/>
                <w:szCs w:val="21"/>
              </w:rPr>
              <w:t>AE</w:t>
            </w:r>
            <w:r>
              <w:rPr>
                <w:color w:val="auto"/>
                <w:szCs w:val="21"/>
                <w:vertAlign w:val="subscript"/>
              </w:rPr>
              <w:t>电燃</w:t>
            </w:r>
            <w:r>
              <w:rPr>
                <w:color w:val="auto"/>
                <w:position w:val="2"/>
                <w:szCs w:val="21"/>
              </w:rPr>
              <w:t>=0</w:t>
            </w:r>
          </w:p>
          <w:p w14:paraId="2D57D0BE">
            <w:pPr>
              <w:pStyle w:val="2"/>
              <w:adjustRightInd w:val="0"/>
              <w:snapToGrid w:val="0"/>
              <w:spacing w:after="0" w:line="360" w:lineRule="auto"/>
              <w:ind w:firstLine="420" w:firstLineChars="200"/>
              <w:rPr>
                <w:color w:val="auto"/>
                <w:szCs w:val="21"/>
              </w:rPr>
            </w:pPr>
            <w:r>
              <w:rPr>
                <w:color w:val="auto"/>
                <w:position w:val="2"/>
                <w:szCs w:val="21"/>
              </w:rPr>
              <w:t>AE</w:t>
            </w:r>
            <w:r>
              <w:rPr>
                <w:color w:val="auto"/>
                <w:szCs w:val="21"/>
                <w:vertAlign w:val="subscript"/>
              </w:rPr>
              <w:t>工燃</w:t>
            </w:r>
            <w:r>
              <w:rPr>
                <w:color w:val="auto"/>
                <w:position w:val="2"/>
                <w:szCs w:val="21"/>
              </w:rPr>
              <w:t>=</w:t>
            </w:r>
            <w:r>
              <w:rPr>
                <w:rFonts w:hint="eastAsia"/>
                <w:color w:val="auto"/>
                <w:position w:val="2"/>
                <w:szCs w:val="21"/>
                <w:lang w:val="en-US" w:eastAsia="zh-CN"/>
              </w:rPr>
              <w:t>0</w:t>
            </w:r>
            <w:r>
              <w:rPr>
                <w:color w:val="auto"/>
                <w:position w:val="2"/>
                <w:szCs w:val="21"/>
              </w:rPr>
              <w:t>tC</w:t>
            </w:r>
            <w:r>
              <w:rPr>
                <w:color w:val="auto"/>
                <w:spacing w:val="-1"/>
                <w:position w:val="2"/>
                <w:szCs w:val="21"/>
              </w:rPr>
              <w:t>O</w:t>
            </w:r>
            <w:r>
              <w:rPr>
                <w:color w:val="auto"/>
                <w:spacing w:val="-2"/>
                <w:szCs w:val="21"/>
                <w:vertAlign w:val="subscript"/>
              </w:rPr>
              <w:t>2e</w:t>
            </w:r>
          </w:p>
          <w:p w14:paraId="442FF4E2">
            <w:pPr>
              <w:pStyle w:val="2"/>
              <w:adjustRightInd w:val="0"/>
              <w:snapToGrid w:val="0"/>
              <w:spacing w:after="0" w:line="360" w:lineRule="auto"/>
              <w:ind w:firstLine="420" w:firstLineChars="200"/>
              <w:rPr>
                <w:color w:val="auto"/>
                <w:szCs w:val="21"/>
              </w:rPr>
            </w:pPr>
            <w:r>
              <w:rPr>
                <w:color w:val="auto"/>
                <w:position w:val="2"/>
                <w:szCs w:val="21"/>
              </w:rPr>
              <w:t>AE</w:t>
            </w:r>
            <w:r>
              <w:rPr>
                <w:color w:val="auto"/>
                <w:szCs w:val="21"/>
                <w:vertAlign w:val="subscript"/>
              </w:rPr>
              <w:t>净调入电力</w:t>
            </w:r>
            <w:r>
              <w:rPr>
                <w:color w:val="auto"/>
                <w:position w:val="2"/>
                <w:szCs w:val="21"/>
              </w:rPr>
              <w:t>=</w:t>
            </w:r>
            <w:r>
              <w:rPr>
                <w:rFonts w:hint="eastAsia"/>
                <w:color w:val="auto"/>
                <w:position w:val="2"/>
                <w:szCs w:val="21"/>
                <w:lang w:val="en-US" w:eastAsia="zh-CN"/>
              </w:rPr>
              <w:t>30</w:t>
            </w:r>
            <w:r>
              <w:rPr>
                <w:rFonts w:hint="eastAsia"/>
                <w:color w:val="auto"/>
                <w:position w:val="2"/>
                <w:szCs w:val="21"/>
              </w:rPr>
              <w:t>0</w:t>
            </w:r>
            <w:r>
              <w:rPr>
                <w:color w:val="auto"/>
                <w:position w:val="2"/>
                <w:szCs w:val="21"/>
              </w:rPr>
              <w:t>MWh*</w:t>
            </w:r>
            <w:r>
              <w:rPr>
                <w:rFonts w:hint="eastAsia"/>
                <w:color w:val="auto"/>
                <w:position w:val="2"/>
                <w:szCs w:val="21"/>
              </w:rPr>
              <w:t>0.5073</w:t>
            </w:r>
            <w:r>
              <w:rPr>
                <w:color w:val="auto"/>
                <w:position w:val="2"/>
                <w:szCs w:val="21"/>
              </w:rPr>
              <w:t>tCO</w:t>
            </w:r>
            <w:r>
              <w:rPr>
                <w:color w:val="auto"/>
                <w:szCs w:val="21"/>
                <w:vertAlign w:val="subscript"/>
              </w:rPr>
              <w:t>2e</w:t>
            </w:r>
            <w:r>
              <w:rPr>
                <w:color w:val="auto"/>
                <w:position w:val="2"/>
                <w:szCs w:val="21"/>
              </w:rPr>
              <w:t>/MWh=</w:t>
            </w:r>
            <w:r>
              <w:rPr>
                <w:rFonts w:hint="eastAsia"/>
                <w:color w:val="auto"/>
                <w:position w:val="2"/>
                <w:szCs w:val="21"/>
                <w:lang w:val="en-US" w:eastAsia="zh-CN"/>
              </w:rPr>
              <w:t>152.19</w:t>
            </w:r>
            <w:r>
              <w:rPr>
                <w:color w:val="auto"/>
                <w:position w:val="2"/>
                <w:szCs w:val="21"/>
              </w:rPr>
              <w:t>tCO</w:t>
            </w:r>
            <w:r>
              <w:rPr>
                <w:color w:val="auto"/>
                <w:szCs w:val="21"/>
                <w:vertAlign w:val="subscript"/>
              </w:rPr>
              <w:t>2e</w:t>
            </w:r>
          </w:p>
          <w:p w14:paraId="4E981404">
            <w:pPr>
              <w:adjustRightInd w:val="0"/>
              <w:snapToGrid w:val="0"/>
              <w:spacing w:line="360" w:lineRule="auto"/>
              <w:ind w:firstLine="420" w:firstLineChars="200"/>
              <w:rPr>
                <w:color w:val="auto"/>
                <w:szCs w:val="21"/>
              </w:rPr>
            </w:pPr>
            <w:r>
              <w:rPr>
                <w:color w:val="auto"/>
                <w:position w:val="2"/>
                <w:szCs w:val="21"/>
              </w:rPr>
              <w:t>AE</w:t>
            </w:r>
            <w:r>
              <w:rPr>
                <w:color w:val="auto"/>
                <w:szCs w:val="21"/>
                <w:vertAlign w:val="subscript"/>
              </w:rPr>
              <w:t>净调入热力</w:t>
            </w:r>
            <w:r>
              <w:rPr>
                <w:color w:val="auto"/>
                <w:position w:val="2"/>
                <w:szCs w:val="21"/>
              </w:rPr>
              <w:t>=0</w:t>
            </w:r>
          </w:p>
          <w:p w14:paraId="19416812">
            <w:pPr>
              <w:pStyle w:val="2"/>
              <w:adjustRightInd w:val="0"/>
              <w:snapToGrid w:val="0"/>
              <w:spacing w:after="0" w:line="360" w:lineRule="auto"/>
              <w:ind w:firstLine="420" w:firstLineChars="200"/>
              <w:rPr>
                <w:color w:val="auto"/>
                <w:szCs w:val="21"/>
              </w:rPr>
            </w:pPr>
            <w:r>
              <w:rPr>
                <w:color w:val="auto"/>
                <w:position w:val="2"/>
                <w:szCs w:val="21"/>
              </w:rPr>
              <w:t>AE</w:t>
            </w:r>
            <w:r>
              <w:rPr>
                <w:color w:val="auto"/>
                <w:position w:val="2"/>
                <w:szCs w:val="21"/>
                <w:vertAlign w:val="subscript"/>
              </w:rPr>
              <w:t>总</w:t>
            </w:r>
            <w:r>
              <w:rPr>
                <w:color w:val="auto"/>
                <w:position w:val="2"/>
                <w:szCs w:val="21"/>
              </w:rPr>
              <w:t>=</w:t>
            </w:r>
            <w:r>
              <w:rPr>
                <w:rFonts w:hint="eastAsia"/>
                <w:color w:val="auto"/>
                <w:position w:val="2"/>
                <w:szCs w:val="21"/>
                <w:lang w:val="en-US" w:eastAsia="zh-CN"/>
              </w:rPr>
              <w:t>152.19</w:t>
            </w:r>
            <w:r>
              <w:rPr>
                <w:color w:val="auto"/>
                <w:position w:val="2"/>
                <w:szCs w:val="21"/>
              </w:rPr>
              <w:t>tCO</w:t>
            </w:r>
            <w:r>
              <w:rPr>
                <w:color w:val="auto"/>
                <w:szCs w:val="21"/>
                <w:vertAlign w:val="subscript"/>
              </w:rPr>
              <w:t>2e</w:t>
            </w:r>
          </w:p>
          <w:p w14:paraId="604D577C">
            <w:pPr>
              <w:pStyle w:val="2"/>
              <w:adjustRightInd w:val="0"/>
              <w:snapToGrid w:val="0"/>
              <w:spacing w:after="0" w:line="360" w:lineRule="auto"/>
              <w:ind w:firstLine="420" w:firstLineChars="200"/>
              <w:rPr>
                <w:color w:val="auto"/>
                <w:szCs w:val="21"/>
              </w:rPr>
            </w:pPr>
            <w:r>
              <w:rPr>
                <w:color w:val="auto"/>
                <w:position w:val="2"/>
                <w:szCs w:val="21"/>
              </w:rPr>
              <w:t>碳排放强度（单位用地碳排放量）=</w:t>
            </w:r>
            <w:r>
              <w:rPr>
                <w:rFonts w:hint="eastAsia"/>
                <w:color w:val="auto"/>
                <w:position w:val="2"/>
                <w:szCs w:val="21"/>
                <w:lang w:val="en-US" w:eastAsia="zh-CN"/>
              </w:rPr>
              <w:t>152.19</w:t>
            </w:r>
            <w:r>
              <w:rPr>
                <w:color w:val="auto"/>
                <w:position w:val="2"/>
                <w:szCs w:val="21"/>
              </w:rPr>
              <w:t>/</w:t>
            </w:r>
            <w:r>
              <w:rPr>
                <w:rFonts w:hint="eastAsia"/>
                <w:color w:val="auto"/>
                <w:position w:val="2"/>
                <w:szCs w:val="21"/>
                <w:lang w:val="en-US" w:eastAsia="zh-CN"/>
              </w:rPr>
              <w:t>1660</w:t>
            </w:r>
            <w:r>
              <w:rPr>
                <w:color w:val="auto"/>
                <w:position w:val="2"/>
                <w:szCs w:val="21"/>
              </w:rPr>
              <w:t>=</w:t>
            </w:r>
            <w:r>
              <w:rPr>
                <w:rFonts w:hint="eastAsia"/>
                <w:color w:val="auto"/>
                <w:position w:val="2"/>
                <w:szCs w:val="21"/>
                <w:lang w:val="en-US" w:eastAsia="zh-CN"/>
              </w:rPr>
              <w:t>0.092</w:t>
            </w:r>
            <w:r>
              <w:rPr>
                <w:color w:val="auto"/>
                <w:position w:val="2"/>
                <w:szCs w:val="21"/>
              </w:rPr>
              <w:t>tCO</w:t>
            </w:r>
            <w:r>
              <w:rPr>
                <w:color w:val="auto"/>
                <w:szCs w:val="21"/>
                <w:vertAlign w:val="subscript"/>
              </w:rPr>
              <w:t>2e</w:t>
            </w:r>
            <w:r>
              <w:rPr>
                <w:color w:val="auto"/>
                <w:position w:val="2"/>
                <w:szCs w:val="21"/>
              </w:rPr>
              <w:t>/m</w:t>
            </w:r>
            <w:r>
              <w:rPr>
                <w:color w:val="auto"/>
                <w:position w:val="2"/>
                <w:szCs w:val="21"/>
                <w:vertAlign w:val="superscript"/>
              </w:rPr>
              <w:t>2</w:t>
            </w:r>
          </w:p>
          <w:p w14:paraId="6A8CFE36">
            <w:pPr>
              <w:pStyle w:val="2"/>
              <w:adjustRightInd w:val="0"/>
              <w:snapToGrid w:val="0"/>
              <w:spacing w:after="0" w:line="360" w:lineRule="auto"/>
              <w:ind w:firstLine="420" w:firstLineChars="200"/>
              <w:rPr>
                <w:color w:val="auto"/>
                <w:szCs w:val="21"/>
              </w:rPr>
            </w:pPr>
            <w:r>
              <w:rPr>
                <w:color w:val="auto"/>
                <w:position w:val="2"/>
                <w:szCs w:val="21"/>
              </w:rPr>
              <w:t>碳排放强度（单位工业总产值碳排放量）=</w:t>
            </w:r>
            <w:r>
              <w:rPr>
                <w:rFonts w:hint="eastAsia"/>
                <w:color w:val="auto"/>
                <w:position w:val="2"/>
                <w:szCs w:val="21"/>
                <w:lang w:val="en-US" w:eastAsia="zh-CN"/>
              </w:rPr>
              <w:t>152.19</w:t>
            </w:r>
            <w:r>
              <w:rPr>
                <w:color w:val="auto"/>
                <w:position w:val="2"/>
                <w:szCs w:val="21"/>
              </w:rPr>
              <w:t>/</w:t>
            </w:r>
            <w:r>
              <w:rPr>
                <w:rFonts w:hint="eastAsia"/>
                <w:color w:val="auto"/>
                <w:position w:val="2"/>
                <w:szCs w:val="21"/>
                <w:lang w:val="en-US" w:eastAsia="zh-CN"/>
              </w:rPr>
              <w:t>2000</w:t>
            </w:r>
            <w:r>
              <w:rPr>
                <w:color w:val="auto"/>
                <w:position w:val="2"/>
                <w:szCs w:val="21"/>
              </w:rPr>
              <w:t>=</w:t>
            </w:r>
            <w:r>
              <w:rPr>
                <w:rFonts w:hint="eastAsia"/>
                <w:color w:val="auto"/>
                <w:position w:val="2"/>
                <w:szCs w:val="21"/>
                <w:lang w:val="en-US" w:eastAsia="zh-CN"/>
              </w:rPr>
              <w:t>0.076</w:t>
            </w:r>
            <w:r>
              <w:rPr>
                <w:color w:val="auto"/>
                <w:position w:val="2"/>
                <w:szCs w:val="21"/>
              </w:rPr>
              <w:t>tCO</w:t>
            </w:r>
            <w:r>
              <w:rPr>
                <w:color w:val="auto"/>
                <w:szCs w:val="21"/>
                <w:vertAlign w:val="subscript"/>
              </w:rPr>
              <w:t>2e</w:t>
            </w:r>
            <w:r>
              <w:rPr>
                <w:color w:val="auto"/>
                <w:position w:val="2"/>
                <w:szCs w:val="21"/>
              </w:rPr>
              <w:t>/万元</w:t>
            </w:r>
          </w:p>
          <w:p w14:paraId="70FA23B6">
            <w:pPr>
              <w:pStyle w:val="5"/>
              <w:keepNext w:val="0"/>
              <w:keepLines w:val="0"/>
              <w:pageBreakBefore w:val="0"/>
              <w:widowControl w:val="0"/>
              <w:kinsoku/>
              <w:wordWrap/>
              <w:overflowPunct/>
              <w:topLinePunct w:val="0"/>
              <w:autoSpaceDE w:val="0"/>
              <w:autoSpaceDN w:val="0"/>
              <w:bidi w:val="0"/>
              <w:adjustRightInd w:val="0"/>
              <w:snapToGrid w:val="0"/>
              <w:textAlignment w:val="auto"/>
              <w:rPr>
                <w:rFonts w:ascii="Times New Roman" w:hAnsi="Times New Roman" w:eastAsia="宋体" w:cs="Times New Roman"/>
                <w:color w:val="auto"/>
                <w:sz w:val="21"/>
                <w:szCs w:val="21"/>
              </w:rPr>
            </w:pPr>
            <w:bookmarkStart w:id="27" w:name="_Toc1464"/>
            <w:bookmarkStart w:id="28" w:name="_Toc27073"/>
            <w:bookmarkStart w:id="29" w:name="_Toc68895593"/>
            <w:bookmarkStart w:id="30" w:name="_Toc19819"/>
            <w:r>
              <w:rPr>
                <w:rFonts w:ascii="Times New Roman" w:hAnsi="Times New Roman" w:eastAsia="宋体" w:cs="Times New Roman"/>
                <w:color w:val="auto"/>
                <w:sz w:val="21"/>
                <w:szCs w:val="21"/>
              </w:rPr>
              <w:t>表4-</w:t>
            </w:r>
            <w:r>
              <w:rPr>
                <w:rFonts w:hint="eastAsia" w:ascii="Times New Roman" w:hAnsi="Times New Roman" w:eastAsia="宋体" w:cs="Times New Roman"/>
                <w:color w:val="auto"/>
                <w:sz w:val="21"/>
                <w:szCs w:val="21"/>
                <w:lang w:val="en-US" w:eastAsia="zh-CN"/>
              </w:rPr>
              <w:t>35</w:t>
            </w:r>
            <w:r>
              <w:rPr>
                <w:rFonts w:hint="eastAsia" w:ascii="Times New Roman" w:hAnsi="Times New Roman" w:eastAsia="宋体" w:cs="Times New Roman"/>
                <w:color w:val="auto"/>
                <w:sz w:val="21"/>
                <w:szCs w:val="21"/>
              </w:rPr>
              <w:t xml:space="preserve"> </w:t>
            </w:r>
            <w:r>
              <w:rPr>
                <w:rFonts w:ascii="Times New Roman" w:hAnsi="Times New Roman" w:eastAsia="宋体" w:cs="Times New Roman"/>
                <w:color w:val="auto"/>
                <w:sz w:val="21"/>
                <w:szCs w:val="21"/>
              </w:rPr>
              <w:t>碳排放汇总表</w:t>
            </w:r>
            <w:bookmarkEnd w:id="27"/>
            <w:bookmarkEnd w:id="28"/>
            <w:bookmarkEnd w:id="29"/>
            <w:bookmarkEnd w:id="30"/>
          </w:p>
          <w:tbl>
            <w:tblPr>
              <w:tblStyle w:val="28"/>
              <w:tblW w:w="4999" w:type="pct"/>
              <w:tblInd w:w="5"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802"/>
              <w:gridCol w:w="1249"/>
              <w:gridCol w:w="2380"/>
              <w:gridCol w:w="3947"/>
            </w:tblGrid>
            <w:tr w14:paraId="759EAFD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4" w:type="pct"/>
                  <w:gridSpan w:val="3"/>
                  <w:noWrap w:val="0"/>
                  <w:vAlign w:val="center"/>
                </w:tcPr>
                <w:p w14:paraId="014A4B6D">
                  <w:pPr>
                    <w:pStyle w:val="69"/>
                    <w:jc w:val="center"/>
                    <w:rPr>
                      <w:rFonts w:ascii="Times New Roman" w:hAnsi="Times New Roman" w:eastAsia="宋体" w:cs="Times New Roman"/>
                      <w:b/>
                      <w:bCs/>
                      <w:color w:val="auto"/>
                      <w:sz w:val="21"/>
                      <w:szCs w:val="21"/>
                    </w:rPr>
                  </w:pPr>
                  <w:r>
                    <w:rPr>
                      <w:rFonts w:ascii="Times New Roman" w:hAnsi="Times New Roman" w:eastAsia="宋体" w:cs="Times New Roman"/>
                      <w:b/>
                      <w:bCs/>
                      <w:color w:val="auto"/>
                      <w:sz w:val="21"/>
                      <w:szCs w:val="21"/>
                    </w:rPr>
                    <w:t>排放类型</w:t>
                  </w:r>
                </w:p>
              </w:tc>
              <w:tc>
                <w:tcPr>
                  <w:tcW w:w="2355" w:type="pct"/>
                  <w:noWrap w:val="0"/>
                  <w:vAlign w:val="center"/>
                </w:tcPr>
                <w:p w14:paraId="3B376311">
                  <w:pPr>
                    <w:pStyle w:val="69"/>
                    <w:jc w:val="center"/>
                    <w:rPr>
                      <w:rFonts w:ascii="Times New Roman" w:hAnsi="Times New Roman" w:eastAsia="宋体" w:cs="Times New Roman"/>
                      <w:b/>
                      <w:bCs/>
                      <w:color w:val="auto"/>
                      <w:sz w:val="21"/>
                      <w:szCs w:val="21"/>
                    </w:rPr>
                  </w:pPr>
                  <w:r>
                    <w:rPr>
                      <w:rFonts w:ascii="Times New Roman" w:hAnsi="Times New Roman" w:eastAsia="宋体" w:cs="Times New Roman"/>
                      <w:b/>
                      <w:bCs/>
                      <w:color w:val="auto"/>
                      <w:sz w:val="21"/>
                      <w:szCs w:val="21"/>
                    </w:rPr>
                    <w:t>碳排放量</w:t>
                  </w:r>
                </w:p>
              </w:tc>
            </w:tr>
            <w:tr w14:paraId="4B29E52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79" w:type="pct"/>
                  <w:noWrap w:val="0"/>
                  <w:vAlign w:val="center"/>
                </w:tcPr>
                <w:p w14:paraId="5991CEE3">
                  <w:pPr>
                    <w:pStyle w:val="69"/>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营运期</w:t>
                  </w:r>
                </w:p>
              </w:tc>
              <w:tc>
                <w:tcPr>
                  <w:tcW w:w="745" w:type="pct"/>
                  <w:noWrap w:val="0"/>
                  <w:vAlign w:val="center"/>
                </w:tcPr>
                <w:p w14:paraId="59B7184A">
                  <w:pPr>
                    <w:pStyle w:val="69"/>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间接排放</w:t>
                  </w:r>
                </w:p>
              </w:tc>
              <w:tc>
                <w:tcPr>
                  <w:tcW w:w="1419" w:type="pct"/>
                  <w:noWrap w:val="0"/>
                  <w:vAlign w:val="center"/>
                </w:tcPr>
                <w:p w14:paraId="267719E6">
                  <w:pPr>
                    <w:pStyle w:val="69"/>
                    <w:jc w:val="center"/>
                    <w:rPr>
                      <w:rFonts w:hint="eastAsia" w:ascii="Times New Roman" w:hAnsi="Times New Roman" w:eastAsia="宋体" w:cs="Times New Roman"/>
                      <w:color w:val="auto"/>
                      <w:sz w:val="21"/>
                      <w:szCs w:val="21"/>
                    </w:rPr>
                  </w:pPr>
                  <w:r>
                    <w:rPr>
                      <w:rFonts w:ascii="Times New Roman" w:hAnsi="Times New Roman" w:eastAsia="宋体" w:cs="Times New Roman"/>
                      <w:color w:val="auto"/>
                      <w:sz w:val="21"/>
                      <w:szCs w:val="21"/>
                    </w:rPr>
                    <w:t>净调入电力</w:t>
                  </w:r>
                </w:p>
              </w:tc>
              <w:tc>
                <w:tcPr>
                  <w:tcW w:w="2355" w:type="pct"/>
                  <w:noWrap w:val="0"/>
                  <w:vAlign w:val="center"/>
                </w:tcPr>
                <w:p w14:paraId="7192EB34">
                  <w:pPr>
                    <w:pStyle w:val="69"/>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152.19</w:t>
                  </w:r>
                  <w:r>
                    <w:rPr>
                      <w:rFonts w:ascii="Times New Roman" w:hAnsi="Times New Roman" w:eastAsia="宋体" w:cs="Times New Roman"/>
                      <w:color w:val="auto"/>
                      <w:sz w:val="21"/>
                      <w:szCs w:val="21"/>
                    </w:rPr>
                    <w:t>tCO</w:t>
                  </w:r>
                  <w:r>
                    <w:rPr>
                      <w:rFonts w:ascii="Times New Roman" w:hAnsi="Times New Roman" w:eastAsia="宋体" w:cs="Times New Roman"/>
                      <w:color w:val="auto"/>
                      <w:sz w:val="21"/>
                      <w:szCs w:val="21"/>
                      <w:vertAlign w:val="subscript"/>
                    </w:rPr>
                    <w:t>2e</w:t>
                  </w:r>
                </w:p>
              </w:tc>
            </w:tr>
          </w:tbl>
          <w:p w14:paraId="758ADCEE">
            <w:pPr>
              <w:pStyle w:val="67"/>
              <w:adjustRightInd w:val="0"/>
              <w:snapToGrid w:val="0"/>
              <w:spacing w:before="120" w:beforeLines="50" w:line="360" w:lineRule="auto"/>
              <w:ind w:firstLine="422"/>
              <w:rPr>
                <w:rFonts w:ascii="Times New Roman" w:hAnsi="Times New Roman" w:eastAsia="宋体"/>
                <w:b/>
                <w:bCs/>
                <w:color w:val="auto"/>
                <w:sz w:val="21"/>
                <w:szCs w:val="21"/>
              </w:rPr>
            </w:pPr>
            <w:r>
              <w:rPr>
                <w:rFonts w:ascii="Times New Roman" w:hAnsi="Times New Roman" w:eastAsia="宋体"/>
                <w:b/>
                <w:bCs/>
                <w:color w:val="auto"/>
                <w:sz w:val="21"/>
                <w:szCs w:val="21"/>
              </w:rPr>
              <w:t>（3）碳排放评价</w:t>
            </w:r>
          </w:p>
          <w:p w14:paraId="1F6597B4">
            <w:pPr>
              <w:pStyle w:val="67"/>
              <w:adjustRightInd w:val="0"/>
              <w:snapToGrid w:val="0"/>
              <w:spacing w:line="360" w:lineRule="auto"/>
              <w:ind w:firstLine="420"/>
              <w:jc w:val="both"/>
              <w:rPr>
                <w:rFonts w:ascii="Times New Roman" w:hAnsi="Times New Roman" w:eastAsia="宋体"/>
                <w:color w:val="auto"/>
                <w:sz w:val="21"/>
                <w:szCs w:val="21"/>
              </w:rPr>
            </w:pPr>
            <w:r>
              <w:rPr>
                <w:rFonts w:ascii="Times New Roman" w:hAnsi="Times New Roman" w:eastAsia="宋体"/>
                <w:color w:val="auto"/>
                <w:sz w:val="21"/>
                <w:szCs w:val="21"/>
              </w:rPr>
              <w:t>本项目营运期单位用地的碳排放量为</w:t>
            </w:r>
            <w:r>
              <w:rPr>
                <w:rFonts w:hint="eastAsia" w:ascii="Times New Roman" w:hAnsi="Times New Roman" w:eastAsia="宋体"/>
                <w:color w:val="auto"/>
                <w:sz w:val="21"/>
                <w:szCs w:val="21"/>
              </w:rPr>
              <w:t>.076</w:t>
            </w:r>
            <w:r>
              <w:rPr>
                <w:rFonts w:ascii="Times New Roman" w:hAnsi="Times New Roman" w:eastAsia="宋体"/>
                <w:color w:val="auto"/>
                <w:sz w:val="21"/>
                <w:szCs w:val="21"/>
              </w:rPr>
              <w:t>tCO</w:t>
            </w:r>
            <w:r>
              <w:rPr>
                <w:rFonts w:ascii="Times New Roman" w:hAnsi="Times New Roman" w:eastAsia="宋体"/>
                <w:color w:val="auto"/>
                <w:sz w:val="21"/>
                <w:szCs w:val="21"/>
                <w:vertAlign w:val="subscript"/>
              </w:rPr>
              <w:t>2e</w:t>
            </w:r>
            <w:r>
              <w:rPr>
                <w:rFonts w:ascii="Times New Roman" w:hAnsi="Times New Roman" w:eastAsia="宋体"/>
                <w:color w:val="auto"/>
                <w:sz w:val="21"/>
                <w:szCs w:val="21"/>
              </w:rPr>
              <w:t>/m</w:t>
            </w:r>
            <w:r>
              <w:rPr>
                <w:rFonts w:ascii="Times New Roman" w:hAnsi="Times New Roman" w:eastAsia="宋体"/>
                <w:color w:val="auto"/>
                <w:sz w:val="21"/>
                <w:szCs w:val="21"/>
                <w:vertAlign w:val="superscript"/>
              </w:rPr>
              <w:t>2</w:t>
            </w:r>
            <w:r>
              <w:rPr>
                <w:rFonts w:ascii="Times New Roman" w:hAnsi="Times New Roman" w:eastAsia="宋体"/>
                <w:color w:val="auto"/>
                <w:sz w:val="21"/>
                <w:szCs w:val="21"/>
              </w:rPr>
              <w:t>，为减少碳排放，</w:t>
            </w:r>
            <w:r>
              <w:rPr>
                <w:rFonts w:hint="eastAsia" w:ascii="Times New Roman" w:hAnsi="Times New Roman" w:eastAsia="宋体"/>
                <w:color w:val="auto"/>
                <w:sz w:val="21"/>
                <w:szCs w:val="21"/>
              </w:rPr>
              <w:t>建设单位</w:t>
            </w:r>
            <w:r>
              <w:rPr>
                <w:rFonts w:ascii="Times New Roman" w:hAnsi="Times New Roman" w:eastAsia="宋体"/>
                <w:color w:val="auto"/>
                <w:sz w:val="21"/>
                <w:szCs w:val="21"/>
              </w:rPr>
              <w:t>可采取如下措施：</w:t>
            </w:r>
          </w:p>
          <w:p w14:paraId="239F6CA4">
            <w:pPr>
              <w:pStyle w:val="67"/>
              <w:adjustRightInd w:val="0"/>
              <w:snapToGrid w:val="0"/>
              <w:spacing w:line="360" w:lineRule="auto"/>
              <w:ind w:firstLine="420"/>
              <w:jc w:val="both"/>
              <w:rPr>
                <w:rFonts w:ascii="Times New Roman" w:hAnsi="Times New Roman" w:eastAsia="宋体"/>
                <w:color w:val="auto"/>
                <w:sz w:val="21"/>
                <w:szCs w:val="21"/>
              </w:rPr>
            </w:pPr>
            <w:r>
              <w:rPr>
                <w:rFonts w:ascii="Times New Roman" w:hAnsi="Times New Roman" w:eastAsia="宋体"/>
                <w:color w:val="auto"/>
                <w:sz w:val="21"/>
                <w:szCs w:val="21"/>
              </w:rPr>
              <w:t>①采用更加节能的生产设备、环保设备、辅助设备、生活用电设施等；</w:t>
            </w:r>
          </w:p>
          <w:p w14:paraId="1EA0D05C">
            <w:pPr>
              <w:pStyle w:val="2"/>
              <w:spacing w:after="0" w:line="360" w:lineRule="auto"/>
              <w:ind w:firstLine="420" w:firstLineChars="200"/>
              <w:rPr>
                <w:b/>
                <w:bCs/>
                <w:color w:val="auto"/>
                <w:szCs w:val="21"/>
              </w:rPr>
            </w:pPr>
            <w:r>
              <w:rPr>
                <w:color w:val="auto"/>
                <w:szCs w:val="21"/>
              </w:rPr>
              <w:t>②本项目使用的加热炉耗能比较大，可通过实时关注行业内的发展动态，采用最先进的工艺，降低高耗能设备的使用。</w:t>
            </w:r>
          </w:p>
          <w:p w14:paraId="11077C0D">
            <w:pPr>
              <w:pStyle w:val="2"/>
              <w:spacing w:after="0" w:line="360" w:lineRule="auto"/>
              <w:ind w:firstLine="420" w:firstLineChars="200"/>
              <w:rPr>
                <w:color w:val="auto"/>
                <w:szCs w:val="21"/>
              </w:rPr>
            </w:pPr>
            <w:r>
              <w:rPr>
                <w:color w:val="auto"/>
                <w:szCs w:val="21"/>
              </w:rPr>
              <w:t>③公司成立专门的环保管理系统，促进和管理一切环保减排的目标和政策。</w:t>
            </w:r>
          </w:p>
          <w:p w14:paraId="136F3102">
            <w:pPr>
              <w:adjustRightInd w:val="0"/>
              <w:snapToGrid w:val="0"/>
              <w:spacing w:line="360" w:lineRule="auto"/>
              <w:ind w:firstLine="422" w:firstLineChars="200"/>
              <w:rPr>
                <w:b/>
                <w:bCs/>
                <w:color w:val="auto"/>
                <w:szCs w:val="21"/>
              </w:rPr>
            </w:pPr>
            <w:r>
              <w:rPr>
                <w:rFonts w:hint="eastAsia"/>
                <w:b/>
                <w:bCs/>
                <w:color w:val="auto"/>
                <w:szCs w:val="21"/>
              </w:rPr>
              <w:t>八</w:t>
            </w:r>
            <w:r>
              <w:rPr>
                <w:b/>
                <w:bCs/>
                <w:color w:val="auto"/>
                <w:szCs w:val="21"/>
              </w:rPr>
              <w:t>、环境管理与监测计划</w:t>
            </w:r>
          </w:p>
          <w:p w14:paraId="208426B4">
            <w:pPr>
              <w:adjustRightInd w:val="0"/>
              <w:snapToGrid w:val="0"/>
              <w:spacing w:line="360" w:lineRule="auto"/>
              <w:ind w:firstLine="422" w:firstLineChars="200"/>
              <w:rPr>
                <w:b/>
                <w:color w:val="auto"/>
                <w:szCs w:val="21"/>
              </w:rPr>
            </w:pPr>
            <w:r>
              <w:rPr>
                <w:rFonts w:hint="eastAsia"/>
                <w:b/>
                <w:color w:val="auto"/>
                <w:szCs w:val="21"/>
              </w:rPr>
              <w:t>1、</w:t>
            </w:r>
            <w:r>
              <w:rPr>
                <w:b/>
                <w:color w:val="auto"/>
                <w:szCs w:val="21"/>
              </w:rPr>
              <w:t>环境管理</w:t>
            </w:r>
          </w:p>
          <w:p w14:paraId="23AD5938">
            <w:pPr>
              <w:adjustRightInd w:val="0"/>
              <w:snapToGrid w:val="0"/>
              <w:spacing w:line="360" w:lineRule="auto"/>
              <w:ind w:firstLine="420" w:firstLineChars="200"/>
              <w:rPr>
                <w:bCs/>
                <w:color w:val="auto"/>
                <w:szCs w:val="21"/>
              </w:rPr>
            </w:pPr>
            <w:r>
              <w:rPr>
                <w:rFonts w:hint="eastAsia"/>
                <w:bCs/>
                <w:color w:val="auto"/>
                <w:szCs w:val="21"/>
              </w:rPr>
              <w:t>（1）</w:t>
            </w:r>
            <w:r>
              <w:rPr>
                <w:bCs/>
                <w:color w:val="auto"/>
                <w:szCs w:val="21"/>
              </w:rPr>
              <w:t>环境管理目的：为了缓解项目生产运行期对环境构成的不良影响，在采取环保治理工程措施解决本项目环境影响的同时，必须制定全面的环境管理计划，以保证</w:t>
            </w:r>
            <w:r>
              <w:rPr>
                <w:rFonts w:hint="eastAsia"/>
                <w:color w:val="auto"/>
                <w:szCs w:val="21"/>
              </w:rPr>
              <w:t>建设单位</w:t>
            </w:r>
            <w:r>
              <w:rPr>
                <w:bCs/>
                <w:color w:val="auto"/>
                <w:szCs w:val="21"/>
              </w:rPr>
              <w:t>的环境保护制度化和系统化，保证</w:t>
            </w:r>
            <w:r>
              <w:rPr>
                <w:rFonts w:hint="eastAsia"/>
                <w:color w:val="auto"/>
                <w:szCs w:val="21"/>
              </w:rPr>
              <w:t>建设单位</w:t>
            </w:r>
            <w:r>
              <w:rPr>
                <w:bCs/>
                <w:color w:val="auto"/>
                <w:szCs w:val="21"/>
              </w:rPr>
              <w:t>环保工作持久开展，保证</w:t>
            </w:r>
            <w:r>
              <w:rPr>
                <w:rFonts w:hint="eastAsia"/>
                <w:color w:val="auto"/>
                <w:szCs w:val="21"/>
              </w:rPr>
              <w:t>建设单位</w:t>
            </w:r>
            <w:r>
              <w:rPr>
                <w:bCs/>
                <w:color w:val="auto"/>
                <w:szCs w:val="21"/>
              </w:rPr>
              <w:t>能够持续发展生产。</w:t>
            </w:r>
          </w:p>
          <w:p w14:paraId="143B5EDD">
            <w:pPr>
              <w:spacing w:line="360" w:lineRule="auto"/>
              <w:ind w:firstLine="420" w:firstLineChars="200"/>
              <w:rPr>
                <w:color w:val="auto"/>
                <w:szCs w:val="21"/>
              </w:rPr>
            </w:pPr>
            <w:r>
              <w:rPr>
                <w:rFonts w:hint="eastAsia"/>
                <w:color w:val="auto"/>
                <w:szCs w:val="21"/>
              </w:rPr>
              <w:t>（2）</w:t>
            </w:r>
            <w:r>
              <w:rPr>
                <w:color w:val="auto"/>
                <w:szCs w:val="21"/>
              </w:rPr>
              <w:t>环境管理机构：建设单位重视环境保护工作，</w:t>
            </w:r>
            <w:r>
              <w:rPr>
                <w:rFonts w:hint="eastAsia"/>
                <w:color w:val="auto"/>
                <w:szCs w:val="21"/>
                <w:lang w:val="en-US" w:eastAsia="zh-CN"/>
              </w:rPr>
              <w:t>已</w:t>
            </w:r>
            <w:r>
              <w:rPr>
                <w:color w:val="auto"/>
                <w:szCs w:val="21"/>
              </w:rPr>
              <w:t>设置专门从事环境管理的机构，配备环保人员</w:t>
            </w:r>
            <w:r>
              <w:rPr>
                <w:rFonts w:hint="eastAsia"/>
                <w:color w:val="auto"/>
                <w:szCs w:val="21"/>
                <w:lang w:val="en-US" w:eastAsia="zh-CN"/>
              </w:rPr>
              <w:t>2</w:t>
            </w:r>
            <w:r>
              <w:rPr>
                <w:color w:val="auto"/>
                <w:szCs w:val="21"/>
              </w:rPr>
              <w:t>名，负责环境监督管理工作，同时</w:t>
            </w:r>
            <w:r>
              <w:rPr>
                <w:rFonts w:hint="eastAsia"/>
                <w:color w:val="auto"/>
                <w:szCs w:val="21"/>
                <w:lang w:val="en-US" w:eastAsia="zh-CN"/>
              </w:rPr>
              <w:t>应</w:t>
            </w:r>
            <w:r>
              <w:rPr>
                <w:color w:val="auto"/>
                <w:szCs w:val="21"/>
              </w:rPr>
              <w:t>加强对管理人员的环保培训，不断提高管理水平。</w:t>
            </w:r>
          </w:p>
          <w:p w14:paraId="5B2A51D3">
            <w:pPr>
              <w:spacing w:line="360" w:lineRule="auto"/>
              <w:ind w:firstLine="420" w:firstLineChars="200"/>
              <w:rPr>
                <w:color w:val="auto"/>
                <w:szCs w:val="21"/>
              </w:rPr>
            </w:pPr>
            <w:r>
              <w:rPr>
                <w:rFonts w:hint="eastAsia"/>
                <w:color w:val="auto"/>
                <w:szCs w:val="21"/>
              </w:rPr>
              <w:t>（3）</w:t>
            </w:r>
            <w:r>
              <w:rPr>
                <w:color w:val="auto"/>
                <w:szCs w:val="21"/>
              </w:rPr>
              <w:t>环境管理内容：项目在生产运行过程中为保证环境管理系统的有效运行应制定环境管理方案。</w:t>
            </w:r>
          </w:p>
          <w:p w14:paraId="33ED32A9">
            <w:pPr>
              <w:spacing w:line="360" w:lineRule="auto"/>
              <w:ind w:firstLine="422" w:firstLineChars="200"/>
              <w:rPr>
                <w:b/>
                <w:bCs/>
                <w:color w:val="auto"/>
                <w:szCs w:val="21"/>
              </w:rPr>
            </w:pPr>
            <w:r>
              <w:rPr>
                <w:rFonts w:hint="eastAsia"/>
                <w:b/>
                <w:bCs/>
                <w:color w:val="auto"/>
                <w:szCs w:val="21"/>
              </w:rPr>
              <w:t>2、</w:t>
            </w:r>
            <w:r>
              <w:rPr>
                <w:b/>
                <w:bCs/>
                <w:color w:val="auto"/>
                <w:szCs w:val="21"/>
              </w:rPr>
              <w:t>环境管理制度的建立</w:t>
            </w:r>
          </w:p>
          <w:p w14:paraId="01C6EA4C">
            <w:pPr>
              <w:spacing w:line="360" w:lineRule="auto"/>
              <w:ind w:firstLine="420" w:firstLineChars="200"/>
              <w:rPr>
                <w:rFonts w:hint="eastAsia" w:eastAsia="宋体"/>
                <w:color w:val="auto"/>
                <w:szCs w:val="21"/>
                <w:lang w:eastAsia="zh-CN"/>
              </w:rPr>
            </w:pPr>
            <w:r>
              <w:rPr>
                <w:rFonts w:hint="eastAsia"/>
                <w:color w:val="auto"/>
                <w:szCs w:val="21"/>
              </w:rPr>
              <w:t>（1）</w:t>
            </w:r>
            <w:r>
              <w:rPr>
                <w:color w:val="auto"/>
                <w:szCs w:val="21"/>
              </w:rPr>
              <w:t>污染处理设施的管理制度</w:t>
            </w:r>
          </w:p>
          <w:p w14:paraId="040FC3CD">
            <w:pPr>
              <w:spacing w:line="360" w:lineRule="auto"/>
              <w:ind w:firstLine="420" w:firstLineChars="200"/>
              <w:rPr>
                <w:color w:val="auto"/>
                <w:szCs w:val="21"/>
              </w:rPr>
            </w:pPr>
            <w:r>
              <w:rPr>
                <w:color w:val="auto"/>
                <w:szCs w:val="21"/>
              </w:rPr>
              <w:t>对污染治理设施和管理必须与生产经营活动一起纳入</w:t>
            </w:r>
            <w:r>
              <w:rPr>
                <w:rFonts w:hint="eastAsia"/>
                <w:color w:val="auto"/>
                <w:szCs w:val="21"/>
              </w:rPr>
              <w:t>建设单位</w:t>
            </w:r>
            <w:r>
              <w:rPr>
                <w:color w:val="auto"/>
                <w:szCs w:val="21"/>
              </w:rPr>
              <w:t>的日常管理中，要建立岗位责任制，制定操作规程，建立管理台帐。</w:t>
            </w:r>
          </w:p>
          <w:p w14:paraId="6E71D3F3">
            <w:pPr>
              <w:spacing w:line="360" w:lineRule="auto"/>
              <w:ind w:firstLine="420" w:firstLineChars="200"/>
              <w:rPr>
                <w:color w:val="auto"/>
                <w:szCs w:val="21"/>
              </w:rPr>
            </w:pPr>
            <w:r>
              <w:rPr>
                <w:rFonts w:hint="eastAsia"/>
                <w:color w:val="auto"/>
                <w:szCs w:val="21"/>
              </w:rPr>
              <w:t>（2）</w:t>
            </w:r>
            <w:r>
              <w:rPr>
                <w:color w:val="auto"/>
                <w:szCs w:val="21"/>
              </w:rPr>
              <w:t>奖惩制度</w:t>
            </w:r>
          </w:p>
          <w:p w14:paraId="5593FFBE">
            <w:pPr>
              <w:spacing w:line="360" w:lineRule="auto"/>
              <w:ind w:firstLine="420" w:firstLineChars="200"/>
              <w:rPr>
                <w:color w:val="auto"/>
                <w:szCs w:val="21"/>
              </w:rPr>
            </w:pPr>
            <w:r>
              <w:rPr>
                <w:rFonts w:hint="eastAsia"/>
                <w:color w:val="auto"/>
                <w:szCs w:val="21"/>
              </w:rPr>
              <w:t>建设单位</w:t>
            </w:r>
            <w:r>
              <w:rPr>
                <w:color w:val="auto"/>
                <w:szCs w:val="21"/>
              </w:rPr>
              <w:t>应设置环境保护奖惩制度，对爱护环保设施，节能降耗、改善环境者给予奖励；对不按环保要求管理，造成环保设施损坏、环境污染和资源、能源浪费者予以重罚。</w:t>
            </w:r>
          </w:p>
          <w:p w14:paraId="120BEECB">
            <w:pPr>
              <w:spacing w:line="360" w:lineRule="auto"/>
              <w:ind w:firstLine="420" w:firstLineChars="200"/>
              <w:rPr>
                <w:color w:val="auto"/>
                <w:szCs w:val="21"/>
              </w:rPr>
            </w:pPr>
            <w:r>
              <w:rPr>
                <w:rFonts w:hint="eastAsia"/>
                <w:color w:val="auto"/>
                <w:szCs w:val="21"/>
              </w:rPr>
              <w:t>（3）</w:t>
            </w:r>
            <w:r>
              <w:rPr>
                <w:color w:val="auto"/>
                <w:szCs w:val="21"/>
              </w:rPr>
              <w:t>排污许可制度</w:t>
            </w:r>
          </w:p>
          <w:p w14:paraId="3D5C29DB">
            <w:pPr>
              <w:spacing w:line="360" w:lineRule="auto"/>
              <w:ind w:firstLine="420" w:firstLineChars="200"/>
              <w:rPr>
                <w:color w:val="auto"/>
                <w:szCs w:val="21"/>
              </w:rPr>
            </w:pPr>
            <w:r>
              <w:rPr>
                <w:rFonts w:hint="eastAsia"/>
                <w:color w:val="auto"/>
                <w:szCs w:val="21"/>
              </w:rPr>
              <w:t>建设单位</w:t>
            </w:r>
            <w:r>
              <w:rPr>
                <w:color w:val="auto"/>
                <w:szCs w:val="21"/>
              </w:rPr>
              <w:t>己于</w:t>
            </w:r>
            <w:r>
              <w:rPr>
                <w:rFonts w:hint="eastAsia"/>
                <w:color w:val="auto"/>
                <w:szCs w:val="21"/>
              </w:rPr>
              <w:t>2021年12月28日</w:t>
            </w:r>
            <w:r>
              <w:rPr>
                <w:rFonts w:hint="eastAsia" w:cs="Times New Roman"/>
                <w:color w:val="auto"/>
                <w:sz w:val="21"/>
                <w:szCs w:val="21"/>
                <w:lang w:val="en-US" w:eastAsia="zh-CN"/>
              </w:rPr>
              <w:t>登记</w:t>
            </w:r>
            <w:r>
              <w:rPr>
                <w:color w:val="auto"/>
                <w:szCs w:val="21"/>
              </w:rPr>
              <w:t>排污许可证，证书编号：</w:t>
            </w:r>
            <w:r>
              <w:rPr>
                <w:rFonts w:hint="eastAsia"/>
                <w:color w:val="auto"/>
                <w:szCs w:val="21"/>
              </w:rPr>
              <w:t>91320413MA256BF113001Y</w:t>
            </w:r>
            <w:r>
              <w:rPr>
                <w:color w:val="auto"/>
                <w:szCs w:val="21"/>
              </w:rPr>
              <w:t>，有效期限：</w:t>
            </w:r>
            <w:r>
              <w:rPr>
                <w:rFonts w:hint="default" w:ascii="Times New Roman" w:hAnsi="Times New Roman" w:eastAsia="宋体" w:cs="Times New Roman"/>
                <w:color w:val="auto"/>
                <w:sz w:val="21"/>
                <w:szCs w:val="21"/>
                <w:lang w:val="en-US" w:eastAsia="zh-CN"/>
              </w:rPr>
              <w:t>自2021年12月28日至2026年12月27日止</w:t>
            </w:r>
            <w:r>
              <w:rPr>
                <w:color w:val="auto"/>
                <w:szCs w:val="21"/>
              </w:rPr>
              <w:t>。在排污许可证有效期内，单位基本情况、污染物排放去向、污染物排放执行标准以及采取的污染物防治措施等信息发生变动的，应按规定及时进行变更。</w:t>
            </w:r>
          </w:p>
          <w:p w14:paraId="01DED83C">
            <w:pPr>
              <w:spacing w:line="360" w:lineRule="auto"/>
              <w:ind w:firstLine="422" w:firstLineChars="200"/>
              <w:rPr>
                <w:b/>
                <w:bCs/>
                <w:color w:val="auto"/>
                <w:szCs w:val="21"/>
              </w:rPr>
            </w:pPr>
            <w:r>
              <w:rPr>
                <w:rFonts w:hint="eastAsia"/>
                <w:b/>
                <w:bCs/>
                <w:color w:val="auto"/>
                <w:szCs w:val="21"/>
              </w:rPr>
              <w:t>3、</w:t>
            </w:r>
            <w:r>
              <w:rPr>
                <w:b/>
                <w:bCs/>
                <w:color w:val="auto"/>
                <w:szCs w:val="21"/>
              </w:rPr>
              <w:t>排污口规范化设置</w:t>
            </w:r>
          </w:p>
          <w:p w14:paraId="6281E095">
            <w:pPr>
              <w:spacing w:line="360" w:lineRule="auto"/>
              <w:ind w:firstLine="420" w:firstLineChars="200"/>
              <w:rPr>
                <w:color w:val="auto"/>
                <w:szCs w:val="21"/>
              </w:rPr>
            </w:pPr>
            <w:r>
              <w:rPr>
                <w:color w:val="auto"/>
                <w:szCs w:val="21"/>
              </w:rPr>
              <w:t>按《江苏省排污口设置及规范化整治管理办法》</w:t>
            </w:r>
            <w:r>
              <w:rPr>
                <w:rFonts w:hint="eastAsia"/>
                <w:color w:val="auto"/>
                <w:szCs w:val="21"/>
              </w:rPr>
              <w:t>（</w:t>
            </w:r>
            <w:r>
              <w:rPr>
                <w:color w:val="auto"/>
                <w:szCs w:val="21"/>
              </w:rPr>
              <w:t>苏环控[</w:t>
            </w:r>
            <w:r>
              <w:rPr>
                <w:rFonts w:hint="eastAsia"/>
                <w:color w:val="auto"/>
                <w:szCs w:val="21"/>
              </w:rPr>
              <w:t>19</w:t>
            </w:r>
            <w:r>
              <w:rPr>
                <w:color w:val="auto"/>
                <w:szCs w:val="21"/>
              </w:rPr>
              <w:t>97]122号</w:t>
            </w:r>
            <w:r>
              <w:rPr>
                <w:rFonts w:hint="eastAsia"/>
                <w:color w:val="auto"/>
                <w:szCs w:val="21"/>
              </w:rPr>
              <w:t>）</w:t>
            </w:r>
            <w:r>
              <w:rPr>
                <w:color w:val="auto"/>
                <w:szCs w:val="21"/>
              </w:rPr>
              <w:t>要求，该建设项目废水、废气排放口、固定噪声源扰民处、固废堆放处必须进行规范化设置。</w:t>
            </w:r>
          </w:p>
          <w:p w14:paraId="37139332">
            <w:pPr>
              <w:pStyle w:val="86"/>
              <w:spacing w:line="360" w:lineRule="auto"/>
              <w:ind w:left="480" w:firstLine="0" w:firstLineChars="0"/>
              <w:rPr>
                <w:color w:val="auto"/>
                <w:szCs w:val="21"/>
              </w:rPr>
            </w:pPr>
            <w:r>
              <w:rPr>
                <w:rFonts w:hint="eastAsia"/>
                <w:color w:val="auto"/>
                <w:szCs w:val="21"/>
              </w:rPr>
              <w:t>（1）</w:t>
            </w:r>
            <w:r>
              <w:rPr>
                <w:color w:val="auto"/>
                <w:szCs w:val="21"/>
              </w:rPr>
              <w:t>废水排放口规范化设置</w:t>
            </w:r>
          </w:p>
          <w:p w14:paraId="370FC5A8">
            <w:pPr>
              <w:snapToGrid w:val="0"/>
              <w:spacing w:line="360" w:lineRule="auto"/>
              <w:ind w:firstLine="420" w:firstLineChars="200"/>
              <w:rPr>
                <w:color w:val="auto"/>
                <w:szCs w:val="21"/>
              </w:rPr>
            </w:pPr>
            <w:r>
              <w:rPr>
                <w:color w:val="auto"/>
                <w:szCs w:val="21"/>
              </w:rPr>
              <w:t>本项目依托</w:t>
            </w:r>
            <w:r>
              <w:rPr>
                <w:rFonts w:hint="eastAsia"/>
                <w:color w:val="auto"/>
                <w:szCs w:val="21"/>
                <w:lang w:val="en-US" w:eastAsia="zh-CN"/>
              </w:rPr>
              <w:t>租赁</w:t>
            </w:r>
            <w:r>
              <w:rPr>
                <w:color w:val="auto"/>
                <w:szCs w:val="21"/>
              </w:rPr>
              <w:t>厂区现有1个雨水排放口、1个污水接管口，不另行设置。雨、污排放口已按江苏省环保厅《江苏省排污口设置及规范化整治管理办法》</w:t>
            </w:r>
            <w:r>
              <w:rPr>
                <w:rFonts w:hint="eastAsia"/>
                <w:color w:val="auto"/>
                <w:szCs w:val="21"/>
              </w:rPr>
              <w:t>（</w:t>
            </w:r>
            <w:r>
              <w:rPr>
                <w:color w:val="auto"/>
                <w:szCs w:val="21"/>
              </w:rPr>
              <w:t>苏环控[</w:t>
            </w:r>
            <w:r>
              <w:rPr>
                <w:rFonts w:hint="eastAsia"/>
                <w:color w:val="auto"/>
                <w:szCs w:val="21"/>
              </w:rPr>
              <w:t>19</w:t>
            </w:r>
            <w:r>
              <w:rPr>
                <w:color w:val="auto"/>
                <w:szCs w:val="21"/>
              </w:rPr>
              <w:t>97]122号</w:t>
            </w:r>
            <w:r>
              <w:rPr>
                <w:rFonts w:hint="eastAsia"/>
                <w:color w:val="auto"/>
                <w:szCs w:val="21"/>
              </w:rPr>
              <w:t>）</w:t>
            </w:r>
            <w:r>
              <w:rPr>
                <w:color w:val="auto"/>
                <w:szCs w:val="21"/>
              </w:rPr>
              <w:t>中相关规定进行规范化设置。</w:t>
            </w:r>
          </w:p>
          <w:p w14:paraId="33E9835A">
            <w:pPr>
              <w:spacing w:line="360" w:lineRule="auto"/>
              <w:ind w:firstLine="420" w:firstLineChars="200"/>
              <w:rPr>
                <w:color w:val="auto"/>
                <w:szCs w:val="21"/>
              </w:rPr>
            </w:pPr>
            <w:r>
              <w:rPr>
                <w:rFonts w:hint="eastAsia"/>
                <w:color w:val="auto"/>
                <w:szCs w:val="21"/>
              </w:rPr>
              <w:t>（</w:t>
            </w:r>
            <w:r>
              <w:rPr>
                <w:rFonts w:hint="eastAsia"/>
                <w:color w:val="auto"/>
                <w:szCs w:val="21"/>
                <w:lang w:val="en-US" w:eastAsia="zh-CN"/>
              </w:rPr>
              <w:t>2</w:t>
            </w:r>
            <w:r>
              <w:rPr>
                <w:rFonts w:hint="eastAsia"/>
                <w:color w:val="auto"/>
                <w:szCs w:val="21"/>
              </w:rPr>
              <w:t>）</w:t>
            </w:r>
            <w:r>
              <w:rPr>
                <w:color w:val="auto"/>
                <w:szCs w:val="21"/>
              </w:rPr>
              <w:t>固废堆放规范化整治</w:t>
            </w:r>
          </w:p>
          <w:p w14:paraId="4CC2B1CA">
            <w:pPr>
              <w:spacing w:line="360" w:lineRule="auto"/>
              <w:ind w:firstLine="420" w:firstLineChars="200"/>
              <w:rPr>
                <w:color w:val="auto"/>
                <w:szCs w:val="21"/>
              </w:rPr>
            </w:pPr>
            <w:r>
              <w:rPr>
                <w:color w:val="auto"/>
                <w:szCs w:val="21"/>
              </w:rPr>
              <w:t>本项目</w:t>
            </w:r>
            <w:r>
              <w:rPr>
                <w:rFonts w:hint="eastAsia"/>
                <w:color w:val="auto"/>
                <w:szCs w:val="21"/>
                <w:lang w:val="en-US" w:eastAsia="zh-CN"/>
              </w:rPr>
              <w:t>新建</w:t>
            </w:r>
            <w:r>
              <w:rPr>
                <w:color w:val="auto"/>
                <w:szCs w:val="21"/>
              </w:rPr>
              <w:t>1个危废仓库、1个一般固废仓库</w:t>
            </w:r>
            <w:r>
              <w:rPr>
                <w:rFonts w:hint="eastAsia"/>
                <w:color w:val="auto"/>
                <w:szCs w:val="21"/>
                <w:lang w:eastAsia="zh-CN"/>
              </w:rPr>
              <w:t>、</w:t>
            </w:r>
            <w:r>
              <w:rPr>
                <w:rFonts w:hint="eastAsia"/>
                <w:color w:val="auto"/>
                <w:szCs w:val="21"/>
                <w:lang w:val="en-US" w:eastAsia="zh-CN"/>
              </w:rPr>
              <w:t>2个排气筒</w:t>
            </w:r>
            <w:r>
              <w:rPr>
                <w:color w:val="auto"/>
                <w:szCs w:val="21"/>
              </w:rPr>
              <w:t>，应设置环境保护图形标志牌，将工业固废等分开堆放，做到防扬散、防渗漏，确保不对周围环境形成二次污染。环境保护图形标志的形状及颜色见表4-</w:t>
            </w:r>
            <w:r>
              <w:rPr>
                <w:rFonts w:hint="eastAsia"/>
                <w:color w:val="auto"/>
                <w:szCs w:val="21"/>
                <w:lang w:val="en-US" w:eastAsia="zh-CN"/>
              </w:rPr>
              <w:t>36</w:t>
            </w:r>
            <w:r>
              <w:rPr>
                <w:color w:val="auto"/>
                <w:szCs w:val="21"/>
              </w:rPr>
              <w:t>，环境保护图形符号见表4-</w:t>
            </w:r>
            <w:r>
              <w:rPr>
                <w:rFonts w:hint="eastAsia"/>
                <w:color w:val="auto"/>
                <w:szCs w:val="21"/>
                <w:lang w:val="en-US" w:eastAsia="zh-CN"/>
              </w:rPr>
              <w:t>37</w:t>
            </w:r>
            <w:r>
              <w:rPr>
                <w:color w:val="auto"/>
                <w:szCs w:val="21"/>
              </w:rPr>
              <w:t>，危险废物识别标识见表</w:t>
            </w:r>
            <w:r>
              <w:rPr>
                <w:rFonts w:hint="eastAsia"/>
                <w:color w:val="auto"/>
                <w:szCs w:val="21"/>
                <w:lang w:val="en-US" w:eastAsia="zh-CN"/>
              </w:rPr>
              <w:t>4</w:t>
            </w:r>
            <w:r>
              <w:rPr>
                <w:color w:val="auto"/>
                <w:szCs w:val="21"/>
              </w:rPr>
              <w:t>-</w:t>
            </w:r>
            <w:r>
              <w:rPr>
                <w:rFonts w:hint="eastAsia"/>
                <w:color w:val="auto"/>
                <w:szCs w:val="21"/>
                <w:lang w:val="en-US" w:eastAsia="zh-CN"/>
              </w:rPr>
              <w:t>38</w:t>
            </w:r>
            <w:r>
              <w:rPr>
                <w:color w:val="auto"/>
                <w:szCs w:val="21"/>
              </w:rPr>
              <w:t>。</w:t>
            </w:r>
          </w:p>
          <w:p w14:paraId="3B596884">
            <w:pPr>
              <w:jc w:val="center"/>
              <w:rPr>
                <w:b/>
                <w:color w:val="auto"/>
                <w:szCs w:val="21"/>
              </w:rPr>
            </w:pPr>
            <w:r>
              <w:rPr>
                <w:b/>
                <w:color w:val="auto"/>
                <w:szCs w:val="21"/>
              </w:rPr>
              <w:t>表4-</w:t>
            </w:r>
            <w:r>
              <w:rPr>
                <w:rFonts w:hint="eastAsia"/>
                <w:b/>
                <w:color w:val="auto"/>
                <w:szCs w:val="21"/>
                <w:lang w:val="en-US" w:eastAsia="zh-CN"/>
              </w:rPr>
              <w:t>36</w:t>
            </w:r>
            <w:r>
              <w:rPr>
                <w:b/>
                <w:color w:val="auto"/>
                <w:szCs w:val="21"/>
              </w:rPr>
              <w:t xml:space="preserve"> 环境保护图形标志的形状及颜色表</w:t>
            </w:r>
          </w:p>
          <w:tbl>
            <w:tblPr>
              <w:tblStyle w:val="2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061"/>
              <w:gridCol w:w="1981"/>
              <w:gridCol w:w="1845"/>
              <w:gridCol w:w="1684"/>
              <w:gridCol w:w="1809"/>
            </w:tblGrid>
            <w:tr w14:paraId="53ED81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33" w:type="pct"/>
                  <w:noWrap w:val="0"/>
                  <w:vAlign w:val="center"/>
                </w:tcPr>
                <w:p w14:paraId="37F4307F">
                  <w:pPr>
                    <w:adjustRightInd w:val="0"/>
                    <w:snapToGrid w:val="0"/>
                    <w:jc w:val="center"/>
                    <w:rPr>
                      <w:b/>
                      <w:color w:val="auto"/>
                      <w:szCs w:val="21"/>
                    </w:rPr>
                  </w:pPr>
                  <w:r>
                    <w:rPr>
                      <w:b/>
                      <w:color w:val="auto"/>
                      <w:szCs w:val="21"/>
                    </w:rPr>
                    <w:t>序号</w:t>
                  </w:r>
                </w:p>
              </w:tc>
              <w:tc>
                <w:tcPr>
                  <w:tcW w:w="1182" w:type="pct"/>
                  <w:noWrap w:val="0"/>
                  <w:vAlign w:val="center"/>
                </w:tcPr>
                <w:p w14:paraId="3CFECDBA">
                  <w:pPr>
                    <w:adjustRightInd w:val="0"/>
                    <w:snapToGrid w:val="0"/>
                    <w:jc w:val="center"/>
                    <w:rPr>
                      <w:b/>
                      <w:color w:val="auto"/>
                      <w:szCs w:val="21"/>
                    </w:rPr>
                  </w:pPr>
                  <w:r>
                    <w:rPr>
                      <w:b/>
                      <w:color w:val="auto"/>
                      <w:szCs w:val="21"/>
                    </w:rPr>
                    <w:t>标志名称</w:t>
                  </w:r>
                </w:p>
              </w:tc>
              <w:tc>
                <w:tcPr>
                  <w:tcW w:w="1101" w:type="pct"/>
                  <w:noWrap w:val="0"/>
                  <w:vAlign w:val="center"/>
                </w:tcPr>
                <w:p w14:paraId="452EE04F">
                  <w:pPr>
                    <w:adjustRightInd w:val="0"/>
                    <w:snapToGrid w:val="0"/>
                    <w:jc w:val="center"/>
                    <w:rPr>
                      <w:b/>
                      <w:color w:val="auto"/>
                      <w:szCs w:val="21"/>
                    </w:rPr>
                  </w:pPr>
                  <w:r>
                    <w:rPr>
                      <w:b/>
                      <w:color w:val="auto"/>
                      <w:szCs w:val="21"/>
                    </w:rPr>
                    <w:t>形状</w:t>
                  </w:r>
                </w:p>
              </w:tc>
              <w:tc>
                <w:tcPr>
                  <w:tcW w:w="1005" w:type="pct"/>
                  <w:noWrap w:val="0"/>
                  <w:vAlign w:val="center"/>
                </w:tcPr>
                <w:p w14:paraId="6B68EBAE">
                  <w:pPr>
                    <w:adjustRightInd w:val="0"/>
                    <w:snapToGrid w:val="0"/>
                    <w:jc w:val="center"/>
                    <w:rPr>
                      <w:b/>
                      <w:color w:val="auto"/>
                      <w:szCs w:val="21"/>
                    </w:rPr>
                  </w:pPr>
                  <w:r>
                    <w:rPr>
                      <w:b/>
                      <w:color w:val="auto"/>
                      <w:szCs w:val="21"/>
                    </w:rPr>
                    <w:t>背景颜色</w:t>
                  </w:r>
                </w:p>
              </w:tc>
              <w:tc>
                <w:tcPr>
                  <w:tcW w:w="1079" w:type="pct"/>
                  <w:noWrap w:val="0"/>
                  <w:vAlign w:val="center"/>
                </w:tcPr>
                <w:p w14:paraId="28D5E0BB">
                  <w:pPr>
                    <w:adjustRightInd w:val="0"/>
                    <w:snapToGrid w:val="0"/>
                    <w:jc w:val="center"/>
                    <w:rPr>
                      <w:b/>
                      <w:color w:val="auto"/>
                      <w:szCs w:val="21"/>
                    </w:rPr>
                  </w:pPr>
                  <w:r>
                    <w:rPr>
                      <w:b/>
                      <w:color w:val="auto"/>
                      <w:szCs w:val="21"/>
                    </w:rPr>
                    <w:t>图形颜色</w:t>
                  </w:r>
                </w:p>
              </w:tc>
            </w:tr>
            <w:tr w14:paraId="75127A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33" w:type="pct"/>
                  <w:noWrap w:val="0"/>
                  <w:vAlign w:val="center"/>
                </w:tcPr>
                <w:p w14:paraId="199A7E06">
                  <w:pPr>
                    <w:jc w:val="center"/>
                    <w:rPr>
                      <w:color w:val="auto"/>
                      <w:szCs w:val="21"/>
                    </w:rPr>
                  </w:pPr>
                  <w:r>
                    <w:rPr>
                      <w:color w:val="auto"/>
                      <w:szCs w:val="21"/>
                    </w:rPr>
                    <w:t>1</w:t>
                  </w:r>
                </w:p>
              </w:tc>
              <w:tc>
                <w:tcPr>
                  <w:tcW w:w="1182" w:type="pct"/>
                  <w:noWrap w:val="0"/>
                  <w:vAlign w:val="center"/>
                </w:tcPr>
                <w:p w14:paraId="3F27C4AC">
                  <w:pPr>
                    <w:jc w:val="center"/>
                    <w:rPr>
                      <w:color w:val="auto"/>
                      <w:szCs w:val="21"/>
                    </w:rPr>
                  </w:pPr>
                  <w:r>
                    <w:rPr>
                      <w:color w:val="auto"/>
                      <w:szCs w:val="21"/>
                    </w:rPr>
                    <w:t>警告标志</w:t>
                  </w:r>
                </w:p>
              </w:tc>
              <w:tc>
                <w:tcPr>
                  <w:tcW w:w="1101" w:type="pct"/>
                  <w:noWrap w:val="0"/>
                  <w:vAlign w:val="center"/>
                </w:tcPr>
                <w:p w14:paraId="69876923">
                  <w:pPr>
                    <w:jc w:val="center"/>
                    <w:rPr>
                      <w:color w:val="auto"/>
                      <w:szCs w:val="21"/>
                    </w:rPr>
                  </w:pPr>
                  <w:r>
                    <w:rPr>
                      <w:color w:val="auto"/>
                      <w:szCs w:val="21"/>
                    </w:rPr>
                    <w:t>三角形边框</w:t>
                  </w:r>
                </w:p>
              </w:tc>
              <w:tc>
                <w:tcPr>
                  <w:tcW w:w="1005" w:type="pct"/>
                  <w:noWrap w:val="0"/>
                  <w:vAlign w:val="center"/>
                </w:tcPr>
                <w:p w14:paraId="189C9D76">
                  <w:pPr>
                    <w:jc w:val="center"/>
                    <w:rPr>
                      <w:color w:val="auto"/>
                      <w:szCs w:val="21"/>
                    </w:rPr>
                  </w:pPr>
                  <w:r>
                    <w:rPr>
                      <w:color w:val="auto"/>
                      <w:szCs w:val="21"/>
                    </w:rPr>
                    <w:t>黄色</w:t>
                  </w:r>
                </w:p>
              </w:tc>
              <w:tc>
                <w:tcPr>
                  <w:tcW w:w="1079" w:type="pct"/>
                  <w:noWrap w:val="0"/>
                  <w:vAlign w:val="center"/>
                </w:tcPr>
                <w:p w14:paraId="447E386F">
                  <w:pPr>
                    <w:jc w:val="center"/>
                    <w:rPr>
                      <w:color w:val="auto"/>
                      <w:szCs w:val="21"/>
                    </w:rPr>
                  </w:pPr>
                  <w:r>
                    <w:rPr>
                      <w:color w:val="auto"/>
                      <w:szCs w:val="21"/>
                    </w:rPr>
                    <w:t>黑色</w:t>
                  </w:r>
                </w:p>
              </w:tc>
            </w:tr>
            <w:tr w14:paraId="134894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33" w:type="pct"/>
                  <w:noWrap w:val="0"/>
                  <w:vAlign w:val="center"/>
                </w:tcPr>
                <w:p w14:paraId="7F3EE36D">
                  <w:pPr>
                    <w:jc w:val="center"/>
                    <w:rPr>
                      <w:color w:val="auto"/>
                      <w:szCs w:val="21"/>
                    </w:rPr>
                  </w:pPr>
                  <w:r>
                    <w:rPr>
                      <w:color w:val="auto"/>
                      <w:szCs w:val="21"/>
                    </w:rPr>
                    <w:t>2</w:t>
                  </w:r>
                </w:p>
              </w:tc>
              <w:tc>
                <w:tcPr>
                  <w:tcW w:w="1182" w:type="pct"/>
                  <w:noWrap w:val="0"/>
                  <w:vAlign w:val="center"/>
                </w:tcPr>
                <w:p w14:paraId="0758C8BA">
                  <w:pPr>
                    <w:jc w:val="center"/>
                    <w:rPr>
                      <w:color w:val="auto"/>
                      <w:szCs w:val="21"/>
                    </w:rPr>
                  </w:pPr>
                  <w:r>
                    <w:rPr>
                      <w:color w:val="auto"/>
                      <w:szCs w:val="21"/>
                    </w:rPr>
                    <w:t>提示标志</w:t>
                  </w:r>
                </w:p>
              </w:tc>
              <w:tc>
                <w:tcPr>
                  <w:tcW w:w="1101" w:type="pct"/>
                  <w:noWrap w:val="0"/>
                  <w:vAlign w:val="center"/>
                </w:tcPr>
                <w:p w14:paraId="0D726F67">
                  <w:pPr>
                    <w:jc w:val="center"/>
                    <w:rPr>
                      <w:color w:val="auto"/>
                      <w:szCs w:val="21"/>
                    </w:rPr>
                  </w:pPr>
                  <w:r>
                    <w:rPr>
                      <w:color w:val="auto"/>
                      <w:szCs w:val="21"/>
                    </w:rPr>
                    <w:t>正方形边框</w:t>
                  </w:r>
                </w:p>
              </w:tc>
              <w:tc>
                <w:tcPr>
                  <w:tcW w:w="1005" w:type="pct"/>
                  <w:noWrap w:val="0"/>
                  <w:vAlign w:val="center"/>
                </w:tcPr>
                <w:p w14:paraId="6ADCFB30">
                  <w:pPr>
                    <w:jc w:val="center"/>
                    <w:rPr>
                      <w:color w:val="auto"/>
                      <w:szCs w:val="21"/>
                    </w:rPr>
                  </w:pPr>
                  <w:r>
                    <w:rPr>
                      <w:color w:val="auto"/>
                      <w:szCs w:val="21"/>
                    </w:rPr>
                    <w:t>绿色</w:t>
                  </w:r>
                </w:p>
              </w:tc>
              <w:tc>
                <w:tcPr>
                  <w:tcW w:w="1079" w:type="pct"/>
                  <w:noWrap w:val="0"/>
                  <w:vAlign w:val="center"/>
                </w:tcPr>
                <w:p w14:paraId="6806FDE9">
                  <w:pPr>
                    <w:jc w:val="center"/>
                    <w:rPr>
                      <w:color w:val="auto"/>
                      <w:szCs w:val="21"/>
                    </w:rPr>
                  </w:pPr>
                  <w:r>
                    <w:rPr>
                      <w:color w:val="auto"/>
                      <w:szCs w:val="21"/>
                    </w:rPr>
                    <w:t>白色</w:t>
                  </w:r>
                </w:p>
              </w:tc>
            </w:tr>
          </w:tbl>
          <w:p w14:paraId="46F6BAA6">
            <w:pPr>
              <w:spacing w:before="120" w:beforeLines="50"/>
              <w:jc w:val="center"/>
              <w:rPr>
                <w:b/>
                <w:color w:val="auto"/>
                <w:szCs w:val="21"/>
              </w:rPr>
            </w:pPr>
            <w:r>
              <w:rPr>
                <w:b/>
                <w:color w:val="auto"/>
                <w:szCs w:val="21"/>
              </w:rPr>
              <w:t>表4-</w:t>
            </w:r>
            <w:r>
              <w:rPr>
                <w:rFonts w:hint="eastAsia"/>
                <w:b/>
                <w:color w:val="auto"/>
                <w:szCs w:val="21"/>
                <w:lang w:val="en-US" w:eastAsia="zh-CN"/>
              </w:rPr>
              <w:t>37</w:t>
            </w:r>
            <w:r>
              <w:rPr>
                <w:b/>
                <w:color w:val="auto"/>
                <w:szCs w:val="21"/>
              </w:rPr>
              <w:t xml:space="preserve"> 环境保护图形符号一览表</w:t>
            </w:r>
          </w:p>
          <w:tbl>
            <w:tblPr>
              <w:tblStyle w:val="2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059"/>
              <w:gridCol w:w="1637"/>
              <w:gridCol w:w="1736"/>
              <w:gridCol w:w="1429"/>
              <w:gridCol w:w="2519"/>
            </w:tblGrid>
            <w:tr w14:paraId="283D93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1" w:hRule="atLeast"/>
              </w:trPr>
              <w:tc>
                <w:tcPr>
                  <w:tcW w:w="632" w:type="pct"/>
                  <w:noWrap w:val="0"/>
                  <w:vAlign w:val="center"/>
                </w:tcPr>
                <w:p w14:paraId="3CFFBA7F">
                  <w:pPr>
                    <w:jc w:val="center"/>
                    <w:rPr>
                      <w:b/>
                      <w:bCs/>
                      <w:color w:val="auto"/>
                      <w:szCs w:val="21"/>
                    </w:rPr>
                  </w:pPr>
                  <w:r>
                    <w:rPr>
                      <w:b/>
                      <w:bCs/>
                      <w:color w:val="auto"/>
                      <w:szCs w:val="21"/>
                    </w:rPr>
                    <w:t>序号</w:t>
                  </w:r>
                </w:p>
              </w:tc>
              <w:tc>
                <w:tcPr>
                  <w:tcW w:w="976" w:type="pct"/>
                  <w:noWrap w:val="0"/>
                  <w:vAlign w:val="center"/>
                </w:tcPr>
                <w:p w14:paraId="38A326AE">
                  <w:pPr>
                    <w:jc w:val="center"/>
                    <w:rPr>
                      <w:b/>
                      <w:bCs/>
                      <w:color w:val="auto"/>
                      <w:szCs w:val="21"/>
                    </w:rPr>
                  </w:pPr>
                  <w:r>
                    <w:rPr>
                      <w:b/>
                      <w:bCs/>
                      <w:color w:val="auto"/>
                      <w:szCs w:val="21"/>
                    </w:rPr>
                    <w:t>提示图形符号</w:t>
                  </w:r>
                </w:p>
              </w:tc>
              <w:tc>
                <w:tcPr>
                  <w:tcW w:w="1035" w:type="pct"/>
                  <w:noWrap w:val="0"/>
                  <w:vAlign w:val="center"/>
                </w:tcPr>
                <w:p w14:paraId="510C1117">
                  <w:pPr>
                    <w:jc w:val="center"/>
                    <w:rPr>
                      <w:b/>
                      <w:bCs/>
                      <w:color w:val="auto"/>
                      <w:szCs w:val="21"/>
                    </w:rPr>
                  </w:pPr>
                  <w:r>
                    <w:rPr>
                      <w:b/>
                      <w:bCs/>
                      <w:color w:val="auto"/>
                      <w:szCs w:val="21"/>
                    </w:rPr>
                    <w:t>警告图形符号</w:t>
                  </w:r>
                </w:p>
              </w:tc>
              <w:tc>
                <w:tcPr>
                  <w:tcW w:w="852" w:type="pct"/>
                  <w:noWrap w:val="0"/>
                  <w:vAlign w:val="center"/>
                </w:tcPr>
                <w:p w14:paraId="63FD97D1">
                  <w:pPr>
                    <w:jc w:val="center"/>
                    <w:rPr>
                      <w:b/>
                      <w:bCs/>
                      <w:color w:val="auto"/>
                      <w:szCs w:val="21"/>
                    </w:rPr>
                  </w:pPr>
                  <w:r>
                    <w:rPr>
                      <w:b/>
                      <w:bCs/>
                      <w:color w:val="auto"/>
                      <w:szCs w:val="21"/>
                    </w:rPr>
                    <w:t>名称</w:t>
                  </w:r>
                </w:p>
              </w:tc>
              <w:tc>
                <w:tcPr>
                  <w:tcW w:w="1502" w:type="pct"/>
                  <w:noWrap w:val="0"/>
                  <w:vAlign w:val="center"/>
                </w:tcPr>
                <w:p w14:paraId="27BC5BAB">
                  <w:pPr>
                    <w:jc w:val="center"/>
                    <w:rPr>
                      <w:b/>
                      <w:bCs/>
                      <w:color w:val="auto"/>
                      <w:szCs w:val="21"/>
                    </w:rPr>
                  </w:pPr>
                  <w:r>
                    <w:rPr>
                      <w:b/>
                      <w:bCs/>
                      <w:color w:val="auto"/>
                      <w:szCs w:val="21"/>
                    </w:rPr>
                    <w:t>功能</w:t>
                  </w:r>
                </w:p>
              </w:tc>
            </w:tr>
            <w:tr w14:paraId="4E4C54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75" w:hRule="atLeast"/>
              </w:trPr>
              <w:tc>
                <w:tcPr>
                  <w:tcW w:w="632" w:type="pct"/>
                  <w:noWrap w:val="0"/>
                  <w:vAlign w:val="center"/>
                </w:tcPr>
                <w:p w14:paraId="1BB5E3FD">
                  <w:pPr>
                    <w:jc w:val="center"/>
                    <w:rPr>
                      <w:color w:val="auto"/>
                      <w:szCs w:val="21"/>
                    </w:rPr>
                  </w:pPr>
                  <w:r>
                    <w:rPr>
                      <w:color w:val="auto"/>
                      <w:szCs w:val="21"/>
                    </w:rPr>
                    <w:t>2</w:t>
                  </w:r>
                </w:p>
              </w:tc>
              <w:tc>
                <w:tcPr>
                  <w:tcW w:w="976" w:type="pct"/>
                  <w:noWrap w:val="0"/>
                  <w:vAlign w:val="center"/>
                </w:tcPr>
                <w:p w14:paraId="7685C68A">
                  <w:pPr>
                    <w:jc w:val="center"/>
                    <w:rPr>
                      <w:color w:val="auto"/>
                      <w:szCs w:val="21"/>
                    </w:rPr>
                  </w:pPr>
                  <w:r>
                    <w:rPr>
                      <w:color w:val="auto"/>
                      <w:szCs w:val="21"/>
                    </w:rPr>
                    <w:drawing>
                      <wp:inline distT="0" distB="0" distL="114300" distR="114300">
                        <wp:extent cx="682625" cy="668655"/>
                        <wp:effectExtent l="0" t="0" r="3175" b="17145"/>
                        <wp:docPr id="4" name="图片 33"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3" descr="wps4"/>
                                <pic:cNvPicPr>
                                  <a:picLocks noChangeAspect="1"/>
                                </pic:cNvPicPr>
                              </pic:nvPicPr>
                              <pic:blipFill>
                                <a:blip r:embed="rId27"/>
                                <a:stretch>
                                  <a:fillRect/>
                                </a:stretch>
                              </pic:blipFill>
                              <pic:spPr>
                                <a:xfrm>
                                  <a:off x="0" y="0"/>
                                  <a:ext cx="682625" cy="668655"/>
                                </a:xfrm>
                                <a:prstGeom prst="rect">
                                  <a:avLst/>
                                </a:prstGeom>
                                <a:noFill/>
                                <a:ln>
                                  <a:noFill/>
                                </a:ln>
                              </pic:spPr>
                            </pic:pic>
                          </a:graphicData>
                        </a:graphic>
                      </wp:inline>
                    </w:drawing>
                  </w:r>
                </w:p>
              </w:tc>
              <w:tc>
                <w:tcPr>
                  <w:tcW w:w="1035" w:type="pct"/>
                  <w:noWrap w:val="0"/>
                  <w:vAlign w:val="center"/>
                </w:tcPr>
                <w:p w14:paraId="684A6A1F">
                  <w:pPr>
                    <w:jc w:val="center"/>
                    <w:rPr>
                      <w:color w:val="auto"/>
                      <w:szCs w:val="21"/>
                    </w:rPr>
                  </w:pPr>
                  <w:r>
                    <w:rPr>
                      <w:color w:val="auto"/>
                      <w:szCs w:val="21"/>
                    </w:rPr>
                    <w:drawing>
                      <wp:inline distT="0" distB="0" distL="114300" distR="114300">
                        <wp:extent cx="723265" cy="614045"/>
                        <wp:effectExtent l="0" t="0" r="635" b="14605"/>
                        <wp:docPr id="5" name="图片 36" descr="wp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6" descr="wps5"/>
                                <pic:cNvPicPr>
                                  <a:picLocks noChangeAspect="1"/>
                                </pic:cNvPicPr>
                              </pic:nvPicPr>
                              <pic:blipFill>
                                <a:blip r:embed="rId28"/>
                                <a:stretch>
                                  <a:fillRect/>
                                </a:stretch>
                              </pic:blipFill>
                              <pic:spPr>
                                <a:xfrm>
                                  <a:off x="0" y="0"/>
                                  <a:ext cx="723265" cy="614045"/>
                                </a:xfrm>
                                <a:prstGeom prst="rect">
                                  <a:avLst/>
                                </a:prstGeom>
                                <a:noFill/>
                                <a:ln>
                                  <a:noFill/>
                                </a:ln>
                              </pic:spPr>
                            </pic:pic>
                          </a:graphicData>
                        </a:graphic>
                      </wp:inline>
                    </w:drawing>
                  </w:r>
                </w:p>
              </w:tc>
              <w:tc>
                <w:tcPr>
                  <w:tcW w:w="852" w:type="pct"/>
                  <w:noWrap w:val="0"/>
                  <w:vAlign w:val="center"/>
                </w:tcPr>
                <w:p w14:paraId="42B0DBB6">
                  <w:pPr>
                    <w:jc w:val="center"/>
                    <w:rPr>
                      <w:color w:val="auto"/>
                      <w:szCs w:val="21"/>
                    </w:rPr>
                  </w:pPr>
                  <w:r>
                    <w:rPr>
                      <w:color w:val="auto"/>
                      <w:szCs w:val="21"/>
                    </w:rPr>
                    <w:t>噪声排放源</w:t>
                  </w:r>
                </w:p>
              </w:tc>
              <w:tc>
                <w:tcPr>
                  <w:tcW w:w="1502" w:type="pct"/>
                  <w:noWrap w:val="0"/>
                  <w:vAlign w:val="center"/>
                </w:tcPr>
                <w:p w14:paraId="636BC513">
                  <w:pPr>
                    <w:jc w:val="center"/>
                    <w:rPr>
                      <w:color w:val="auto"/>
                      <w:szCs w:val="21"/>
                    </w:rPr>
                  </w:pPr>
                  <w:r>
                    <w:rPr>
                      <w:color w:val="auto"/>
                      <w:szCs w:val="21"/>
                    </w:rPr>
                    <w:t>表示噪声向外环境排放</w:t>
                  </w:r>
                </w:p>
              </w:tc>
            </w:tr>
          </w:tbl>
          <w:p w14:paraId="2BF5B545">
            <w:pPr>
              <w:adjustRightInd w:val="0"/>
              <w:snapToGrid w:val="0"/>
              <w:spacing w:before="120" w:beforeLines="50"/>
              <w:jc w:val="center"/>
              <w:rPr>
                <w:b/>
                <w:bCs/>
                <w:color w:val="auto"/>
                <w:szCs w:val="21"/>
              </w:rPr>
            </w:pPr>
          </w:p>
          <w:p w14:paraId="60DED69E">
            <w:pPr>
              <w:adjustRightInd w:val="0"/>
              <w:snapToGrid w:val="0"/>
              <w:spacing w:before="120" w:beforeLines="50"/>
              <w:jc w:val="center"/>
              <w:rPr>
                <w:b/>
                <w:bCs/>
                <w:color w:val="auto"/>
                <w:szCs w:val="21"/>
              </w:rPr>
            </w:pPr>
          </w:p>
          <w:p w14:paraId="178DF9B4">
            <w:pPr>
              <w:adjustRightInd w:val="0"/>
              <w:snapToGrid w:val="0"/>
              <w:spacing w:before="120" w:beforeLines="50"/>
              <w:jc w:val="center"/>
              <w:rPr>
                <w:b/>
                <w:bCs/>
                <w:color w:val="auto"/>
                <w:szCs w:val="21"/>
              </w:rPr>
            </w:pPr>
          </w:p>
          <w:p w14:paraId="2B793945">
            <w:pPr>
              <w:adjustRightInd w:val="0"/>
              <w:snapToGrid w:val="0"/>
              <w:spacing w:before="120" w:beforeLines="50"/>
              <w:jc w:val="center"/>
              <w:rPr>
                <w:b/>
                <w:bCs/>
                <w:color w:val="auto"/>
                <w:szCs w:val="21"/>
              </w:rPr>
            </w:pPr>
          </w:p>
          <w:p w14:paraId="7821F302">
            <w:pPr>
              <w:adjustRightInd w:val="0"/>
              <w:snapToGrid w:val="0"/>
              <w:spacing w:before="120" w:beforeLines="50"/>
              <w:jc w:val="center"/>
              <w:rPr>
                <w:b/>
                <w:bCs/>
                <w:color w:val="auto"/>
                <w:szCs w:val="21"/>
              </w:rPr>
            </w:pPr>
          </w:p>
          <w:p w14:paraId="0C691898">
            <w:pPr>
              <w:adjustRightInd w:val="0"/>
              <w:snapToGrid w:val="0"/>
              <w:spacing w:before="120" w:beforeLines="50"/>
              <w:jc w:val="center"/>
              <w:rPr>
                <w:b/>
                <w:bCs/>
                <w:color w:val="auto"/>
                <w:szCs w:val="21"/>
              </w:rPr>
            </w:pPr>
          </w:p>
          <w:p w14:paraId="2C0984CE">
            <w:pPr>
              <w:adjustRightInd w:val="0"/>
              <w:snapToGrid w:val="0"/>
              <w:spacing w:before="120" w:beforeLines="50"/>
              <w:jc w:val="center"/>
              <w:rPr>
                <w:b/>
                <w:bCs/>
                <w:color w:val="auto"/>
                <w:szCs w:val="21"/>
              </w:rPr>
            </w:pPr>
          </w:p>
          <w:p w14:paraId="20889E75">
            <w:pPr>
              <w:adjustRightInd w:val="0"/>
              <w:snapToGrid w:val="0"/>
              <w:spacing w:before="120" w:beforeLines="50"/>
              <w:jc w:val="center"/>
              <w:rPr>
                <w:b/>
                <w:bCs/>
                <w:color w:val="auto"/>
                <w:szCs w:val="21"/>
              </w:rPr>
            </w:pPr>
          </w:p>
          <w:p w14:paraId="5E83DA3A">
            <w:pPr>
              <w:adjustRightInd w:val="0"/>
              <w:snapToGrid w:val="0"/>
              <w:spacing w:before="120" w:beforeLines="50"/>
              <w:jc w:val="center"/>
              <w:rPr>
                <w:b/>
                <w:bCs/>
                <w:color w:val="auto"/>
                <w:szCs w:val="21"/>
              </w:rPr>
            </w:pPr>
          </w:p>
          <w:p w14:paraId="687E7DE0">
            <w:pPr>
              <w:adjustRightInd w:val="0"/>
              <w:snapToGrid w:val="0"/>
              <w:spacing w:before="120" w:beforeLines="50"/>
              <w:jc w:val="center"/>
              <w:rPr>
                <w:b/>
                <w:bCs/>
                <w:color w:val="auto"/>
                <w:szCs w:val="21"/>
              </w:rPr>
            </w:pPr>
            <w:r>
              <w:rPr>
                <w:b/>
                <w:bCs/>
                <w:color w:val="auto"/>
                <w:szCs w:val="21"/>
              </w:rPr>
              <w:t>表4-</w:t>
            </w:r>
            <w:r>
              <w:rPr>
                <w:rFonts w:hint="eastAsia"/>
                <w:b/>
                <w:bCs/>
                <w:color w:val="auto"/>
                <w:szCs w:val="21"/>
                <w:lang w:val="en-US" w:eastAsia="zh-CN"/>
              </w:rPr>
              <w:t>38</w:t>
            </w:r>
            <w:r>
              <w:rPr>
                <w:b/>
                <w:bCs/>
                <w:color w:val="auto"/>
                <w:szCs w:val="21"/>
              </w:rPr>
              <w:t xml:space="preserve"> 危险废物识别标识</w:t>
            </w:r>
          </w:p>
          <w:tbl>
            <w:tblPr>
              <w:tblStyle w:val="2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2736"/>
              <w:gridCol w:w="1682"/>
              <w:gridCol w:w="3962"/>
            </w:tblGrid>
            <w:tr w14:paraId="52B6CE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1" w:hRule="atLeast"/>
              </w:trPr>
              <w:tc>
                <w:tcPr>
                  <w:tcW w:w="1632" w:type="pct"/>
                  <w:noWrap w:val="0"/>
                  <w:vAlign w:val="center"/>
                </w:tcPr>
                <w:p w14:paraId="7B1511FC">
                  <w:pPr>
                    <w:jc w:val="center"/>
                    <w:rPr>
                      <w:b/>
                      <w:color w:val="auto"/>
                      <w:szCs w:val="21"/>
                    </w:rPr>
                  </w:pPr>
                  <w:r>
                    <w:rPr>
                      <w:b/>
                      <w:color w:val="auto"/>
                      <w:szCs w:val="21"/>
                    </w:rPr>
                    <w:t>警告图形符号</w:t>
                  </w:r>
                </w:p>
              </w:tc>
              <w:tc>
                <w:tcPr>
                  <w:tcW w:w="1003" w:type="pct"/>
                  <w:noWrap w:val="0"/>
                  <w:vAlign w:val="center"/>
                </w:tcPr>
                <w:p w14:paraId="6CA2A397">
                  <w:pPr>
                    <w:jc w:val="center"/>
                    <w:rPr>
                      <w:b/>
                      <w:color w:val="auto"/>
                      <w:szCs w:val="21"/>
                    </w:rPr>
                  </w:pPr>
                  <w:r>
                    <w:rPr>
                      <w:b/>
                      <w:color w:val="auto"/>
                      <w:szCs w:val="21"/>
                    </w:rPr>
                    <w:t>名称</w:t>
                  </w:r>
                </w:p>
              </w:tc>
              <w:tc>
                <w:tcPr>
                  <w:tcW w:w="2363" w:type="pct"/>
                  <w:noWrap w:val="0"/>
                  <w:vAlign w:val="center"/>
                </w:tcPr>
                <w:p w14:paraId="4ED3556E">
                  <w:pPr>
                    <w:jc w:val="center"/>
                    <w:rPr>
                      <w:b/>
                      <w:color w:val="auto"/>
                      <w:szCs w:val="21"/>
                    </w:rPr>
                  </w:pPr>
                  <w:r>
                    <w:rPr>
                      <w:b/>
                      <w:color w:val="auto"/>
                      <w:szCs w:val="21"/>
                    </w:rPr>
                    <w:t>公开内容</w:t>
                  </w:r>
                </w:p>
              </w:tc>
            </w:tr>
            <w:tr w14:paraId="0CB427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632" w:type="pct"/>
                  <w:noWrap w:val="0"/>
                  <w:vAlign w:val="center"/>
                </w:tcPr>
                <w:p w14:paraId="28AB18E0">
                  <w:pPr>
                    <w:snapToGrid w:val="0"/>
                    <w:jc w:val="center"/>
                    <w:rPr>
                      <w:color w:val="auto"/>
                      <w:szCs w:val="21"/>
                    </w:rPr>
                  </w:pPr>
                  <w:r>
                    <w:rPr>
                      <w:color w:val="auto"/>
                    </w:rPr>
                    <w:drawing>
                      <wp:inline distT="0" distB="0" distL="114300" distR="114300">
                        <wp:extent cx="1255395" cy="793750"/>
                        <wp:effectExtent l="0" t="0" r="1905" b="635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29"/>
                                <a:stretch>
                                  <a:fillRect/>
                                </a:stretch>
                              </pic:blipFill>
                              <pic:spPr>
                                <a:xfrm>
                                  <a:off x="0" y="0"/>
                                  <a:ext cx="1255395" cy="793750"/>
                                </a:xfrm>
                                <a:prstGeom prst="rect">
                                  <a:avLst/>
                                </a:prstGeom>
                                <a:noFill/>
                                <a:ln>
                                  <a:noFill/>
                                </a:ln>
                              </pic:spPr>
                            </pic:pic>
                          </a:graphicData>
                        </a:graphic>
                      </wp:inline>
                    </w:drawing>
                  </w:r>
                </w:p>
              </w:tc>
              <w:tc>
                <w:tcPr>
                  <w:tcW w:w="1003" w:type="pct"/>
                  <w:noWrap w:val="0"/>
                  <w:vAlign w:val="center"/>
                </w:tcPr>
                <w:p w14:paraId="60C41100">
                  <w:pPr>
                    <w:jc w:val="center"/>
                    <w:rPr>
                      <w:color w:val="auto"/>
                      <w:szCs w:val="21"/>
                    </w:rPr>
                  </w:pPr>
                  <w:r>
                    <w:rPr>
                      <w:color w:val="auto"/>
                      <w:szCs w:val="21"/>
                    </w:rPr>
                    <w:t>危险废物贮存、利用、处置设施标志</w:t>
                  </w:r>
                </w:p>
              </w:tc>
              <w:tc>
                <w:tcPr>
                  <w:tcW w:w="2363" w:type="pct"/>
                  <w:noWrap w:val="0"/>
                  <w:tcMar>
                    <w:top w:w="0" w:type="dxa"/>
                    <w:left w:w="0" w:type="dxa"/>
                    <w:bottom w:w="0" w:type="dxa"/>
                    <w:right w:w="0" w:type="dxa"/>
                  </w:tcMar>
                  <w:vAlign w:val="center"/>
                </w:tcPr>
                <w:p w14:paraId="735E393D">
                  <w:pPr>
                    <w:pStyle w:val="62"/>
                    <w:spacing w:after="0" w:line="240" w:lineRule="auto"/>
                    <w:rPr>
                      <w:rFonts w:ascii="Times New Roman" w:cs="Times New Roman"/>
                      <w:color w:val="auto"/>
                      <w:sz w:val="21"/>
                      <w:szCs w:val="21"/>
                    </w:rPr>
                  </w:pPr>
                  <w:r>
                    <w:rPr>
                      <w:rFonts w:ascii="Times New Roman" w:cs="Times New Roman"/>
                      <w:b w:val="0"/>
                      <w:bCs/>
                      <w:color w:val="auto"/>
                      <w:sz w:val="21"/>
                      <w:szCs w:val="21"/>
                    </w:rPr>
                    <w:t>包括</w:t>
                  </w:r>
                  <w:r>
                    <w:rPr>
                      <w:rFonts w:hint="eastAsia" w:ascii="Times New Roman" w:cs="Times New Roman"/>
                      <w:b w:val="0"/>
                      <w:bCs/>
                      <w:color w:val="auto"/>
                      <w:sz w:val="21"/>
                      <w:szCs w:val="21"/>
                    </w:rPr>
                    <w:t>单位名称、设施编码、负责人及联系方式等信息</w:t>
                  </w:r>
                  <w:r>
                    <w:rPr>
                      <w:rFonts w:ascii="Times New Roman" w:cs="Times New Roman"/>
                      <w:b w:val="0"/>
                      <w:bCs/>
                      <w:color w:val="auto"/>
                      <w:sz w:val="21"/>
                      <w:szCs w:val="21"/>
                    </w:rPr>
                    <w:t>。</w:t>
                  </w:r>
                </w:p>
              </w:tc>
            </w:tr>
            <w:tr w14:paraId="6DB110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632" w:type="pct"/>
                  <w:noWrap w:val="0"/>
                  <w:vAlign w:val="center"/>
                </w:tcPr>
                <w:p w14:paraId="7B9AFB51">
                  <w:pPr>
                    <w:snapToGrid w:val="0"/>
                    <w:jc w:val="center"/>
                    <w:rPr>
                      <w:color w:val="auto"/>
                      <w:szCs w:val="21"/>
                    </w:rPr>
                  </w:pPr>
                  <w:r>
                    <w:rPr>
                      <w:color w:val="auto"/>
                    </w:rPr>
                    <w:drawing>
                      <wp:inline distT="0" distB="0" distL="114300" distR="114300">
                        <wp:extent cx="1182370" cy="993775"/>
                        <wp:effectExtent l="0" t="0" r="17780" b="1587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30"/>
                                <a:stretch>
                                  <a:fillRect/>
                                </a:stretch>
                              </pic:blipFill>
                              <pic:spPr>
                                <a:xfrm>
                                  <a:off x="0" y="0"/>
                                  <a:ext cx="1182370" cy="993775"/>
                                </a:xfrm>
                                <a:prstGeom prst="rect">
                                  <a:avLst/>
                                </a:prstGeom>
                                <a:noFill/>
                                <a:ln>
                                  <a:noFill/>
                                </a:ln>
                              </pic:spPr>
                            </pic:pic>
                          </a:graphicData>
                        </a:graphic>
                      </wp:inline>
                    </w:drawing>
                  </w:r>
                </w:p>
              </w:tc>
              <w:tc>
                <w:tcPr>
                  <w:tcW w:w="1003" w:type="pct"/>
                  <w:noWrap w:val="0"/>
                  <w:vAlign w:val="center"/>
                </w:tcPr>
                <w:p w14:paraId="5C73A605">
                  <w:pPr>
                    <w:jc w:val="center"/>
                    <w:rPr>
                      <w:color w:val="auto"/>
                      <w:szCs w:val="21"/>
                    </w:rPr>
                  </w:pPr>
                  <w:r>
                    <w:rPr>
                      <w:color w:val="auto"/>
                      <w:szCs w:val="21"/>
                    </w:rPr>
                    <w:t>危险废物贮存分区标志</w:t>
                  </w:r>
                </w:p>
              </w:tc>
              <w:tc>
                <w:tcPr>
                  <w:tcW w:w="2363" w:type="pct"/>
                  <w:noWrap w:val="0"/>
                  <w:tcMar>
                    <w:top w:w="0" w:type="dxa"/>
                    <w:left w:w="0" w:type="dxa"/>
                    <w:bottom w:w="0" w:type="dxa"/>
                    <w:right w:w="0" w:type="dxa"/>
                  </w:tcMar>
                  <w:vAlign w:val="center"/>
                </w:tcPr>
                <w:p w14:paraId="5B7010BA">
                  <w:pPr>
                    <w:jc w:val="center"/>
                    <w:rPr>
                      <w:color w:val="auto"/>
                      <w:szCs w:val="21"/>
                    </w:rPr>
                  </w:pPr>
                  <w:r>
                    <w:rPr>
                      <w:color w:val="auto"/>
                      <w:szCs w:val="21"/>
                    </w:rPr>
                    <w:t>包括</w:t>
                  </w:r>
                  <w:r>
                    <w:rPr>
                      <w:rFonts w:hint="eastAsia"/>
                      <w:color w:val="auto"/>
                      <w:szCs w:val="21"/>
                    </w:rPr>
                    <w:t>贮存分区、收集池、应急物资、出入口当前所处位置等</w:t>
                  </w:r>
                  <w:r>
                    <w:rPr>
                      <w:color w:val="auto"/>
                      <w:szCs w:val="21"/>
                    </w:rPr>
                    <w:t>。</w:t>
                  </w:r>
                </w:p>
              </w:tc>
            </w:tr>
            <w:tr w14:paraId="4BD5DB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632" w:type="pct"/>
                  <w:noWrap w:val="0"/>
                  <w:vAlign w:val="center"/>
                </w:tcPr>
                <w:p w14:paraId="6785139B">
                  <w:pPr>
                    <w:snapToGrid w:val="0"/>
                    <w:jc w:val="center"/>
                    <w:rPr>
                      <w:color w:val="auto"/>
                      <w:szCs w:val="21"/>
                    </w:rPr>
                  </w:pPr>
                  <w:r>
                    <w:rPr>
                      <w:color w:val="auto"/>
                    </w:rPr>
                    <w:drawing>
                      <wp:inline distT="0" distB="0" distL="114300" distR="114300">
                        <wp:extent cx="1164590" cy="1156970"/>
                        <wp:effectExtent l="0" t="0" r="16510" b="508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31"/>
                                <a:stretch>
                                  <a:fillRect/>
                                </a:stretch>
                              </pic:blipFill>
                              <pic:spPr>
                                <a:xfrm>
                                  <a:off x="0" y="0"/>
                                  <a:ext cx="1164590" cy="1156970"/>
                                </a:xfrm>
                                <a:prstGeom prst="rect">
                                  <a:avLst/>
                                </a:prstGeom>
                                <a:noFill/>
                                <a:ln>
                                  <a:noFill/>
                                </a:ln>
                              </pic:spPr>
                            </pic:pic>
                          </a:graphicData>
                        </a:graphic>
                      </wp:inline>
                    </w:drawing>
                  </w:r>
                </w:p>
              </w:tc>
              <w:tc>
                <w:tcPr>
                  <w:tcW w:w="1003" w:type="pct"/>
                  <w:noWrap w:val="0"/>
                  <w:vAlign w:val="center"/>
                </w:tcPr>
                <w:p w14:paraId="589CF63C">
                  <w:pPr>
                    <w:jc w:val="center"/>
                    <w:rPr>
                      <w:color w:val="auto"/>
                      <w:szCs w:val="21"/>
                    </w:rPr>
                  </w:pPr>
                  <w:r>
                    <w:rPr>
                      <w:color w:val="auto"/>
                      <w:szCs w:val="21"/>
                    </w:rPr>
                    <w:t>包装识别</w:t>
                  </w:r>
                </w:p>
                <w:p w14:paraId="301658CD">
                  <w:pPr>
                    <w:jc w:val="center"/>
                    <w:rPr>
                      <w:color w:val="auto"/>
                      <w:szCs w:val="21"/>
                    </w:rPr>
                  </w:pPr>
                  <w:r>
                    <w:rPr>
                      <w:color w:val="auto"/>
                      <w:szCs w:val="21"/>
                    </w:rPr>
                    <w:t>标签</w:t>
                  </w:r>
                </w:p>
              </w:tc>
              <w:tc>
                <w:tcPr>
                  <w:tcW w:w="2363" w:type="pct"/>
                  <w:noWrap w:val="0"/>
                  <w:tcMar>
                    <w:top w:w="0" w:type="dxa"/>
                    <w:left w:w="0" w:type="dxa"/>
                    <w:bottom w:w="0" w:type="dxa"/>
                    <w:right w:w="0" w:type="dxa"/>
                  </w:tcMar>
                  <w:vAlign w:val="center"/>
                </w:tcPr>
                <w:p w14:paraId="42D1D87D">
                  <w:pPr>
                    <w:jc w:val="center"/>
                    <w:rPr>
                      <w:color w:val="auto"/>
                      <w:szCs w:val="21"/>
                    </w:rPr>
                  </w:pPr>
                  <w:r>
                    <w:rPr>
                      <w:rFonts w:hint="eastAsia"/>
                      <w:color w:val="auto"/>
                      <w:szCs w:val="21"/>
                    </w:rPr>
                    <w:t>废物名称、废物类别、废物代码、废物形态、危险特性、主要成分、有害成分等</w:t>
                  </w:r>
                </w:p>
              </w:tc>
            </w:tr>
          </w:tbl>
          <w:p w14:paraId="4219DD1A">
            <w:pPr>
              <w:adjustRightInd w:val="0"/>
              <w:snapToGrid w:val="0"/>
              <w:spacing w:before="120" w:beforeLines="50"/>
              <w:jc w:val="center"/>
              <w:rPr>
                <w:b/>
                <w:bCs/>
                <w:color w:val="auto"/>
                <w:szCs w:val="21"/>
              </w:rPr>
            </w:pPr>
          </w:p>
          <w:p w14:paraId="1E2EAA2A">
            <w:pPr>
              <w:adjustRightInd w:val="0"/>
              <w:snapToGrid w:val="0"/>
              <w:spacing w:before="120" w:beforeLines="50"/>
              <w:jc w:val="center"/>
              <w:rPr>
                <w:b/>
                <w:bCs/>
                <w:color w:val="auto"/>
                <w:szCs w:val="21"/>
              </w:rPr>
            </w:pPr>
          </w:p>
          <w:p w14:paraId="54C98EF2">
            <w:pPr>
              <w:adjustRightInd w:val="0"/>
              <w:snapToGrid w:val="0"/>
              <w:spacing w:before="120" w:beforeLines="50"/>
              <w:jc w:val="center"/>
              <w:rPr>
                <w:b/>
                <w:bCs/>
                <w:color w:val="auto"/>
                <w:szCs w:val="21"/>
              </w:rPr>
            </w:pPr>
          </w:p>
          <w:p w14:paraId="785566F1">
            <w:pPr>
              <w:adjustRightInd w:val="0"/>
              <w:snapToGrid w:val="0"/>
              <w:spacing w:before="120" w:beforeLines="50"/>
              <w:jc w:val="center"/>
              <w:rPr>
                <w:b/>
                <w:bCs/>
                <w:color w:val="auto"/>
                <w:szCs w:val="21"/>
              </w:rPr>
            </w:pPr>
          </w:p>
          <w:p w14:paraId="10ED1145">
            <w:pPr>
              <w:adjustRightInd w:val="0"/>
              <w:snapToGrid w:val="0"/>
              <w:spacing w:before="120" w:beforeLines="50"/>
              <w:jc w:val="center"/>
              <w:rPr>
                <w:b/>
                <w:bCs/>
                <w:color w:val="auto"/>
                <w:szCs w:val="21"/>
              </w:rPr>
            </w:pPr>
          </w:p>
          <w:p w14:paraId="377F9093">
            <w:pPr>
              <w:adjustRightInd w:val="0"/>
              <w:snapToGrid w:val="0"/>
              <w:spacing w:before="120" w:beforeLines="50"/>
              <w:jc w:val="center"/>
              <w:rPr>
                <w:b/>
                <w:bCs/>
                <w:color w:val="auto"/>
                <w:szCs w:val="21"/>
              </w:rPr>
            </w:pPr>
          </w:p>
          <w:p w14:paraId="325B5986">
            <w:pPr>
              <w:adjustRightInd w:val="0"/>
              <w:snapToGrid w:val="0"/>
              <w:spacing w:before="120" w:beforeLines="50"/>
              <w:jc w:val="center"/>
              <w:rPr>
                <w:b/>
                <w:bCs/>
                <w:color w:val="auto"/>
                <w:szCs w:val="21"/>
              </w:rPr>
            </w:pPr>
          </w:p>
          <w:p w14:paraId="3DC36945">
            <w:pPr>
              <w:adjustRightInd w:val="0"/>
              <w:snapToGrid w:val="0"/>
              <w:spacing w:before="120" w:beforeLines="50"/>
              <w:jc w:val="center"/>
              <w:rPr>
                <w:b/>
                <w:bCs/>
                <w:color w:val="auto"/>
                <w:szCs w:val="21"/>
              </w:rPr>
            </w:pPr>
          </w:p>
          <w:p w14:paraId="1573DD92">
            <w:pPr>
              <w:adjustRightInd w:val="0"/>
              <w:snapToGrid w:val="0"/>
              <w:spacing w:before="120" w:beforeLines="50"/>
              <w:jc w:val="center"/>
              <w:rPr>
                <w:b/>
                <w:bCs/>
                <w:color w:val="auto"/>
                <w:szCs w:val="21"/>
              </w:rPr>
            </w:pPr>
          </w:p>
          <w:p w14:paraId="166ADD9F">
            <w:pPr>
              <w:adjustRightInd w:val="0"/>
              <w:snapToGrid w:val="0"/>
              <w:spacing w:before="120" w:beforeLines="50"/>
              <w:jc w:val="center"/>
              <w:rPr>
                <w:b/>
                <w:bCs/>
                <w:color w:val="auto"/>
                <w:szCs w:val="21"/>
              </w:rPr>
            </w:pPr>
          </w:p>
          <w:p w14:paraId="050AC666">
            <w:pPr>
              <w:adjustRightInd w:val="0"/>
              <w:snapToGrid w:val="0"/>
              <w:spacing w:before="120" w:beforeLines="50"/>
              <w:jc w:val="center"/>
              <w:rPr>
                <w:b/>
                <w:bCs/>
                <w:color w:val="auto"/>
                <w:szCs w:val="21"/>
              </w:rPr>
            </w:pPr>
          </w:p>
          <w:p w14:paraId="74873A27">
            <w:pPr>
              <w:adjustRightInd w:val="0"/>
              <w:snapToGrid w:val="0"/>
              <w:spacing w:before="120" w:beforeLines="50"/>
              <w:jc w:val="center"/>
              <w:rPr>
                <w:b/>
                <w:bCs/>
                <w:color w:val="auto"/>
                <w:szCs w:val="21"/>
              </w:rPr>
            </w:pPr>
          </w:p>
          <w:p w14:paraId="2A27B2EB">
            <w:pPr>
              <w:adjustRightInd w:val="0"/>
              <w:snapToGrid w:val="0"/>
              <w:spacing w:before="120" w:beforeLines="50"/>
              <w:jc w:val="center"/>
              <w:rPr>
                <w:b/>
                <w:bCs/>
                <w:color w:val="auto"/>
                <w:szCs w:val="21"/>
              </w:rPr>
            </w:pPr>
          </w:p>
          <w:p w14:paraId="382716D5">
            <w:pPr>
              <w:adjustRightInd w:val="0"/>
              <w:snapToGrid w:val="0"/>
              <w:spacing w:before="120" w:beforeLines="50"/>
              <w:jc w:val="center"/>
              <w:rPr>
                <w:b/>
                <w:bCs/>
                <w:color w:val="auto"/>
                <w:szCs w:val="21"/>
              </w:rPr>
            </w:pPr>
          </w:p>
          <w:p w14:paraId="7DE0375F">
            <w:pPr>
              <w:adjustRightInd w:val="0"/>
              <w:snapToGrid w:val="0"/>
              <w:spacing w:before="120" w:beforeLines="50"/>
              <w:jc w:val="center"/>
              <w:rPr>
                <w:b/>
                <w:bCs/>
                <w:color w:val="auto"/>
                <w:szCs w:val="21"/>
              </w:rPr>
            </w:pPr>
          </w:p>
          <w:p w14:paraId="66EB17A9">
            <w:pPr>
              <w:adjustRightInd w:val="0"/>
              <w:snapToGrid w:val="0"/>
              <w:spacing w:before="120" w:beforeLines="50"/>
              <w:jc w:val="center"/>
              <w:rPr>
                <w:b/>
                <w:bCs/>
                <w:color w:val="auto"/>
                <w:szCs w:val="21"/>
              </w:rPr>
            </w:pPr>
          </w:p>
          <w:p w14:paraId="15F524D3">
            <w:pPr>
              <w:adjustRightInd w:val="0"/>
              <w:snapToGrid w:val="0"/>
              <w:spacing w:before="120" w:beforeLines="50"/>
              <w:jc w:val="center"/>
              <w:rPr>
                <w:b/>
                <w:bCs/>
                <w:color w:val="auto"/>
                <w:szCs w:val="21"/>
              </w:rPr>
            </w:pPr>
          </w:p>
          <w:p w14:paraId="7BAEA0BA">
            <w:pPr>
              <w:adjustRightInd w:val="0"/>
              <w:snapToGrid w:val="0"/>
              <w:spacing w:before="120" w:beforeLines="50"/>
              <w:jc w:val="center"/>
              <w:rPr>
                <w:b/>
                <w:bCs/>
                <w:color w:val="auto"/>
                <w:szCs w:val="21"/>
              </w:rPr>
            </w:pPr>
          </w:p>
          <w:p w14:paraId="6B2DF02E">
            <w:pPr>
              <w:adjustRightInd w:val="0"/>
              <w:snapToGrid w:val="0"/>
              <w:spacing w:before="120" w:beforeLines="50"/>
              <w:jc w:val="center"/>
              <w:rPr>
                <w:b/>
                <w:bCs/>
                <w:color w:val="auto"/>
                <w:szCs w:val="21"/>
              </w:rPr>
            </w:pPr>
          </w:p>
          <w:p w14:paraId="3D5A8F19">
            <w:pPr>
              <w:adjustRightInd w:val="0"/>
              <w:snapToGrid w:val="0"/>
              <w:spacing w:before="120" w:beforeLines="50"/>
              <w:jc w:val="center"/>
              <w:rPr>
                <w:b/>
                <w:bCs/>
                <w:color w:val="auto"/>
                <w:szCs w:val="21"/>
              </w:rPr>
            </w:pPr>
          </w:p>
          <w:p w14:paraId="5A62323D">
            <w:pPr>
              <w:adjustRightInd w:val="0"/>
              <w:snapToGrid w:val="0"/>
              <w:spacing w:line="360" w:lineRule="auto"/>
              <w:rPr>
                <w:bCs/>
                <w:color w:val="auto"/>
                <w:szCs w:val="21"/>
              </w:rPr>
            </w:pPr>
          </w:p>
        </w:tc>
      </w:tr>
    </w:tbl>
    <w:p w14:paraId="34606152">
      <w:pPr>
        <w:pStyle w:val="25"/>
        <w:adjustRightInd w:val="0"/>
        <w:snapToGrid w:val="0"/>
        <w:spacing w:before="0" w:beforeAutospacing="0" w:after="0" w:afterAutospacing="0"/>
        <w:outlineLvl w:val="0"/>
        <w:rPr>
          <w:rFonts w:ascii="Times New Roman" w:hAnsi="Times New Roman"/>
          <w:snapToGrid w:val="0"/>
          <w:color w:val="auto"/>
          <w:sz w:val="30"/>
          <w:szCs w:val="30"/>
        </w:rPr>
        <w:sectPr>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p>
    <w:p w14:paraId="14D76AFE">
      <w:pPr>
        <w:pStyle w:val="25"/>
        <w:adjustRightInd w:val="0"/>
        <w:snapToGrid w:val="0"/>
        <w:spacing w:before="0" w:beforeAutospacing="0" w:after="0" w:afterAutospacing="0"/>
        <w:outlineLvl w:val="0"/>
        <w:rPr>
          <w:rFonts w:ascii="Times New Roman" w:hAnsi="Times New Roman"/>
          <w:b/>
          <w:bCs/>
          <w:snapToGrid w:val="0"/>
          <w:color w:val="auto"/>
          <w:sz w:val="30"/>
          <w:szCs w:val="30"/>
        </w:rPr>
      </w:pPr>
      <w:bookmarkStart w:id="31" w:name="_Toc22893"/>
      <w:r>
        <w:rPr>
          <w:rFonts w:ascii="Times New Roman" w:hAnsi="Times New Roman"/>
          <w:b/>
          <w:bCs/>
          <w:snapToGrid w:val="0"/>
          <w:color w:val="auto"/>
          <w:sz w:val="30"/>
          <w:szCs w:val="30"/>
        </w:rPr>
        <w:t>五、</w:t>
      </w:r>
      <w:bookmarkStart w:id="32" w:name="_Hlk54167917"/>
      <w:r>
        <w:rPr>
          <w:rFonts w:ascii="Times New Roman" w:hAnsi="Times New Roman"/>
          <w:b/>
          <w:bCs/>
          <w:snapToGrid w:val="0"/>
          <w:color w:val="auto"/>
          <w:sz w:val="30"/>
          <w:szCs w:val="30"/>
        </w:rPr>
        <w:t>环境保护措施监督检查清单</w:t>
      </w:r>
      <w:bookmarkEnd w:id="31"/>
      <w:bookmarkEnd w:id="32"/>
    </w:p>
    <w:tbl>
      <w:tblPr>
        <w:tblStyle w:val="28"/>
        <w:tblW w:w="499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919"/>
        <w:gridCol w:w="635"/>
        <w:gridCol w:w="1064"/>
        <w:gridCol w:w="1421"/>
        <w:gridCol w:w="1503"/>
        <w:gridCol w:w="3328"/>
      </w:tblGrid>
      <w:tr w14:paraId="5A6ABC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tcBorders>
              <w:tl2br w:val="single" w:color="auto" w:sz="6" w:space="0"/>
            </w:tcBorders>
            <w:noWrap w:val="0"/>
            <w:tcMar>
              <w:top w:w="0" w:type="dxa"/>
              <w:left w:w="0" w:type="dxa"/>
              <w:bottom w:w="0" w:type="dxa"/>
              <w:right w:w="0" w:type="dxa"/>
            </w:tcMar>
            <w:vAlign w:val="center"/>
          </w:tcPr>
          <w:p w14:paraId="181BA8B6">
            <w:pPr>
              <w:adjustRightInd w:val="0"/>
              <w:snapToGrid w:val="0"/>
              <w:jc w:val="right"/>
              <w:rPr>
                <w:b/>
                <w:bCs/>
                <w:color w:val="auto"/>
                <w:szCs w:val="21"/>
              </w:rPr>
            </w:pPr>
            <w:r>
              <w:rPr>
                <w:b/>
                <w:bCs/>
                <w:color w:val="auto"/>
                <w:szCs w:val="21"/>
              </w:rPr>
              <w:t>内容</w:t>
            </w:r>
          </w:p>
          <w:p w14:paraId="0505FA3D">
            <w:pPr>
              <w:adjustRightInd w:val="0"/>
              <w:snapToGrid w:val="0"/>
              <w:rPr>
                <w:b/>
                <w:bCs/>
                <w:color w:val="auto"/>
                <w:szCs w:val="21"/>
              </w:rPr>
            </w:pPr>
            <w:r>
              <w:rPr>
                <w:b/>
                <w:bCs/>
                <w:color w:val="auto"/>
                <w:szCs w:val="21"/>
              </w:rPr>
              <w:t>要素</w:t>
            </w:r>
          </w:p>
        </w:tc>
        <w:tc>
          <w:tcPr>
            <w:tcW w:w="954" w:type="pct"/>
            <w:gridSpan w:val="2"/>
            <w:noWrap w:val="0"/>
            <w:tcMar>
              <w:top w:w="0" w:type="dxa"/>
              <w:left w:w="0" w:type="dxa"/>
              <w:bottom w:w="0" w:type="dxa"/>
              <w:right w:w="0" w:type="dxa"/>
            </w:tcMar>
            <w:vAlign w:val="center"/>
          </w:tcPr>
          <w:p w14:paraId="79106205">
            <w:pPr>
              <w:adjustRightInd w:val="0"/>
              <w:snapToGrid w:val="0"/>
              <w:jc w:val="center"/>
              <w:rPr>
                <w:b/>
                <w:bCs/>
                <w:color w:val="auto"/>
                <w:szCs w:val="21"/>
              </w:rPr>
            </w:pPr>
            <w:r>
              <w:rPr>
                <w:b/>
                <w:bCs/>
                <w:color w:val="auto"/>
                <w:szCs w:val="21"/>
              </w:rPr>
              <w:t>排放口(编号、名称)/污染源</w:t>
            </w:r>
          </w:p>
        </w:tc>
        <w:tc>
          <w:tcPr>
            <w:tcW w:w="802" w:type="pct"/>
            <w:noWrap w:val="0"/>
            <w:tcMar>
              <w:top w:w="0" w:type="dxa"/>
              <w:left w:w="0" w:type="dxa"/>
              <w:bottom w:w="0" w:type="dxa"/>
              <w:right w:w="0" w:type="dxa"/>
            </w:tcMar>
            <w:vAlign w:val="center"/>
          </w:tcPr>
          <w:p w14:paraId="34CFCBB6">
            <w:pPr>
              <w:adjustRightInd w:val="0"/>
              <w:snapToGrid w:val="0"/>
              <w:jc w:val="center"/>
              <w:rPr>
                <w:b/>
                <w:bCs/>
                <w:color w:val="auto"/>
                <w:szCs w:val="21"/>
              </w:rPr>
            </w:pPr>
            <w:r>
              <w:rPr>
                <w:b/>
                <w:bCs/>
                <w:color w:val="auto"/>
                <w:szCs w:val="21"/>
              </w:rPr>
              <w:t>污染物项目</w:t>
            </w:r>
          </w:p>
        </w:tc>
        <w:tc>
          <w:tcPr>
            <w:tcW w:w="848" w:type="pct"/>
            <w:noWrap w:val="0"/>
            <w:tcMar>
              <w:top w:w="0" w:type="dxa"/>
              <w:left w:w="0" w:type="dxa"/>
              <w:bottom w:w="0" w:type="dxa"/>
              <w:right w:w="0" w:type="dxa"/>
            </w:tcMar>
            <w:vAlign w:val="center"/>
          </w:tcPr>
          <w:p w14:paraId="75500EC8">
            <w:pPr>
              <w:adjustRightInd w:val="0"/>
              <w:snapToGrid w:val="0"/>
              <w:jc w:val="center"/>
              <w:rPr>
                <w:b/>
                <w:bCs/>
                <w:color w:val="auto"/>
                <w:szCs w:val="21"/>
              </w:rPr>
            </w:pPr>
            <w:r>
              <w:rPr>
                <w:b/>
                <w:bCs/>
                <w:color w:val="auto"/>
                <w:szCs w:val="21"/>
              </w:rPr>
              <w:t>环境保护措施</w:t>
            </w:r>
          </w:p>
        </w:tc>
        <w:tc>
          <w:tcPr>
            <w:tcW w:w="1874" w:type="pct"/>
            <w:noWrap w:val="0"/>
            <w:tcMar>
              <w:top w:w="0" w:type="dxa"/>
              <w:left w:w="0" w:type="dxa"/>
              <w:bottom w:w="0" w:type="dxa"/>
              <w:right w:w="0" w:type="dxa"/>
            </w:tcMar>
            <w:vAlign w:val="center"/>
          </w:tcPr>
          <w:p w14:paraId="48ABB2F7">
            <w:pPr>
              <w:adjustRightInd w:val="0"/>
              <w:snapToGrid w:val="0"/>
              <w:jc w:val="center"/>
              <w:rPr>
                <w:b/>
                <w:bCs/>
                <w:color w:val="auto"/>
                <w:szCs w:val="21"/>
              </w:rPr>
            </w:pPr>
            <w:r>
              <w:rPr>
                <w:b/>
                <w:bCs/>
                <w:color w:val="auto"/>
                <w:szCs w:val="21"/>
              </w:rPr>
              <w:t>执行标准</w:t>
            </w:r>
          </w:p>
        </w:tc>
      </w:tr>
      <w:tr w14:paraId="1319D6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3" w:hRule="atLeast"/>
          <w:jc w:val="center"/>
        </w:trPr>
        <w:tc>
          <w:tcPr>
            <w:tcW w:w="519" w:type="pct"/>
            <w:vMerge w:val="restart"/>
            <w:noWrap w:val="0"/>
            <w:tcMar>
              <w:top w:w="0" w:type="dxa"/>
              <w:left w:w="0" w:type="dxa"/>
              <w:bottom w:w="0" w:type="dxa"/>
              <w:right w:w="0" w:type="dxa"/>
            </w:tcMar>
            <w:vAlign w:val="center"/>
          </w:tcPr>
          <w:p w14:paraId="535DE9D9">
            <w:pPr>
              <w:adjustRightInd w:val="0"/>
              <w:snapToGrid w:val="0"/>
              <w:jc w:val="center"/>
              <w:rPr>
                <w:rFonts w:hint="eastAsia" w:eastAsia="宋体"/>
                <w:color w:val="auto"/>
                <w:szCs w:val="21"/>
                <w:lang w:val="en-US" w:eastAsia="zh-CN"/>
              </w:rPr>
            </w:pPr>
            <w:r>
              <w:rPr>
                <w:rFonts w:hint="eastAsia"/>
                <w:color w:val="auto"/>
                <w:szCs w:val="21"/>
                <w:lang w:val="en-US" w:eastAsia="zh-CN"/>
              </w:rPr>
              <w:t>大气环境</w:t>
            </w:r>
          </w:p>
        </w:tc>
        <w:tc>
          <w:tcPr>
            <w:tcW w:w="353" w:type="pct"/>
            <w:noWrap w:val="0"/>
            <w:tcMar>
              <w:top w:w="0" w:type="dxa"/>
              <w:left w:w="0" w:type="dxa"/>
              <w:bottom w:w="0" w:type="dxa"/>
              <w:right w:w="0" w:type="dxa"/>
            </w:tcMar>
            <w:vAlign w:val="center"/>
          </w:tcPr>
          <w:p w14:paraId="69FF08D4">
            <w:pPr>
              <w:adjustRightInd w:val="0"/>
              <w:snapToGrid w:val="0"/>
              <w:jc w:val="center"/>
              <w:rPr>
                <w:rFonts w:hint="default" w:eastAsia="宋体"/>
                <w:color w:val="auto"/>
                <w:szCs w:val="21"/>
                <w:lang w:val="en-US" w:eastAsia="zh-CN"/>
              </w:rPr>
            </w:pPr>
            <w:r>
              <w:rPr>
                <w:rFonts w:hint="eastAsia"/>
                <w:color w:val="auto"/>
                <w:szCs w:val="21"/>
                <w:lang w:val="en-US" w:eastAsia="zh-CN"/>
              </w:rPr>
              <w:t>DA001</w:t>
            </w:r>
          </w:p>
        </w:tc>
        <w:tc>
          <w:tcPr>
            <w:tcW w:w="600" w:type="pct"/>
            <w:noWrap w:val="0"/>
            <w:tcMar>
              <w:top w:w="0" w:type="dxa"/>
              <w:left w:w="0" w:type="dxa"/>
              <w:bottom w:w="0" w:type="dxa"/>
              <w:right w:w="0" w:type="dxa"/>
            </w:tcMar>
            <w:vAlign w:val="center"/>
          </w:tcPr>
          <w:p w14:paraId="35C65CE0">
            <w:pPr>
              <w:adjustRightInd w:val="0"/>
              <w:snapToGrid w:val="0"/>
              <w:jc w:val="center"/>
              <w:rPr>
                <w:rFonts w:hint="default" w:eastAsia="宋体"/>
                <w:color w:val="auto"/>
                <w:kern w:val="2"/>
                <w:sz w:val="21"/>
                <w:szCs w:val="21"/>
                <w:lang w:val="en-US" w:eastAsia="zh-CN" w:bidi="ar-SA"/>
              </w:rPr>
            </w:pPr>
            <w:r>
              <w:rPr>
                <w:rFonts w:hint="eastAsia" w:eastAsia="宋体"/>
                <w:color w:val="auto"/>
                <w:kern w:val="2"/>
                <w:sz w:val="21"/>
                <w:szCs w:val="21"/>
                <w:lang w:val="en-US" w:eastAsia="zh-CN" w:bidi="ar-SA"/>
              </w:rPr>
              <w:t>配料、投料</w:t>
            </w:r>
          </w:p>
        </w:tc>
        <w:tc>
          <w:tcPr>
            <w:tcW w:w="802" w:type="pct"/>
            <w:noWrap w:val="0"/>
            <w:tcMar>
              <w:top w:w="0" w:type="dxa"/>
              <w:left w:w="0" w:type="dxa"/>
              <w:bottom w:w="0" w:type="dxa"/>
              <w:right w:w="0" w:type="dxa"/>
            </w:tcMar>
            <w:vAlign w:val="center"/>
          </w:tcPr>
          <w:p w14:paraId="113077EB">
            <w:pPr>
              <w:jc w:val="center"/>
              <w:rPr>
                <w:rFonts w:hint="eastAsia" w:eastAsia="宋体"/>
                <w:color w:val="auto"/>
                <w:kern w:val="2"/>
                <w:sz w:val="21"/>
                <w:szCs w:val="21"/>
                <w:lang w:val="en-US" w:eastAsia="zh-CN" w:bidi="ar-SA"/>
              </w:rPr>
            </w:pPr>
            <w:r>
              <w:rPr>
                <w:rFonts w:hint="eastAsia" w:eastAsia="宋体"/>
                <w:bCs/>
                <w:color w:val="auto"/>
                <w:szCs w:val="21"/>
                <w:lang w:val="en-US" w:eastAsia="zh-CN"/>
              </w:rPr>
              <w:t>颗粒物</w:t>
            </w:r>
          </w:p>
        </w:tc>
        <w:tc>
          <w:tcPr>
            <w:tcW w:w="848" w:type="pct"/>
            <w:noWrap w:val="0"/>
            <w:tcMar>
              <w:top w:w="0" w:type="dxa"/>
              <w:left w:w="0" w:type="dxa"/>
              <w:bottom w:w="0" w:type="dxa"/>
              <w:right w:w="0" w:type="dxa"/>
            </w:tcMar>
            <w:vAlign w:val="center"/>
          </w:tcPr>
          <w:p w14:paraId="7178496F">
            <w:pPr>
              <w:adjustRightInd w:val="0"/>
              <w:snapToGrid w:val="0"/>
              <w:jc w:val="center"/>
              <w:rPr>
                <w:rFonts w:hint="default"/>
                <w:color w:val="auto"/>
                <w:szCs w:val="21"/>
                <w:lang w:val="en-US" w:eastAsia="zh-CN"/>
              </w:rPr>
            </w:pPr>
            <w:r>
              <w:rPr>
                <w:rFonts w:hint="eastAsia"/>
                <w:color w:val="auto"/>
                <w:szCs w:val="21"/>
                <w:lang w:val="en-US" w:eastAsia="zh-CN"/>
              </w:rPr>
              <w:t>布袋除尘器</w:t>
            </w:r>
          </w:p>
        </w:tc>
        <w:tc>
          <w:tcPr>
            <w:tcW w:w="1874" w:type="pct"/>
            <w:vMerge w:val="restart"/>
            <w:noWrap w:val="0"/>
            <w:tcMar>
              <w:top w:w="0" w:type="dxa"/>
              <w:left w:w="0" w:type="dxa"/>
              <w:bottom w:w="0" w:type="dxa"/>
              <w:right w:w="0" w:type="dxa"/>
            </w:tcMar>
            <w:vAlign w:val="center"/>
          </w:tcPr>
          <w:p w14:paraId="44817224">
            <w:pPr>
              <w:adjustRightInd w:val="0"/>
              <w:snapToGrid w:val="0"/>
              <w:jc w:val="center"/>
              <w:rPr>
                <w:rFonts w:hint="eastAsia"/>
                <w:color w:val="auto"/>
                <w:kern w:val="2"/>
                <w:sz w:val="21"/>
                <w:szCs w:val="21"/>
                <w:lang w:val="en-US" w:eastAsia="zh-CN" w:bidi="ar-SA"/>
              </w:rPr>
            </w:pPr>
            <w:r>
              <w:rPr>
                <w:rFonts w:hint="eastAsia"/>
                <w:color w:val="auto"/>
                <w:szCs w:val="21"/>
                <w:lang w:eastAsia="zh-CN"/>
              </w:rPr>
              <w:t>《合成树脂工业污染物排放标准》（GB 31572-2015）及2024年修改单表</w:t>
            </w:r>
            <w:r>
              <w:rPr>
                <w:rFonts w:hint="eastAsia"/>
                <w:color w:val="auto"/>
                <w:szCs w:val="21"/>
                <w:lang w:val="en-US" w:eastAsia="zh-CN"/>
              </w:rPr>
              <w:t>5</w:t>
            </w:r>
            <w:r>
              <w:rPr>
                <w:rFonts w:hint="eastAsia"/>
                <w:color w:val="auto"/>
                <w:szCs w:val="21"/>
                <w:lang w:eastAsia="zh-CN"/>
              </w:rPr>
              <w:t>中的标准</w:t>
            </w:r>
          </w:p>
        </w:tc>
      </w:tr>
      <w:tr w14:paraId="0009DC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vMerge w:val="continue"/>
            <w:noWrap w:val="0"/>
            <w:tcMar>
              <w:top w:w="0" w:type="dxa"/>
              <w:left w:w="0" w:type="dxa"/>
              <w:bottom w:w="0" w:type="dxa"/>
              <w:right w:w="0" w:type="dxa"/>
            </w:tcMar>
            <w:vAlign w:val="center"/>
          </w:tcPr>
          <w:p w14:paraId="31A7CED0">
            <w:pPr>
              <w:adjustRightInd w:val="0"/>
              <w:snapToGrid w:val="0"/>
              <w:jc w:val="center"/>
              <w:rPr>
                <w:rFonts w:hint="eastAsia"/>
                <w:color w:val="auto"/>
                <w:szCs w:val="21"/>
                <w:lang w:val="en-US" w:eastAsia="zh-CN"/>
              </w:rPr>
            </w:pPr>
          </w:p>
        </w:tc>
        <w:tc>
          <w:tcPr>
            <w:tcW w:w="353" w:type="pct"/>
            <w:vMerge w:val="restart"/>
            <w:shd w:val="clear" w:color="auto" w:fill="auto"/>
            <w:noWrap w:val="0"/>
            <w:tcMar>
              <w:top w:w="0" w:type="dxa"/>
              <w:left w:w="0" w:type="dxa"/>
              <w:bottom w:w="0" w:type="dxa"/>
              <w:right w:w="0" w:type="dxa"/>
            </w:tcMar>
            <w:vAlign w:val="center"/>
          </w:tcPr>
          <w:p w14:paraId="2FBD1C5F">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DA002</w:t>
            </w:r>
          </w:p>
        </w:tc>
        <w:tc>
          <w:tcPr>
            <w:tcW w:w="600" w:type="pct"/>
            <w:vMerge w:val="restart"/>
            <w:noWrap w:val="0"/>
            <w:tcMar>
              <w:top w:w="0" w:type="dxa"/>
              <w:left w:w="0" w:type="dxa"/>
              <w:bottom w:w="0" w:type="dxa"/>
              <w:right w:w="0" w:type="dxa"/>
            </w:tcMar>
            <w:vAlign w:val="center"/>
          </w:tcPr>
          <w:p w14:paraId="37A112D6">
            <w:pPr>
              <w:adjustRightInd w:val="0"/>
              <w:snapToGrid w:val="0"/>
              <w:jc w:val="center"/>
              <w:rPr>
                <w:rFonts w:hint="default" w:eastAsia="宋体"/>
                <w:color w:val="auto"/>
                <w:szCs w:val="21"/>
                <w:lang w:val="en-US" w:eastAsia="zh-CN"/>
              </w:rPr>
            </w:pPr>
            <w:r>
              <w:rPr>
                <w:rFonts w:hint="eastAsia" w:eastAsia="宋体"/>
                <w:color w:val="auto"/>
                <w:szCs w:val="21"/>
                <w:lang w:val="en-US" w:eastAsia="zh-CN"/>
              </w:rPr>
              <w:t>挤出、烘干、测试</w:t>
            </w:r>
          </w:p>
        </w:tc>
        <w:tc>
          <w:tcPr>
            <w:tcW w:w="802" w:type="pct"/>
            <w:noWrap w:val="0"/>
            <w:tcMar>
              <w:top w:w="0" w:type="dxa"/>
              <w:left w:w="0" w:type="dxa"/>
              <w:bottom w:w="0" w:type="dxa"/>
              <w:right w:w="0" w:type="dxa"/>
            </w:tcMar>
            <w:vAlign w:val="center"/>
          </w:tcPr>
          <w:p w14:paraId="28D7F40B">
            <w:pPr>
              <w:jc w:val="center"/>
              <w:rPr>
                <w:rFonts w:hint="eastAsia"/>
                <w:bCs/>
                <w:color w:val="auto"/>
                <w:szCs w:val="21"/>
                <w:lang w:val="en-US" w:eastAsia="zh-CN"/>
              </w:rPr>
            </w:pPr>
            <w:r>
              <w:rPr>
                <w:bCs/>
                <w:color w:val="auto"/>
                <w:szCs w:val="21"/>
              </w:rPr>
              <w:t>非甲烷总烃</w:t>
            </w:r>
          </w:p>
        </w:tc>
        <w:tc>
          <w:tcPr>
            <w:tcW w:w="848" w:type="pct"/>
            <w:vMerge w:val="restart"/>
            <w:noWrap w:val="0"/>
            <w:tcMar>
              <w:top w:w="0" w:type="dxa"/>
              <w:left w:w="0" w:type="dxa"/>
              <w:bottom w:w="0" w:type="dxa"/>
              <w:right w:w="0" w:type="dxa"/>
            </w:tcMar>
            <w:vAlign w:val="center"/>
          </w:tcPr>
          <w:p w14:paraId="003A569D">
            <w:pPr>
              <w:adjustRightInd w:val="0"/>
              <w:snapToGrid w:val="0"/>
              <w:jc w:val="center"/>
              <w:rPr>
                <w:rFonts w:hint="eastAsia"/>
                <w:color w:val="auto"/>
                <w:szCs w:val="21"/>
                <w:lang w:val="en-US" w:eastAsia="zh-CN"/>
              </w:rPr>
            </w:pPr>
            <w:r>
              <w:rPr>
                <w:rFonts w:hint="eastAsia"/>
                <w:color w:val="auto"/>
                <w:szCs w:val="21"/>
                <w:lang w:val="en-US" w:eastAsia="zh-CN"/>
              </w:rPr>
              <w:t>水喷淋塔+除湿器+二级活性炭吸附装置</w:t>
            </w:r>
          </w:p>
        </w:tc>
        <w:tc>
          <w:tcPr>
            <w:tcW w:w="1874" w:type="pct"/>
            <w:vMerge w:val="continue"/>
            <w:noWrap w:val="0"/>
            <w:tcMar>
              <w:top w:w="0" w:type="dxa"/>
              <w:left w:w="0" w:type="dxa"/>
              <w:bottom w:w="0" w:type="dxa"/>
              <w:right w:w="0" w:type="dxa"/>
            </w:tcMar>
            <w:vAlign w:val="center"/>
          </w:tcPr>
          <w:p w14:paraId="3F6A49D3">
            <w:pPr>
              <w:adjustRightInd w:val="0"/>
              <w:snapToGrid w:val="0"/>
              <w:jc w:val="center"/>
              <w:rPr>
                <w:rFonts w:hint="eastAsia"/>
                <w:color w:val="auto"/>
                <w:kern w:val="2"/>
                <w:sz w:val="21"/>
                <w:szCs w:val="21"/>
                <w:lang w:val="en-US" w:eastAsia="zh-CN" w:bidi="ar-SA"/>
              </w:rPr>
            </w:pPr>
          </w:p>
        </w:tc>
      </w:tr>
      <w:tr w14:paraId="3DD5BC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vMerge w:val="continue"/>
            <w:noWrap w:val="0"/>
            <w:tcMar>
              <w:top w:w="0" w:type="dxa"/>
              <w:left w:w="0" w:type="dxa"/>
              <w:bottom w:w="0" w:type="dxa"/>
              <w:right w:w="0" w:type="dxa"/>
            </w:tcMar>
            <w:vAlign w:val="center"/>
          </w:tcPr>
          <w:p w14:paraId="7925F492">
            <w:pPr>
              <w:adjustRightInd w:val="0"/>
              <w:snapToGrid w:val="0"/>
              <w:jc w:val="center"/>
              <w:rPr>
                <w:rFonts w:hint="eastAsia"/>
                <w:color w:val="auto"/>
                <w:szCs w:val="21"/>
                <w:lang w:val="en-US" w:eastAsia="zh-CN"/>
              </w:rPr>
            </w:pPr>
          </w:p>
        </w:tc>
        <w:tc>
          <w:tcPr>
            <w:tcW w:w="353" w:type="pct"/>
            <w:vMerge w:val="continue"/>
            <w:noWrap w:val="0"/>
            <w:tcMar>
              <w:top w:w="0" w:type="dxa"/>
              <w:left w:w="0" w:type="dxa"/>
              <w:bottom w:w="0" w:type="dxa"/>
              <w:right w:w="0" w:type="dxa"/>
            </w:tcMar>
            <w:vAlign w:val="center"/>
          </w:tcPr>
          <w:p w14:paraId="0FC86C18">
            <w:pPr>
              <w:adjustRightInd w:val="0"/>
              <w:snapToGrid w:val="0"/>
              <w:jc w:val="center"/>
              <w:rPr>
                <w:rFonts w:hint="eastAsia"/>
                <w:color w:val="auto"/>
                <w:szCs w:val="21"/>
                <w:lang w:val="en-US" w:eastAsia="zh-CN"/>
              </w:rPr>
            </w:pPr>
          </w:p>
        </w:tc>
        <w:tc>
          <w:tcPr>
            <w:tcW w:w="600" w:type="pct"/>
            <w:vMerge w:val="continue"/>
            <w:noWrap w:val="0"/>
            <w:tcMar>
              <w:top w:w="0" w:type="dxa"/>
              <w:left w:w="0" w:type="dxa"/>
              <w:bottom w:w="0" w:type="dxa"/>
              <w:right w:w="0" w:type="dxa"/>
            </w:tcMar>
            <w:vAlign w:val="center"/>
          </w:tcPr>
          <w:p w14:paraId="79AF6E02">
            <w:pPr>
              <w:adjustRightInd w:val="0"/>
              <w:snapToGrid w:val="0"/>
              <w:jc w:val="center"/>
              <w:rPr>
                <w:rFonts w:hint="eastAsia" w:eastAsia="宋体"/>
                <w:color w:val="auto"/>
                <w:szCs w:val="21"/>
                <w:lang w:val="en-US" w:eastAsia="zh-CN"/>
              </w:rPr>
            </w:pPr>
          </w:p>
        </w:tc>
        <w:tc>
          <w:tcPr>
            <w:tcW w:w="802" w:type="pct"/>
            <w:noWrap w:val="0"/>
            <w:tcMar>
              <w:top w:w="0" w:type="dxa"/>
              <w:left w:w="0" w:type="dxa"/>
              <w:bottom w:w="0" w:type="dxa"/>
              <w:right w:w="0" w:type="dxa"/>
            </w:tcMar>
            <w:vAlign w:val="center"/>
          </w:tcPr>
          <w:p w14:paraId="0FF6AE49">
            <w:pPr>
              <w:jc w:val="center"/>
              <w:rPr>
                <w:rFonts w:hint="eastAsia"/>
                <w:bCs/>
                <w:color w:val="auto"/>
                <w:szCs w:val="21"/>
                <w:lang w:val="en-US" w:eastAsia="zh-CN"/>
              </w:rPr>
            </w:pPr>
            <w:r>
              <w:rPr>
                <w:rFonts w:hint="eastAsia" w:eastAsia="宋体"/>
                <w:bCs/>
                <w:color w:val="auto"/>
                <w:szCs w:val="21"/>
                <w:lang w:val="en-US" w:eastAsia="zh-CN"/>
              </w:rPr>
              <w:t>颗粒物</w:t>
            </w:r>
          </w:p>
        </w:tc>
        <w:tc>
          <w:tcPr>
            <w:tcW w:w="848" w:type="pct"/>
            <w:vMerge w:val="continue"/>
            <w:noWrap w:val="0"/>
            <w:tcMar>
              <w:top w:w="0" w:type="dxa"/>
              <w:left w:w="0" w:type="dxa"/>
              <w:bottom w:w="0" w:type="dxa"/>
              <w:right w:w="0" w:type="dxa"/>
            </w:tcMar>
            <w:vAlign w:val="center"/>
          </w:tcPr>
          <w:p w14:paraId="09D18494">
            <w:pPr>
              <w:adjustRightInd w:val="0"/>
              <w:snapToGrid w:val="0"/>
              <w:jc w:val="center"/>
              <w:rPr>
                <w:rFonts w:hint="eastAsia"/>
                <w:color w:val="auto"/>
                <w:szCs w:val="21"/>
                <w:lang w:val="en-US" w:eastAsia="zh-CN"/>
              </w:rPr>
            </w:pPr>
          </w:p>
        </w:tc>
        <w:tc>
          <w:tcPr>
            <w:tcW w:w="1874" w:type="pct"/>
            <w:vMerge w:val="continue"/>
            <w:tcBorders>
              <w:bottom w:val="single" w:color="auto" w:sz="4" w:space="0"/>
            </w:tcBorders>
            <w:noWrap w:val="0"/>
            <w:tcMar>
              <w:top w:w="0" w:type="dxa"/>
              <w:left w:w="0" w:type="dxa"/>
              <w:bottom w:w="0" w:type="dxa"/>
              <w:right w:w="0" w:type="dxa"/>
            </w:tcMar>
            <w:vAlign w:val="center"/>
          </w:tcPr>
          <w:p w14:paraId="1B90C991">
            <w:pPr>
              <w:adjustRightInd w:val="0"/>
              <w:snapToGrid w:val="0"/>
              <w:jc w:val="center"/>
              <w:rPr>
                <w:rFonts w:hint="eastAsia"/>
                <w:color w:val="auto"/>
                <w:kern w:val="2"/>
                <w:sz w:val="21"/>
                <w:szCs w:val="21"/>
                <w:lang w:val="en-US" w:eastAsia="zh-CN" w:bidi="ar-SA"/>
              </w:rPr>
            </w:pPr>
          </w:p>
        </w:tc>
      </w:tr>
      <w:tr w14:paraId="6F33D0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vMerge w:val="continue"/>
            <w:noWrap w:val="0"/>
            <w:tcMar>
              <w:top w:w="0" w:type="dxa"/>
              <w:left w:w="0" w:type="dxa"/>
              <w:bottom w:w="0" w:type="dxa"/>
              <w:right w:w="0" w:type="dxa"/>
            </w:tcMar>
            <w:vAlign w:val="center"/>
          </w:tcPr>
          <w:p w14:paraId="1DC9EF71">
            <w:pPr>
              <w:adjustRightInd w:val="0"/>
              <w:snapToGrid w:val="0"/>
              <w:jc w:val="center"/>
              <w:rPr>
                <w:rFonts w:hint="eastAsia" w:eastAsia="宋体"/>
                <w:color w:val="auto"/>
                <w:szCs w:val="21"/>
                <w:lang w:val="en-US" w:eastAsia="zh-CN"/>
              </w:rPr>
            </w:pPr>
          </w:p>
        </w:tc>
        <w:tc>
          <w:tcPr>
            <w:tcW w:w="353" w:type="pct"/>
            <w:vMerge w:val="restart"/>
            <w:noWrap w:val="0"/>
            <w:tcMar>
              <w:top w:w="0" w:type="dxa"/>
              <w:left w:w="0" w:type="dxa"/>
              <w:bottom w:w="0" w:type="dxa"/>
              <w:right w:w="0" w:type="dxa"/>
            </w:tcMar>
            <w:vAlign w:val="center"/>
          </w:tcPr>
          <w:p w14:paraId="1FC59FA1">
            <w:pPr>
              <w:adjustRightInd w:val="0"/>
              <w:snapToGrid w:val="0"/>
              <w:jc w:val="center"/>
              <w:rPr>
                <w:rFonts w:hint="eastAsia"/>
                <w:color w:val="auto"/>
                <w:szCs w:val="21"/>
              </w:rPr>
            </w:pPr>
            <w:r>
              <w:rPr>
                <w:color w:val="auto"/>
                <w:szCs w:val="21"/>
              </w:rPr>
              <w:t>面源</w:t>
            </w:r>
          </w:p>
        </w:tc>
        <w:tc>
          <w:tcPr>
            <w:tcW w:w="600" w:type="pct"/>
            <w:vMerge w:val="restart"/>
            <w:noWrap w:val="0"/>
            <w:tcMar>
              <w:top w:w="0" w:type="dxa"/>
              <w:left w:w="0" w:type="dxa"/>
              <w:bottom w:w="0" w:type="dxa"/>
              <w:right w:w="0" w:type="dxa"/>
            </w:tcMar>
            <w:vAlign w:val="center"/>
          </w:tcPr>
          <w:p w14:paraId="17F2E0DD">
            <w:pPr>
              <w:adjustRightInd w:val="0"/>
              <w:snapToGrid w:val="0"/>
              <w:jc w:val="center"/>
              <w:rPr>
                <w:rFonts w:hint="default" w:eastAsia="宋体"/>
                <w:color w:val="auto"/>
                <w:szCs w:val="21"/>
                <w:lang w:val="en-US" w:eastAsia="zh-CN"/>
              </w:rPr>
            </w:pPr>
            <w:r>
              <w:rPr>
                <w:rFonts w:hint="eastAsia"/>
                <w:color w:val="auto"/>
                <w:szCs w:val="21"/>
                <w:lang w:val="en-US" w:eastAsia="zh-CN"/>
              </w:rPr>
              <w:t>未收集废气</w:t>
            </w:r>
          </w:p>
        </w:tc>
        <w:tc>
          <w:tcPr>
            <w:tcW w:w="802" w:type="pct"/>
            <w:noWrap w:val="0"/>
            <w:tcMar>
              <w:top w:w="0" w:type="dxa"/>
              <w:left w:w="0" w:type="dxa"/>
              <w:bottom w:w="0" w:type="dxa"/>
              <w:right w:w="0" w:type="dxa"/>
            </w:tcMar>
            <w:vAlign w:val="center"/>
          </w:tcPr>
          <w:p w14:paraId="36E29096">
            <w:pPr>
              <w:jc w:val="center"/>
              <w:rPr>
                <w:rFonts w:hint="eastAsia"/>
                <w:color w:val="auto"/>
                <w:szCs w:val="21"/>
              </w:rPr>
            </w:pPr>
            <w:r>
              <w:rPr>
                <w:bCs/>
                <w:color w:val="auto"/>
                <w:szCs w:val="21"/>
              </w:rPr>
              <w:t>非甲烷总烃</w:t>
            </w:r>
          </w:p>
        </w:tc>
        <w:tc>
          <w:tcPr>
            <w:tcW w:w="848" w:type="pct"/>
            <w:noWrap w:val="0"/>
            <w:tcMar>
              <w:top w:w="0" w:type="dxa"/>
              <w:left w:w="0" w:type="dxa"/>
              <w:bottom w:w="0" w:type="dxa"/>
              <w:right w:w="0" w:type="dxa"/>
            </w:tcMar>
            <w:vAlign w:val="center"/>
          </w:tcPr>
          <w:p w14:paraId="25A72467">
            <w:pPr>
              <w:adjustRightInd w:val="0"/>
              <w:snapToGrid w:val="0"/>
              <w:jc w:val="center"/>
              <w:rPr>
                <w:rFonts w:hint="default" w:eastAsia="宋体"/>
                <w:color w:val="auto"/>
                <w:szCs w:val="21"/>
                <w:lang w:val="en-US" w:eastAsia="zh-CN"/>
              </w:rPr>
            </w:pPr>
            <w:r>
              <w:rPr>
                <w:rFonts w:hint="eastAsia"/>
                <w:color w:val="auto"/>
                <w:szCs w:val="21"/>
              </w:rPr>
              <w:t>/</w:t>
            </w:r>
          </w:p>
        </w:tc>
        <w:tc>
          <w:tcPr>
            <w:tcW w:w="1874" w:type="pct"/>
            <w:tcBorders>
              <w:bottom w:val="single" w:color="auto" w:sz="4" w:space="0"/>
            </w:tcBorders>
            <w:noWrap w:val="0"/>
            <w:tcMar>
              <w:top w:w="0" w:type="dxa"/>
              <w:left w:w="0" w:type="dxa"/>
              <w:bottom w:w="0" w:type="dxa"/>
              <w:right w:w="0" w:type="dxa"/>
            </w:tcMar>
            <w:vAlign w:val="center"/>
          </w:tcPr>
          <w:p w14:paraId="7B2FAD6E">
            <w:pPr>
              <w:adjustRightInd w:val="0"/>
              <w:snapToGrid w:val="0"/>
              <w:jc w:val="center"/>
              <w:rPr>
                <w:rFonts w:hint="eastAsia"/>
                <w:color w:val="auto"/>
                <w:szCs w:val="21"/>
              </w:rPr>
            </w:pPr>
            <w:r>
              <w:rPr>
                <w:rFonts w:hint="eastAsia"/>
                <w:color w:val="auto"/>
                <w:szCs w:val="21"/>
                <w:lang w:eastAsia="zh-CN"/>
              </w:rPr>
              <w:t>《合成树脂工业污染物排放标准》（GB 31572-2015）及2024年修改单表9中的标准</w:t>
            </w:r>
          </w:p>
        </w:tc>
      </w:tr>
      <w:tr w14:paraId="0F9283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vMerge w:val="continue"/>
            <w:noWrap w:val="0"/>
            <w:tcMar>
              <w:top w:w="0" w:type="dxa"/>
              <w:left w:w="0" w:type="dxa"/>
              <w:bottom w:w="0" w:type="dxa"/>
              <w:right w:w="0" w:type="dxa"/>
            </w:tcMar>
            <w:vAlign w:val="center"/>
          </w:tcPr>
          <w:p w14:paraId="78E52055">
            <w:pPr>
              <w:adjustRightInd w:val="0"/>
              <w:snapToGrid w:val="0"/>
              <w:jc w:val="center"/>
              <w:rPr>
                <w:color w:val="auto"/>
                <w:szCs w:val="21"/>
              </w:rPr>
            </w:pPr>
          </w:p>
        </w:tc>
        <w:tc>
          <w:tcPr>
            <w:tcW w:w="353" w:type="pct"/>
            <w:vMerge w:val="continue"/>
            <w:noWrap w:val="0"/>
            <w:tcMar>
              <w:top w:w="0" w:type="dxa"/>
              <w:left w:w="0" w:type="dxa"/>
              <w:bottom w:w="0" w:type="dxa"/>
              <w:right w:w="0" w:type="dxa"/>
            </w:tcMar>
            <w:vAlign w:val="center"/>
          </w:tcPr>
          <w:p w14:paraId="39DCF5C6">
            <w:pPr>
              <w:adjustRightInd w:val="0"/>
              <w:snapToGrid w:val="0"/>
              <w:jc w:val="center"/>
              <w:rPr>
                <w:color w:val="auto"/>
                <w:szCs w:val="21"/>
              </w:rPr>
            </w:pPr>
          </w:p>
        </w:tc>
        <w:tc>
          <w:tcPr>
            <w:tcW w:w="600" w:type="pct"/>
            <w:vMerge w:val="continue"/>
            <w:noWrap w:val="0"/>
            <w:tcMar>
              <w:top w:w="0" w:type="dxa"/>
              <w:left w:w="0" w:type="dxa"/>
              <w:bottom w:w="0" w:type="dxa"/>
              <w:right w:w="0" w:type="dxa"/>
            </w:tcMar>
            <w:vAlign w:val="center"/>
          </w:tcPr>
          <w:p w14:paraId="1FA98803">
            <w:pPr>
              <w:adjustRightInd w:val="0"/>
              <w:snapToGrid w:val="0"/>
              <w:jc w:val="center"/>
              <w:rPr>
                <w:rFonts w:hint="default" w:eastAsia="宋体"/>
                <w:color w:val="auto"/>
                <w:kern w:val="2"/>
                <w:sz w:val="21"/>
                <w:szCs w:val="21"/>
                <w:lang w:val="en-US" w:eastAsia="zh-CN" w:bidi="ar-SA"/>
              </w:rPr>
            </w:pPr>
          </w:p>
        </w:tc>
        <w:tc>
          <w:tcPr>
            <w:tcW w:w="802" w:type="pct"/>
            <w:shd w:val="clear" w:color="auto" w:fill="auto"/>
            <w:noWrap w:val="0"/>
            <w:tcMar>
              <w:top w:w="0" w:type="dxa"/>
              <w:left w:w="0" w:type="dxa"/>
              <w:bottom w:w="0" w:type="dxa"/>
              <w:right w:w="0" w:type="dxa"/>
            </w:tcMar>
            <w:vAlign w:val="center"/>
          </w:tcPr>
          <w:p w14:paraId="5A4B06A7">
            <w:pPr>
              <w:jc w:val="center"/>
              <w:rPr>
                <w:rFonts w:hint="default" w:ascii="Times New Roman" w:hAnsi="Times New Roman" w:eastAsia="宋体" w:cs="Times New Roman"/>
                <w:color w:val="auto"/>
                <w:kern w:val="2"/>
                <w:sz w:val="21"/>
                <w:szCs w:val="24"/>
                <w:vertAlign w:val="baseline"/>
                <w:lang w:val="en-US" w:eastAsia="zh-CN" w:bidi="ar-SA"/>
              </w:rPr>
            </w:pPr>
            <w:r>
              <w:rPr>
                <w:rFonts w:hint="eastAsia"/>
                <w:color w:val="auto"/>
                <w:vertAlign w:val="baseline"/>
                <w:lang w:val="en-US" w:eastAsia="zh-CN"/>
              </w:rPr>
              <w:t>颗粒物</w:t>
            </w:r>
          </w:p>
        </w:tc>
        <w:tc>
          <w:tcPr>
            <w:tcW w:w="848" w:type="pct"/>
            <w:shd w:val="clear" w:color="auto" w:fill="auto"/>
            <w:noWrap w:val="0"/>
            <w:tcMar>
              <w:top w:w="0" w:type="dxa"/>
              <w:left w:w="0" w:type="dxa"/>
              <w:bottom w:w="0" w:type="dxa"/>
              <w:right w:w="0" w:type="dxa"/>
            </w:tcMar>
            <w:vAlign w:val="center"/>
          </w:tcPr>
          <w:p w14:paraId="554BDD3B">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w:t>
            </w:r>
          </w:p>
        </w:tc>
        <w:tc>
          <w:tcPr>
            <w:tcW w:w="1874" w:type="pct"/>
            <w:vMerge w:val="restart"/>
            <w:shd w:val="clear" w:color="auto" w:fill="auto"/>
            <w:noWrap w:val="0"/>
            <w:tcMar>
              <w:top w:w="0" w:type="dxa"/>
              <w:left w:w="0" w:type="dxa"/>
              <w:bottom w:w="0" w:type="dxa"/>
              <w:right w:w="0" w:type="dxa"/>
            </w:tcMar>
            <w:vAlign w:val="center"/>
          </w:tcPr>
          <w:p w14:paraId="19A371B4">
            <w:pPr>
              <w:adjustRightInd w:val="0"/>
              <w:snapToGrid w:val="0"/>
              <w:jc w:val="center"/>
              <w:rPr>
                <w:rFonts w:hint="eastAsia" w:ascii="Times New Roman" w:hAnsi="Times New Roman" w:eastAsia="宋体" w:cs="Times New Roman"/>
                <w:color w:val="auto"/>
                <w:kern w:val="2"/>
                <w:sz w:val="21"/>
                <w:szCs w:val="21"/>
                <w:lang w:val="en-US" w:eastAsia="zh-CN" w:bidi="ar-SA"/>
              </w:rPr>
            </w:pPr>
            <w:r>
              <w:rPr>
                <w:color w:val="auto"/>
              </w:rPr>
              <w:t>《大气污染物综合排放标准》（DB32/4041-2021）表</w:t>
            </w:r>
            <w:r>
              <w:rPr>
                <w:rFonts w:hint="eastAsia"/>
                <w:color w:val="auto"/>
                <w:lang w:val="en-US" w:eastAsia="zh-CN"/>
              </w:rPr>
              <w:t>3</w:t>
            </w:r>
            <w:r>
              <w:rPr>
                <w:color w:val="auto"/>
              </w:rPr>
              <w:t>标准</w:t>
            </w:r>
          </w:p>
        </w:tc>
      </w:tr>
      <w:tr w14:paraId="336D5F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vMerge w:val="continue"/>
            <w:noWrap w:val="0"/>
            <w:tcMar>
              <w:top w:w="0" w:type="dxa"/>
              <w:left w:w="0" w:type="dxa"/>
              <w:bottom w:w="0" w:type="dxa"/>
              <w:right w:w="0" w:type="dxa"/>
            </w:tcMar>
            <w:vAlign w:val="center"/>
          </w:tcPr>
          <w:p w14:paraId="35D9D64F">
            <w:pPr>
              <w:adjustRightInd w:val="0"/>
              <w:snapToGrid w:val="0"/>
              <w:jc w:val="center"/>
              <w:rPr>
                <w:color w:val="auto"/>
                <w:szCs w:val="21"/>
              </w:rPr>
            </w:pPr>
          </w:p>
        </w:tc>
        <w:tc>
          <w:tcPr>
            <w:tcW w:w="353" w:type="pct"/>
            <w:vMerge w:val="continue"/>
            <w:noWrap w:val="0"/>
            <w:tcMar>
              <w:top w:w="0" w:type="dxa"/>
              <w:left w:w="0" w:type="dxa"/>
              <w:bottom w:w="0" w:type="dxa"/>
              <w:right w:w="0" w:type="dxa"/>
            </w:tcMar>
            <w:vAlign w:val="center"/>
          </w:tcPr>
          <w:p w14:paraId="42818219">
            <w:pPr>
              <w:adjustRightInd w:val="0"/>
              <w:snapToGrid w:val="0"/>
              <w:jc w:val="center"/>
              <w:rPr>
                <w:color w:val="auto"/>
                <w:szCs w:val="21"/>
              </w:rPr>
            </w:pPr>
          </w:p>
        </w:tc>
        <w:tc>
          <w:tcPr>
            <w:tcW w:w="600" w:type="pct"/>
            <w:noWrap w:val="0"/>
            <w:tcMar>
              <w:top w:w="0" w:type="dxa"/>
              <w:left w:w="0" w:type="dxa"/>
              <w:bottom w:w="0" w:type="dxa"/>
              <w:right w:w="0" w:type="dxa"/>
            </w:tcMar>
            <w:vAlign w:val="center"/>
          </w:tcPr>
          <w:p w14:paraId="68A2178E">
            <w:pPr>
              <w:adjustRightInd w:val="0"/>
              <w:snapToGrid w:val="0"/>
              <w:jc w:val="center"/>
              <w:rPr>
                <w:rFonts w:hint="default"/>
                <w:color w:val="auto"/>
                <w:szCs w:val="21"/>
                <w:lang w:val="en-US" w:eastAsia="zh-CN"/>
              </w:rPr>
            </w:pPr>
            <w:r>
              <w:rPr>
                <w:rFonts w:hint="eastAsia"/>
                <w:color w:val="auto"/>
                <w:szCs w:val="21"/>
                <w:lang w:val="en-US" w:eastAsia="zh-CN"/>
              </w:rPr>
              <w:t>粉碎</w:t>
            </w:r>
          </w:p>
        </w:tc>
        <w:tc>
          <w:tcPr>
            <w:tcW w:w="802" w:type="pct"/>
            <w:shd w:val="clear" w:color="auto" w:fill="auto"/>
            <w:noWrap w:val="0"/>
            <w:tcMar>
              <w:top w:w="0" w:type="dxa"/>
              <w:left w:w="0" w:type="dxa"/>
              <w:bottom w:w="0" w:type="dxa"/>
              <w:right w:w="0" w:type="dxa"/>
            </w:tcMar>
            <w:vAlign w:val="center"/>
          </w:tcPr>
          <w:p w14:paraId="0F496F0E">
            <w:pPr>
              <w:jc w:val="center"/>
              <w:rPr>
                <w:rFonts w:hint="default" w:ascii="Times New Roman" w:hAnsi="Times New Roman" w:eastAsia="宋体" w:cs="Times New Roman"/>
                <w:color w:val="auto"/>
                <w:kern w:val="2"/>
                <w:sz w:val="21"/>
                <w:szCs w:val="24"/>
                <w:vertAlign w:val="baseline"/>
                <w:lang w:val="en-US" w:eastAsia="zh-CN" w:bidi="ar-SA"/>
              </w:rPr>
            </w:pPr>
            <w:r>
              <w:rPr>
                <w:rFonts w:hint="eastAsia"/>
                <w:color w:val="auto"/>
                <w:vertAlign w:val="baseline"/>
                <w:lang w:val="en-US" w:eastAsia="zh-CN"/>
              </w:rPr>
              <w:t>颗粒物</w:t>
            </w:r>
          </w:p>
        </w:tc>
        <w:tc>
          <w:tcPr>
            <w:tcW w:w="848" w:type="pct"/>
            <w:shd w:val="clear" w:color="auto" w:fill="auto"/>
            <w:noWrap w:val="0"/>
            <w:tcMar>
              <w:top w:w="0" w:type="dxa"/>
              <w:left w:w="0" w:type="dxa"/>
              <w:bottom w:w="0" w:type="dxa"/>
              <w:right w:w="0" w:type="dxa"/>
            </w:tcMar>
            <w:vAlign w:val="center"/>
          </w:tcPr>
          <w:p w14:paraId="06AD2554">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rPr>
              <w:t>/</w:t>
            </w:r>
          </w:p>
        </w:tc>
        <w:tc>
          <w:tcPr>
            <w:tcW w:w="1874" w:type="pct"/>
            <w:vMerge w:val="continue"/>
            <w:noWrap w:val="0"/>
            <w:tcMar>
              <w:top w:w="0" w:type="dxa"/>
              <w:left w:w="0" w:type="dxa"/>
              <w:bottom w:w="0" w:type="dxa"/>
              <w:right w:w="0" w:type="dxa"/>
            </w:tcMar>
            <w:vAlign w:val="center"/>
          </w:tcPr>
          <w:p w14:paraId="33ECFB52">
            <w:pPr>
              <w:adjustRightInd w:val="0"/>
              <w:snapToGrid w:val="0"/>
              <w:jc w:val="center"/>
              <w:rPr>
                <w:color w:val="auto"/>
              </w:rPr>
            </w:pPr>
          </w:p>
        </w:tc>
      </w:tr>
      <w:tr w14:paraId="43DAF8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vMerge w:val="continue"/>
            <w:noWrap w:val="0"/>
            <w:tcMar>
              <w:top w:w="0" w:type="dxa"/>
              <w:left w:w="0" w:type="dxa"/>
              <w:bottom w:w="0" w:type="dxa"/>
              <w:right w:w="0" w:type="dxa"/>
            </w:tcMar>
            <w:vAlign w:val="center"/>
          </w:tcPr>
          <w:p w14:paraId="65ED8836">
            <w:pPr>
              <w:adjustRightInd w:val="0"/>
              <w:snapToGrid w:val="0"/>
              <w:jc w:val="center"/>
              <w:rPr>
                <w:color w:val="auto"/>
                <w:szCs w:val="21"/>
              </w:rPr>
            </w:pPr>
          </w:p>
        </w:tc>
        <w:tc>
          <w:tcPr>
            <w:tcW w:w="954" w:type="pct"/>
            <w:gridSpan w:val="2"/>
            <w:noWrap w:val="0"/>
            <w:tcMar>
              <w:top w:w="0" w:type="dxa"/>
              <w:left w:w="0" w:type="dxa"/>
              <w:bottom w:w="0" w:type="dxa"/>
              <w:right w:w="0" w:type="dxa"/>
            </w:tcMar>
            <w:vAlign w:val="center"/>
          </w:tcPr>
          <w:p w14:paraId="3F95F074">
            <w:pPr>
              <w:jc w:val="center"/>
              <w:rPr>
                <w:rFonts w:hint="eastAsia"/>
                <w:color w:val="auto"/>
                <w:szCs w:val="21"/>
              </w:rPr>
            </w:pPr>
            <w:r>
              <w:rPr>
                <w:bCs/>
                <w:color w:val="auto"/>
                <w:szCs w:val="21"/>
              </w:rPr>
              <w:t>厂区内</w:t>
            </w:r>
          </w:p>
        </w:tc>
        <w:tc>
          <w:tcPr>
            <w:tcW w:w="802" w:type="pct"/>
            <w:noWrap w:val="0"/>
            <w:tcMar>
              <w:top w:w="0" w:type="dxa"/>
              <w:left w:w="0" w:type="dxa"/>
              <w:bottom w:w="0" w:type="dxa"/>
              <w:right w:w="0" w:type="dxa"/>
            </w:tcMar>
            <w:vAlign w:val="center"/>
          </w:tcPr>
          <w:p w14:paraId="7FBB54EC">
            <w:pPr>
              <w:jc w:val="center"/>
              <w:rPr>
                <w:rFonts w:hint="eastAsia"/>
                <w:color w:val="auto"/>
                <w:szCs w:val="21"/>
              </w:rPr>
            </w:pPr>
            <w:r>
              <w:rPr>
                <w:color w:val="auto"/>
                <w:szCs w:val="21"/>
              </w:rPr>
              <w:t>非甲烷总烃</w:t>
            </w:r>
          </w:p>
        </w:tc>
        <w:tc>
          <w:tcPr>
            <w:tcW w:w="848" w:type="pct"/>
            <w:noWrap w:val="0"/>
            <w:tcMar>
              <w:top w:w="0" w:type="dxa"/>
              <w:left w:w="0" w:type="dxa"/>
              <w:bottom w:w="0" w:type="dxa"/>
              <w:right w:w="0" w:type="dxa"/>
            </w:tcMar>
            <w:vAlign w:val="center"/>
          </w:tcPr>
          <w:p w14:paraId="16861DEF">
            <w:pPr>
              <w:adjustRightInd w:val="0"/>
              <w:snapToGrid w:val="0"/>
              <w:jc w:val="center"/>
              <w:rPr>
                <w:rFonts w:hint="eastAsia"/>
                <w:color w:val="auto"/>
                <w:szCs w:val="21"/>
              </w:rPr>
            </w:pPr>
            <w:r>
              <w:rPr>
                <w:rFonts w:hint="eastAsia"/>
                <w:color w:val="auto"/>
                <w:szCs w:val="21"/>
              </w:rPr>
              <w:t>/</w:t>
            </w:r>
          </w:p>
        </w:tc>
        <w:tc>
          <w:tcPr>
            <w:tcW w:w="1874" w:type="pct"/>
            <w:noWrap w:val="0"/>
            <w:tcMar>
              <w:top w:w="0" w:type="dxa"/>
              <w:left w:w="0" w:type="dxa"/>
              <w:bottom w:w="0" w:type="dxa"/>
              <w:right w:w="0" w:type="dxa"/>
            </w:tcMar>
            <w:vAlign w:val="center"/>
          </w:tcPr>
          <w:p w14:paraId="7CCA0DBD">
            <w:pPr>
              <w:adjustRightInd w:val="0"/>
              <w:snapToGrid w:val="0"/>
              <w:jc w:val="center"/>
              <w:rPr>
                <w:rFonts w:hint="eastAsia"/>
                <w:color w:val="auto"/>
                <w:kern w:val="2"/>
                <w:sz w:val="21"/>
                <w:szCs w:val="21"/>
                <w:lang w:val="en-US" w:eastAsia="zh-CN" w:bidi="ar-SA"/>
              </w:rPr>
            </w:pPr>
            <w:r>
              <w:rPr>
                <w:color w:val="auto"/>
              </w:rPr>
              <w:t>《大气污染物综合排放标准》（DB32/4041-2021）表</w:t>
            </w:r>
            <w:r>
              <w:rPr>
                <w:rFonts w:hint="eastAsia"/>
                <w:color w:val="auto"/>
                <w:lang w:val="en-US" w:eastAsia="zh-CN"/>
              </w:rPr>
              <w:t>2</w:t>
            </w:r>
            <w:r>
              <w:rPr>
                <w:color w:val="auto"/>
              </w:rPr>
              <w:t>标准</w:t>
            </w:r>
          </w:p>
        </w:tc>
      </w:tr>
      <w:tr w14:paraId="55C0E0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noWrap w:val="0"/>
            <w:tcMar>
              <w:top w:w="0" w:type="dxa"/>
              <w:left w:w="0" w:type="dxa"/>
              <w:bottom w:w="0" w:type="dxa"/>
              <w:right w:w="0" w:type="dxa"/>
            </w:tcMar>
            <w:vAlign w:val="center"/>
          </w:tcPr>
          <w:p w14:paraId="73C2DA0D">
            <w:pPr>
              <w:adjustRightInd w:val="0"/>
              <w:snapToGrid w:val="0"/>
              <w:jc w:val="center"/>
              <w:rPr>
                <w:color w:val="auto"/>
                <w:szCs w:val="21"/>
              </w:rPr>
            </w:pPr>
            <w:r>
              <w:rPr>
                <w:color w:val="auto"/>
                <w:szCs w:val="21"/>
              </w:rPr>
              <w:t>地表水环境</w:t>
            </w:r>
          </w:p>
        </w:tc>
        <w:tc>
          <w:tcPr>
            <w:tcW w:w="954" w:type="pct"/>
            <w:gridSpan w:val="2"/>
            <w:noWrap w:val="0"/>
            <w:tcMar>
              <w:top w:w="0" w:type="dxa"/>
              <w:left w:w="0" w:type="dxa"/>
              <w:bottom w:w="0" w:type="dxa"/>
              <w:right w:w="0" w:type="dxa"/>
            </w:tcMar>
            <w:vAlign w:val="center"/>
          </w:tcPr>
          <w:p w14:paraId="00812219">
            <w:pPr>
              <w:adjustRightInd w:val="0"/>
              <w:snapToGrid w:val="0"/>
              <w:jc w:val="center"/>
              <w:rPr>
                <w:color w:val="auto"/>
                <w:szCs w:val="21"/>
              </w:rPr>
            </w:pPr>
            <w:r>
              <w:rPr>
                <w:color w:val="auto"/>
                <w:szCs w:val="21"/>
              </w:rPr>
              <w:t>污水排放口</w:t>
            </w:r>
          </w:p>
        </w:tc>
        <w:tc>
          <w:tcPr>
            <w:tcW w:w="802" w:type="pct"/>
            <w:noWrap w:val="0"/>
            <w:tcMar>
              <w:top w:w="0" w:type="dxa"/>
              <w:left w:w="0" w:type="dxa"/>
              <w:bottom w:w="0" w:type="dxa"/>
              <w:right w:w="0" w:type="dxa"/>
            </w:tcMar>
            <w:vAlign w:val="center"/>
          </w:tcPr>
          <w:p w14:paraId="39640134">
            <w:pPr>
              <w:spacing w:line="320" w:lineRule="exact"/>
              <w:jc w:val="center"/>
              <w:rPr>
                <w:rFonts w:hint="eastAsia" w:eastAsia="宋体"/>
                <w:color w:val="auto"/>
                <w:szCs w:val="21"/>
                <w:lang w:eastAsia="zh-CN"/>
              </w:rPr>
            </w:pPr>
            <w:r>
              <w:rPr>
                <w:color w:val="auto"/>
                <w:szCs w:val="21"/>
              </w:rPr>
              <w:t>COD</w:t>
            </w:r>
            <w:r>
              <w:rPr>
                <w:rFonts w:hint="eastAsia"/>
                <w:color w:val="auto"/>
                <w:szCs w:val="21"/>
                <w:lang w:eastAsia="zh-CN"/>
              </w:rPr>
              <w:t>、</w:t>
            </w:r>
            <w:r>
              <w:rPr>
                <w:color w:val="auto"/>
                <w:szCs w:val="21"/>
              </w:rPr>
              <w:t>SS</w:t>
            </w:r>
            <w:r>
              <w:rPr>
                <w:rFonts w:hint="eastAsia"/>
                <w:color w:val="auto"/>
                <w:szCs w:val="21"/>
                <w:lang w:eastAsia="zh-CN"/>
              </w:rPr>
              <w:t>、</w:t>
            </w:r>
            <w:r>
              <w:rPr>
                <w:color w:val="auto"/>
                <w:szCs w:val="21"/>
              </w:rPr>
              <w:t>氨氮</w:t>
            </w:r>
            <w:r>
              <w:rPr>
                <w:rFonts w:hint="eastAsia"/>
                <w:color w:val="auto"/>
                <w:szCs w:val="21"/>
                <w:lang w:eastAsia="zh-CN"/>
              </w:rPr>
              <w:t>、</w:t>
            </w:r>
            <w:r>
              <w:rPr>
                <w:color w:val="auto"/>
                <w:szCs w:val="21"/>
              </w:rPr>
              <w:t>TP</w:t>
            </w:r>
            <w:r>
              <w:rPr>
                <w:rFonts w:hint="eastAsia"/>
                <w:color w:val="auto"/>
                <w:szCs w:val="21"/>
                <w:lang w:eastAsia="zh-CN"/>
              </w:rPr>
              <w:t>、</w:t>
            </w:r>
            <w:r>
              <w:rPr>
                <w:color w:val="auto"/>
                <w:szCs w:val="21"/>
              </w:rPr>
              <w:t>TN</w:t>
            </w:r>
          </w:p>
        </w:tc>
        <w:tc>
          <w:tcPr>
            <w:tcW w:w="848" w:type="pct"/>
            <w:noWrap w:val="0"/>
            <w:tcMar>
              <w:top w:w="0" w:type="dxa"/>
              <w:left w:w="0" w:type="dxa"/>
              <w:bottom w:w="0" w:type="dxa"/>
              <w:right w:w="0" w:type="dxa"/>
            </w:tcMar>
            <w:vAlign w:val="center"/>
          </w:tcPr>
          <w:p w14:paraId="737ABEB2">
            <w:pPr>
              <w:adjustRightInd w:val="0"/>
              <w:snapToGrid w:val="0"/>
              <w:jc w:val="center"/>
              <w:rPr>
                <w:color w:val="auto"/>
                <w:szCs w:val="21"/>
              </w:rPr>
            </w:pPr>
            <w:r>
              <w:rPr>
                <w:color w:val="auto"/>
                <w:szCs w:val="21"/>
                <w:highlight w:val="none"/>
              </w:rPr>
              <w:t>经化粪池收集后托运至</w:t>
            </w:r>
            <w:r>
              <w:rPr>
                <w:color w:val="auto"/>
                <w:szCs w:val="21"/>
              </w:rPr>
              <w:t>常州金坛区第二污水处理有限公司</w:t>
            </w:r>
          </w:p>
        </w:tc>
        <w:tc>
          <w:tcPr>
            <w:tcW w:w="1874" w:type="pct"/>
            <w:noWrap w:val="0"/>
            <w:tcMar>
              <w:top w:w="0" w:type="dxa"/>
              <w:left w:w="0" w:type="dxa"/>
              <w:bottom w:w="0" w:type="dxa"/>
              <w:right w:w="0" w:type="dxa"/>
            </w:tcMar>
            <w:vAlign w:val="center"/>
          </w:tcPr>
          <w:p w14:paraId="5A45578D">
            <w:pPr>
              <w:adjustRightInd w:val="0"/>
              <w:snapToGrid w:val="0"/>
              <w:jc w:val="center"/>
              <w:rPr>
                <w:rFonts w:hint="eastAsia"/>
                <w:color w:val="auto"/>
                <w:szCs w:val="21"/>
              </w:rPr>
            </w:pPr>
            <w:r>
              <w:rPr>
                <w:color w:val="auto"/>
                <w:szCs w:val="21"/>
              </w:rPr>
              <w:t>常州金坛区第二污水处理有限公司接管限值和《污水排入城镇下水道水质标准》（</w:t>
            </w:r>
            <w:r>
              <w:rPr>
                <w:color w:val="auto"/>
                <w:szCs w:val="21"/>
                <w:shd w:val="clear" w:color="auto" w:fill="FFFFFF"/>
              </w:rPr>
              <w:t>GB/T31962-2015</w:t>
            </w:r>
            <w:r>
              <w:rPr>
                <w:color w:val="auto"/>
                <w:szCs w:val="21"/>
              </w:rPr>
              <w:t>）表1中B等级标准</w:t>
            </w:r>
            <w:r>
              <w:rPr>
                <w:rFonts w:hint="eastAsia"/>
                <w:color w:val="auto"/>
                <w:szCs w:val="21"/>
              </w:rPr>
              <w:t>。</w:t>
            </w:r>
          </w:p>
        </w:tc>
      </w:tr>
      <w:tr w14:paraId="4E6609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noWrap w:val="0"/>
            <w:tcMar>
              <w:top w:w="0" w:type="dxa"/>
              <w:left w:w="0" w:type="dxa"/>
              <w:bottom w:w="0" w:type="dxa"/>
              <w:right w:w="0" w:type="dxa"/>
            </w:tcMar>
            <w:vAlign w:val="center"/>
          </w:tcPr>
          <w:p w14:paraId="2205FDEF">
            <w:pPr>
              <w:adjustRightInd w:val="0"/>
              <w:snapToGrid w:val="0"/>
              <w:jc w:val="center"/>
              <w:rPr>
                <w:color w:val="auto"/>
                <w:szCs w:val="21"/>
              </w:rPr>
            </w:pPr>
            <w:r>
              <w:rPr>
                <w:color w:val="auto"/>
                <w:szCs w:val="21"/>
              </w:rPr>
              <w:t>声环境</w:t>
            </w:r>
          </w:p>
        </w:tc>
        <w:tc>
          <w:tcPr>
            <w:tcW w:w="954" w:type="pct"/>
            <w:gridSpan w:val="2"/>
            <w:noWrap w:val="0"/>
            <w:tcMar>
              <w:top w:w="0" w:type="dxa"/>
              <w:left w:w="0" w:type="dxa"/>
              <w:bottom w:w="0" w:type="dxa"/>
              <w:right w:w="0" w:type="dxa"/>
            </w:tcMar>
            <w:vAlign w:val="center"/>
          </w:tcPr>
          <w:p w14:paraId="3BAEFE74">
            <w:pPr>
              <w:adjustRightInd w:val="0"/>
              <w:snapToGrid w:val="0"/>
              <w:jc w:val="center"/>
              <w:rPr>
                <w:color w:val="auto"/>
                <w:szCs w:val="21"/>
              </w:rPr>
            </w:pPr>
            <w:r>
              <w:rPr>
                <w:color w:val="auto"/>
                <w:szCs w:val="21"/>
              </w:rPr>
              <w:t>车间</w:t>
            </w:r>
          </w:p>
        </w:tc>
        <w:tc>
          <w:tcPr>
            <w:tcW w:w="802" w:type="pct"/>
            <w:noWrap w:val="0"/>
            <w:tcMar>
              <w:top w:w="0" w:type="dxa"/>
              <w:left w:w="0" w:type="dxa"/>
              <w:bottom w:w="0" w:type="dxa"/>
              <w:right w:w="0" w:type="dxa"/>
            </w:tcMar>
            <w:vAlign w:val="center"/>
          </w:tcPr>
          <w:p w14:paraId="2CE90058">
            <w:pPr>
              <w:adjustRightInd w:val="0"/>
              <w:snapToGrid w:val="0"/>
              <w:jc w:val="center"/>
              <w:rPr>
                <w:color w:val="auto"/>
                <w:szCs w:val="21"/>
              </w:rPr>
            </w:pPr>
            <w:r>
              <w:rPr>
                <w:color w:val="auto"/>
                <w:szCs w:val="21"/>
              </w:rPr>
              <w:t>噪声</w:t>
            </w:r>
          </w:p>
        </w:tc>
        <w:tc>
          <w:tcPr>
            <w:tcW w:w="848" w:type="pct"/>
            <w:noWrap w:val="0"/>
            <w:tcMar>
              <w:top w:w="0" w:type="dxa"/>
              <w:left w:w="0" w:type="dxa"/>
              <w:bottom w:w="0" w:type="dxa"/>
              <w:right w:w="0" w:type="dxa"/>
            </w:tcMar>
            <w:vAlign w:val="center"/>
          </w:tcPr>
          <w:p w14:paraId="49EBDE1F">
            <w:pPr>
              <w:adjustRightInd w:val="0"/>
              <w:snapToGrid w:val="0"/>
              <w:jc w:val="center"/>
              <w:rPr>
                <w:rFonts w:hint="eastAsia"/>
                <w:color w:val="auto"/>
                <w:szCs w:val="21"/>
              </w:rPr>
            </w:pPr>
            <w:r>
              <w:rPr>
                <w:color w:val="auto"/>
                <w:szCs w:val="21"/>
              </w:rPr>
              <w:t>厂房隔声、</w:t>
            </w:r>
            <w:r>
              <w:rPr>
                <w:rFonts w:hint="eastAsia"/>
                <w:color w:val="auto"/>
                <w:szCs w:val="21"/>
              </w:rPr>
              <w:t>减震</w:t>
            </w:r>
            <w:r>
              <w:rPr>
                <w:color w:val="auto"/>
                <w:szCs w:val="21"/>
              </w:rPr>
              <w:t>等</w:t>
            </w:r>
            <w:r>
              <w:rPr>
                <w:rFonts w:hint="eastAsia"/>
                <w:color w:val="auto"/>
                <w:szCs w:val="21"/>
              </w:rPr>
              <w:t>。</w:t>
            </w:r>
          </w:p>
        </w:tc>
        <w:tc>
          <w:tcPr>
            <w:tcW w:w="1874" w:type="pct"/>
            <w:noWrap w:val="0"/>
            <w:tcMar>
              <w:top w:w="0" w:type="dxa"/>
              <w:left w:w="0" w:type="dxa"/>
              <w:bottom w:w="0" w:type="dxa"/>
              <w:right w:w="0" w:type="dxa"/>
            </w:tcMar>
            <w:vAlign w:val="center"/>
          </w:tcPr>
          <w:p w14:paraId="19E7C58D">
            <w:pPr>
              <w:adjustRightInd w:val="0"/>
              <w:snapToGrid w:val="0"/>
              <w:jc w:val="center"/>
              <w:rPr>
                <w:rFonts w:hint="eastAsia"/>
                <w:color w:val="auto"/>
                <w:szCs w:val="21"/>
              </w:rPr>
            </w:pPr>
            <w:r>
              <w:rPr>
                <w:color w:val="auto"/>
                <w:szCs w:val="21"/>
              </w:rPr>
              <w:t>《工业企业厂界环境噪声排放标准》（GB12348-2008）表1中</w:t>
            </w:r>
            <w:r>
              <w:rPr>
                <w:rFonts w:hint="eastAsia"/>
                <w:color w:val="auto"/>
                <w:szCs w:val="21"/>
                <w:lang w:val="en-US" w:eastAsia="zh-CN"/>
              </w:rPr>
              <w:t>2</w:t>
            </w:r>
            <w:r>
              <w:rPr>
                <w:color w:val="auto"/>
                <w:szCs w:val="21"/>
              </w:rPr>
              <w:t>类限值</w:t>
            </w:r>
            <w:r>
              <w:rPr>
                <w:rFonts w:hint="eastAsia"/>
                <w:color w:val="auto"/>
                <w:szCs w:val="21"/>
              </w:rPr>
              <w:t>。</w:t>
            </w:r>
          </w:p>
        </w:tc>
      </w:tr>
      <w:tr w14:paraId="6C215A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noWrap w:val="0"/>
            <w:tcMar>
              <w:top w:w="0" w:type="dxa"/>
              <w:left w:w="0" w:type="dxa"/>
              <w:bottom w:w="0" w:type="dxa"/>
              <w:right w:w="0" w:type="dxa"/>
            </w:tcMar>
            <w:vAlign w:val="center"/>
          </w:tcPr>
          <w:p w14:paraId="01E334E2">
            <w:pPr>
              <w:adjustRightInd w:val="0"/>
              <w:snapToGrid w:val="0"/>
              <w:jc w:val="center"/>
              <w:rPr>
                <w:color w:val="auto"/>
                <w:szCs w:val="21"/>
              </w:rPr>
            </w:pPr>
            <w:r>
              <w:rPr>
                <w:rFonts w:hint="eastAsia"/>
                <w:color w:val="auto"/>
                <w:szCs w:val="21"/>
              </w:rPr>
              <w:t>固体废物</w:t>
            </w:r>
          </w:p>
        </w:tc>
        <w:tc>
          <w:tcPr>
            <w:tcW w:w="4480" w:type="pct"/>
            <w:gridSpan w:val="5"/>
            <w:noWrap w:val="0"/>
            <w:tcMar>
              <w:top w:w="0" w:type="dxa"/>
              <w:left w:w="0" w:type="dxa"/>
              <w:bottom w:w="0" w:type="dxa"/>
              <w:right w:w="0" w:type="dxa"/>
            </w:tcMar>
            <w:vAlign w:val="center"/>
          </w:tcPr>
          <w:p w14:paraId="63D92CE7">
            <w:pPr>
              <w:adjustRightInd w:val="0"/>
              <w:snapToGrid w:val="0"/>
              <w:jc w:val="center"/>
              <w:rPr>
                <w:color w:val="auto"/>
                <w:szCs w:val="21"/>
              </w:rPr>
            </w:pPr>
            <w:r>
              <w:rPr>
                <w:rFonts w:hint="eastAsia"/>
                <w:color w:val="auto"/>
                <w:szCs w:val="21"/>
              </w:rPr>
              <w:t>本项目一般固废收集后外售综合利用，危险废物收集后交由有资质单位处理，生活垃圾交由环卫处理。</w:t>
            </w:r>
          </w:p>
        </w:tc>
      </w:tr>
      <w:tr w14:paraId="0D02B9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noWrap w:val="0"/>
            <w:tcMar>
              <w:top w:w="0" w:type="dxa"/>
              <w:left w:w="0" w:type="dxa"/>
              <w:bottom w:w="0" w:type="dxa"/>
              <w:right w:w="0" w:type="dxa"/>
            </w:tcMar>
            <w:vAlign w:val="center"/>
          </w:tcPr>
          <w:p w14:paraId="32A8302F">
            <w:pPr>
              <w:adjustRightInd w:val="0"/>
              <w:snapToGrid w:val="0"/>
              <w:jc w:val="center"/>
              <w:rPr>
                <w:color w:val="auto"/>
                <w:szCs w:val="21"/>
              </w:rPr>
            </w:pPr>
            <w:r>
              <w:rPr>
                <w:color w:val="auto"/>
                <w:szCs w:val="21"/>
              </w:rPr>
              <w:t>电磁辐射</w:t>
            </w:r>
          </w:p>
        </w:tc>
        <w:tc>
          <w:tcPr>
            <w:tcW w:w="954" w:type="pct"/>
            <w:gridSpan w:val="2"/>
            <w:noWrap w:val="0"/>
            <w:tcMar>
              <w:top w:w="0" w:type="dxa"/>
              <w:left w:w="0" w:type="dxa"/>
              <w:bottom w:w="0" w:type="dxa"/>
              <w:right w:w="0" w:type="dxa"/>
            </w:tcMar>
            <w:vAlign w:val="center"/>
          </w:tcPr>
          <w:p w14:paraId="4C5AF83A">
            <w:pPr>
              <w:adjustRightInd w:val="0"/>
              <w:snapToGrid w:val="0"/>
              <w:jc w:val="center"/>
              <w:rPr>
                <w:color w:val="auto"/>
                <w:szCs w:val="21"/>
              </w:rPr>
            </w:pPr>
            <w:r>
              <w:rPr>
                <w:color w:val="auto"/>
                <w:szCs w:val="21"/>
              </w:rPr>
              <w:t>/</w:t>
            </w:r>
          </w:p>
        </w:tc>
        <w:tc>
          <w:tcPr>
            <w:tcW w:w="802" w:type="pct"/>
            <w:noWrap w:val="0"/>
            <w:tcMar>
              <w:top w:w="0" w:type="dxa"/>
              <w:left w:w="0" w:type="dxa"/>
              <w:bottom w:w="0" w:type="dxa"/>
              <w:right w:w="0" w:type="dxa"/>
            </w:tcMar>
            <w:vAlign w:val="center"/>
          </w:tcPr>
          <w:p w14:paraId="7739B201">
            <w:pPr>
              <w:adjustRightInd w:val="0"/>
              <w:snapToGrid w:val="0"/>
              <w:jc w:val="center"/>
              <w:rPr>
                <w:color w:val="auto"/>
                <w:szCs w:val="21"/>
              </w:rPr>
            </w:pPr>
            <w:r>
              <w:rPr>
                <w:color w:val="auto"/>
                <w:szCs w:val="21"/>
              </w:rPr>
              <w:t>/</w:t>
            </w:r>
          </w:p>
        </w:tc>
        <w:tc>
          <w:tcPr>
            <w:tcW w:w="848" w:type="pct"/>
            <w:noWrap w:val="0"/>
            <w:tcMar>
              <w:top w:w="0" w:type="dxa"/>
              <w:left w:w="0" w:type="dxa"/>
              <w:bottom w:w="0" w:type="dxa"/>
              <w:right w:w="0" w:type="dxa"/>
            </w:tcMar>
            <w:vAlign w:val="center"/>
          </w:tcPr>
          <w:p w14:paraId="1BDB8F9B">
            <w:pPr>
              <w:adjustRightInd w:val="0"/>
              <w:snapToGrid w:val="0"/>
              <w:jc w:val="center"/>
              <w:rPr>
                <w:color w:val="auto"/>
                <w:szCs w:val="21"/>
              </w:rPr>
            </w:pPr>
            <w:r>
              <w:rPr>
                <w:color w:val="auto"/>
                <w:szCs w:val="21"/>
              </w:rPr>
              <w:t>/</w:t>
            </w:r>
          </w:p>
        </w:tc>
        <w:tc>
          <w:tcPr>
            <w:tcW w:w="1874" w:type="pct"/>
            <w:noWrap w:val="0"/>
            <w:tcMar>
              <w:top w:w="0" w:type="dxa"/>
              <w:left w:w="0" w:type="dxa"/>
              <w:bottom w:w="0" w:type="dxa"/>
              <w:right w:w="0" w:type="dxa"/>
            </w:tcMar>
            <w:vAlign w:val="center"/>
          </w:tcPr>
          <w:p w14:paraId="43D5A2E8">
            <w:pPr>
              <w:adjustRightInd w:val="0"/>
              <w:snapToGrid w:val="0"/>
              <w:jc w:val="center"/>
              <w:rPr>
                <w:color w:val="auto"/>
                <w:szCs w:val="21"/>
              </w:rPr>
            </w:pPr>
            <w:r>
              <w:rPr>
                <w:color w:val="auto"/>
                <w:szCs w:val="21"/>
              </w:rPr>
              <w:t>/</w:t>
            </w:r>
          </w:p>
        </w:tc>
      </w:tr>
      <w:tr w14:paraId="0F4EFF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noWrap w:val="0"/>
            <w:tcMar>
              <w:top w:w="0" w:type="dxa"/>
              <w:left w:w="0" w:type="dxa"/>
              <w:bottom w:w="0" w:type="dxa"/>
              <w:right w:w="0" w:type="dxa"/>
            </w:tcMar>
            <w:vAlign w:val="center"/>
          </w:tcPr>
          <w:p w14:paraId="41ED7004">
            <w:pPr>
              <w:wordWrap w:val="0"/>
              <w:adjustRightInd w:val="0"/>
              <w:snapToGrid w:val="0"/>
              <w:jc w:val="center"/>
              <w:rPr>
                <w:color w:val="auto"/>
                <w:szCs w:val="21"/>
              </w:rPr>
            </w:pPr>
            <w:r>
              <w:rPr>
                <w:color w:val="auto"/>
                <w:szCs w:val="21"/>
              </w:rPr>
              <w:t>土壤及地下水污染防治措施</w:t>
            </w:r>
          </w:p>
        </w:tc>
        <w:tc>
          <w:tcPr>
            <w:tcW w:w="4480" w:type="pct"/>
            <w:gridSpan w:val="5"/>
            <w:noWrap w:val="0"/>
            <w:tcMar>
              <w:top w:w="0" w:type="dxa"/>
              <w:left w:w="0" w:type="dxa"/>
              <w:bottom w:w="0" w:type="dxa"/>
              <w:right w:w="0" w:type="dxa"/>
            </w:tcMar>
            <w:vAlign w:val="center"/>
          </w:tcPr>
          <w:p w14:paraId="741BAFFE">
            <w:pPr>
              <w:adjustRightInd w:val="0"/>
              <w:snapToGrid w:val="0"/>
              <w:jc w:val="center"/>
              <w:rPr>
                <w:rFonts w:hint="eastAsia" w:eastAsia="宋体"/>
                <w:color w:val="auto"/>
                <w:szCs w:val="21"/>
                <w:lang w:eastAsia="zh-CN"/>
              </w:rPr>
            </w:pPr>
            <w:r>
              <w:rPr>
                <w:color w:val="auto"/>
                <w:szCs w:val="21"/>
              </w:rPr>
              <w:t>源头控制、分区防控、加强管理</w:t>
            </w:r>
            <w:r>
              <w:rPr>
                <w:rFonts w:hint="eastAsia"/>
                <w:color w:val="auto"/>
                <w:szCs w:val="21"/>
                <w:lang w:eastAsia="zh-CN"/>
              </w:rPr>
              <w:t>。</w:t>
            </w:r>
          </w:p>
        </w:tc>
      </w:tr>
      <w:tr w14:paraId="30B5C0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noWrap w:val="0"/>
            <w:tcMar>
              <w:top w:w="0" w:type="dxa"/>
              <w:left w:w="0" w:type="dxa"/>
              <w:bottom w:w="0" w:type="dxa"/>
              <w:right w:w="0" w:type="dxa"/>
            </w:tcMar>
            <w:vAlign w:val="center"/>
          </w:tcPr>
          <w:p w14:paraId="4541D11C">
            <w:pPr>
              <w:wordWrap w:val="0"/>
              <w:adjustRightInd w:val="0"/>
              <w:snapToGrid w:val="0"/>
              <w:jc w:val="center"/>
              <w:rPr>
                <w:color w:val="auto"/>
                <w:szCs w:val="21"/>
              </w:rPr>
            </w:pPr>
            <w:r>
              <w:rPr>
                <w:color w:val="auto"/>
                <w:szCs w:val="21"/>
              </w:rPr>
              <w:t>生态保护措施</w:t>
            </w:r>
          </w:p>
        </w:tc>
        <w:tc>
          <w:tcPr>
            <w:tcW w:w="4480" w:type="pct"/>
            <w:gridSpan w:val="5"/>
            <w:noWrap w:val="0"/>
            <w:tcMar>
              <w:top w:w="0" w:type="dxa"/>
              <w:left w:w="0" w:type="dxa"/>
              <w:bottom w:w="0" w:type="dxa"/>
              <w:right w:w="0" w:type="dxa"/>
            </w:tcMar>
            <w:vAlign w:val="center"/>
          </w:tcPr>
          <w:p w14:paraId="7A869265">
            <w:pPr>
              <w:adjustRightInd w:val="0"/>
              <w:snapToGrid w:val="0"/>
              <w:jc w:val="center"/>
              <w:rPr>
                <w:rFonts w:hint="eastAsia" w:eastAsia="宋体"/>
                <w:color w:val="auto"/>
                <w:szCs w:val="21"/>
                <w:lang w:eastAsia="zh-CN"/>
              </w:rPr>
            </w:pPr>
            <w:r>
              <w:rPr>
                <w:color w:val="auto"/>
                <w:szCs w:val="21"/>
              </w:rPr>
              <w:t>无</w:t>
            </w:r>
            <w:r>
              <w:rPr>
                <w:rFonts w:hint="eastAsia"/>
                <w:color w:val="auto"/>
                <w:szCs w:val="21"/>
                <w:lang w:eastAsia="zh-CN"/>
              </w:rPr>
              <w:t>。</w:t>
            </w:r>
          </w:p>
        </w:tc>
      </w:tr>
      <w:tr w14:paraId="5ADA02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noWrap w:val="0"/>
            <w:tcMar>
              <w:top w:w="0" w:type="dxa"/>
              <w:left w:w="0" w:type="dxa"/>
              <w:bottom w:w="0" w:type="dxa"/>
              <w:right w:w="0" w:type="dxa"/>
            </w:tcMar>
            <w:vAlign w:val="center"/>
          </w:tcPr>
          <w:p w14:paraId="39091A71">
            <w:pPr>
              <w:pStyle w:val="87"/>
              <w:snapToGrid w:val="0"/>
              <w:jc w:val="center"/>
              <w:rPr>
                <w:rFonts w:eastAsia="宋体"/>
                <w:bCs/>
                <w:color w:val="auto"/>
                <w:sz w:val="21"/>
                <w:szCs w:val="21"/>
              </w:rPr>
            </w:pPr>
            <w:r>
              <w:rPr>
                <w:rFonts w:eastAsia="宋体"/>
                <w:bCs/>
                <w:color w:val="auto"/>
                <w:sz w:val="21"/>
                <w:szCs w:val="21"/>
              </w:rPr>
              <w:t>环境管理</w:t>
            </w:r>
          </w:p>
        </w:tc>
        <w:tc>
          <w:tcPr>
            <w:tcW w:w="4480" w:type="pct"/>
            <w:gridSpan w:val="5"/>
            <w:noWrap w:val="0"/>
            <w:tcMar>
              <w:top w:w="0" w:type="dxa"/>
              <w:left w:w="0" w:type="dxa"/>
              <w:bottom w:w="0" w:type="dxa"/>
              <w:right w:w="0" w:type="dxa"/>
            </w:tcMar>
            <w:vAlign w:val="center"/>
          </w:tcPr>
          <w:p w14:paraId="4DCA2C50">
            <w:pPr>
              <w:pStyle w:val="87"/>
              <w:snapToGrid w:val="0"/>
              <w:jc w:val="left"/>
              <w:rPr>
                <w:rFonts w:hint="eastAsia" w:eastAsia="宋体"/>
                <w:bCs/>
                <w:color w:val="auto"/>
                <w:sz w:val="21"/>
                <w:szCs w:val="21"/>
              </w:rPr>
            </w:pPr>
            <w:r>
              <w:rPr>
                <w:rFonts w:hint="eastAsia" w:eastAsia="宋体"/>
                <w:bCs/>
                <w:color w:val="auto"/>
                <w:sz w:val="21"/>
                <w:szCs w:val="21"/>
              </w:rPr>
              <w:t>建设单位</w:t>
            </w:r>
            <w:r>
              <w:rPr>
                <w:rFonts w:eastAsia="宋体"/>
                <w:bCs/>
                <w:color w:val="auto"/>
                <w:sz w:val="21"/>
                <w:szCs w:val="21"/>
              </w:rPr>
              <w:t>应定期清理车间，保持车间整洁；定期检查机械设备，以防设备老化，</w:t>
            </w:r>
            <w:r>
              <w:rPr>
                <w:rFonts w:hint="eastAsia" w:eastAsia="宋体"/>
                <w:bCs/>
                <w:color w:val="auto"/>
                <w:sz w:val="21"/>
                <w:szCs w:val="21"/>
              </w:rPr>
              <w:t>建设单位</w:t>
            </w:r>
            <w:r>
              <w:rPr>
                <w:rFonts w:eastAsia="宋体"/>
                <w:bCs/>
                <w:color w:val="auto"/>
                <w:sz w:val="21"/>
                <w:szCs w:val="21"/>
              </w:rPr>
              <w:t>应定期对各厂界进行噪声检测，一旦发现噪声超标，</w:t>
            </w:r>
            <w:r>
              <w:rPr>
                <w:rFonts w:hint="eastAsia" w:eastAsia="宋体"/>
                <w:bCs/>
                <w:color w:val="auto"/>
                <w:sz w:val="21"/>
                <w:szCs w:val="21"/>
              </w:rPr>
              <w:t>建设单位</w:t>
            </w:r>
            <w:r>
              <w:rPr>
                <w:rFonts w:eastAsia="宋体"/>
                <w:bCs/>
                <w:color w:val="auto"/>
                <w:sz w:val="21"/>
                <w:szCs w:val="21"/>
              </w:rPr>
              <w:t>应立即停产整改，待各厂界噪声检测数据恢复正常后即可恢复生产。公司还应开展常规监测，以了解污染物达标排放情况，每年对各废气（非甲烷总烃</w:t>
            </w:r>
            <w:r>
              <w:rPr>
                <w:rFonts w:hint="eastAsia" w:eastAsia="宋体"/>
                <w:bCs/>
                <w:color w:val="auto"/>
                <w:sz w:val="21"/>
                <w:szCs w:val="21"/>
                <w:lang w:eastAsia="zh-CN"/>
              </w:rPr>
              <w:t>、</w:t>
            </w:r>
            <w:r>
              <w:rPr>
                <w:rFonts w:hint="eastAsia" w:eastAsia="宋体"/>
                <w:bCs/>
                <w:color w:val="auto"/>
                <w:sz w:val="21"/>
                <w:szCs w:val="21"/>
                <w:lang w:val="en-US" w:eastAsia="zh-CN"/>
              </w:rPr>
              <w:t>颗粒物等</w:t>
            </w:r>
            <w:r>
              <w:rPr>
                <w:rFonts w:eastAsia="宋体"/>
                <w:bCs/>
                <w:color w:val="auto"/>
                <w:sz w:val="21"/>
                <w:szCs w:val="21"/>
              </w:rPr>
              <w:t>）、废水</w:t>
            </w:r>
            <w:r>
              <w:rPr>
                <w:rFonts w:hint="eastAsia" w:eastAsia="宋体"/>
                <w:bCs/>
                <w:color w:val="auto"/>
                <w:sz w:val="21"/>
                <w:szCs w:val="21"/>
              </w:rPr>
              <w:t>、</w:t>
            </w:r>
            <w:r>
              <w:rPr>
                <w:rFonts w:eastAsia="宋体"/>
                <w:bCs/>
                <w:color w:val="auto"/>
                <w:sz w:val="21"/>
                <w:szCs w:val="21"/>
              </w:rPr>
              <w:t>各厂界噪声、接管口各污染物浓度进行检测</w:t>
            </w:r>
            <w:r>
              <w:rPr>
                <w:rFonts w:hint="eastAsia" w:eastAsia="宋体"/>
                <w:bCs/>
                <w:color w:val="auto"/>
                <w:sz w:val="21"/>
                <w:szCs w:val="21"/>
              </w:rPr>
              <w:t>。</w:t>
            </w:r>
          </w:p>
        </w:tc>
      </w:tr>
      <w:tr w14:paraId="0C622B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noWrap w:val="0"/>
            <w:tcMar>
              <w:top w:w="0" w:type="dxa"/>
              <w:left w:w="0" w:type="dxa"/>
              <w:bottom w:w="0" w:type="dxa"/>
              <w:right w:w="0" w:type="dxa"/>
            </w:tcMar>
            <w:vAlign w:val="center"/>
          </w:tcPr>
          <w:p w14:paraId="10143D70">
            <w:pPr>
              <w:pStyle w:val="87"/>
              <w:snapToGrid w:val="0"/>
              <w:jc w:val="center"/>
              <w:rPr>
                <w:rFonts w:eastAsia="宋体"/>
                <w:bCs/>
                <w:color w:val="auto"/>
                <w:sz w:val="21"/>
                <w:szCs w:val="21"/>
              </w:rPr>
            </w:pPr>
            <w:r>
              <w:rPr>
                <w:rFonts w:eastAsia="宋体"/>
                <w:bCs/>
                <w:color w:val="auto"/>
                <w:sz w:val="21"/>
                <w:szCs w:val="21"/>
              </w:rPr>
              <w:t>总量平衡途径</w:t>
            </w:r>
          </w:p>
        </w:tc>
        <w:tc>
          <w:tcPr>
            <w:tcW w:w="4480" w:type="pct"/>
            <w:gridSpan w:val="5"/>
            <w:noWrap w:val="0"/>
            <w:tcMar>
              <w:top w:w="0" w:type="dxa"/>
              <w:left w:w="0" w:type="dxa"/>
              <w:bottom w:w="0" w:type="dxa"/>
              <w:right w:w="0" w:type="dxa"/>
            </w:tcMar>
            <w:vAlign w:val="center"/>
          </w:tcPr>
          <w:p w14:paraId="29C7D9BA">
            <w:pPr>
              <w:pStyle w:val="87"/>
              <w:snapToGrid w:val="0"/>
              <w:jc w:val="left"/>
              <w:rPr>
                <w:rFonts w:eastAsia="宋体"/>
                <w:bCs/>
                <w:color w:val="auto"/>
                <w:sz w:val="21"/>
                <w:szCs w:val="21"/>
              </w:rPr>
            </w:pPr>
            <w:r>
              <w:rPr>
                <w:rFonts w:eastAsia="宋体"/>
                <w:bCs/>
                <w:color w:val="auto"/>
                <w:sz w:val="21"/>
                <w:szCs w:val="21"/>
              </w:rPr>
              <w:t>①污水：本项目</w:t>
            </w:r>
            <w:r>
              <w:rPr>
                <w:rFonts w:hint="eastAsia" w:eastAsia="宋体"/>
                <w:bCs/>
                <w:color w:val="auto"/>
                <w:sz w:val="21"/>
                <w:szCs w:val="21"/>
              </w:rPr>
              <w:t>生活污水近期由第三方托运至常州金坛区第二污水处理有限公司，后期接管至常州金坛区第二污水处理有限公司集中处理</w:t>
            </w:r>
            <w:r>
              <w:rPr>
                <w:rFonts w:eastAsia="宋体"/>
                <w:bCs/>
                <w:color w:val="auto"/>
                <w:sz w:val="21"/>
                <w:szCs w:val="21"/>
              </w:rPr>
              <w:t>，污染物排放指标在</w:t>
            </w:r>
            <w:r>
              <w:rPr>
                <w:rFonts w:hint="eastAsia" w:eastAsia="宋体"/>
                <w:bCs/>
                <w:color w:val="auto"/>
                <w:sz w:val="21"/>
                <w:szCs w:val="21"/>
              </w:rPr>
              <w:t>常州金坛区第二污水处理有限公司</w:t>
            </w:r>
            <w:r>
              <w:rPr>
                <w:rFonts w:eastAsia="宋体"/>
                <w:bCs/>
                <w:color w:val="auto"/>
                <w:sz w:val="21"/>
                <w:szCs w:val="21"/>
              </w:rPr>
              <w:t>内平衡。②大气：本项目</w:t>
            </w:r>
            <w:r>
              <w:rPr>
                <w:rFonts w:hint="eastAsia" w:eastAsia="宋体"/>
                <w:bCs/>
                <w:color w:val="auto"/>
                <w:sz w:val="21"/>
                <w:szCs w:val="21"/>
              </w:rPr>
              <w:t>非甲烷总烃</w:t>
            </w:r>
            <w:r>
              <w:rPr>
                <w:rFonts w:hint="eastAsia" w:eastAsia="宋体"/>
                <w:bCs/>
                <w:color w:val="auto"/>
                <w:sz w:val="21"/>
                <w:szCs w:val="21"/>
                <w:lang w:eastAsia="zh-CN"/>
              </w:rPr>
              <w:t>、</w:t>
            </w:r>
            <w:r>
              <w:rPr>
                <w:rFonts w:hint="eastAsia" w:eastAsia="宋体"/>
                <w:bCs/>
                <w:color w:val="auto"/>
                <w:sz w:val="21"/>
                <w:szCs w:val="21"/>
                <w:lang w:val="en-US" w:eastAsia="zh-CN"/>
              </w:rPr>
              <w:t>颗粒物</w:t>
            </w:r>
            <w:r>
              <w:rPr>
                <w:rFonts w:eastAsia="宋体"/>
                <w:bCs/>
                <w:color w:val="auto"/>
                <w:sz w:val="21"/>
                <w:szCs w:val="21"/>
              </w:rPr>
              <w:t>需申请总量，在金坛区域内进行平衡</w:t>
            </w:r>
            <w:r>
              <w:rPr>
                <w:rFonts w:hint="eastAsia" w:eastAsia="宋体"/>
                <w:bCs/>
                <w:color w:val="auto"/>
                <w:sz w:val="21"/>
                <w:szCs w:val="21"/>
              </w:rPr>
              <w:t>。</w:t>
            </w:r>
            <w:r>
              <w:rPr>
                <w:rFonts w:eastAsia="宋体"/>
                <w:bCs/>
                <w:color w:val="auto"/>
                <w:sz w:val="21"/>
                <w:szCs w:val="21"/>
              </w:rPr>
              <w:t>③固废：固废均得到妥善处置，处置率100%，不排放，无需申请总量指标。</w:t>
            </w:r>
          </w:p>
        </w:tc>
      </w:tr>
      <w:tr w14:paraId="0F9CC8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noWrap w:val="0"/>
            <w:tcMar>
              <w:top w:w="0" w:type="dxa"/>
              <w:left w:w="0" w:type="dxa"/>
              <w:bottom w:w="0" w:type="dxa"/>
              <w:right w:w="0" w:type="dxa"/>
            </w:tcMar>
            <w:vAlign w:val="center"/>
          </w:tcPr>
          <w:p w14:paraId="423216A4">
            <w:pPr>
              <w:pStyle w:val="87"/>
              <w:snapToGrid w:val="0"/>
              <w:jc w:val="center"/>
              <w:rPr>
                <w:rFonts w:eastAsia="宋体"/>
                <w:bCs/>
                <w:color w:val="auto"/>
                <w:sz w:val="21"/>
                <w:szCs w:val="21"/>
              </w:rPr>
            </w:pPr>
            <w:r>
              <w:rPr>
                <w:rFonts w:eastAsia="宋体"/>
                <w:bCs/>
                <w:color w:val="auto"/>
                <w:sz w:val="21"/>
                <w:szCs w:val="21"/>
              </w:rPr>
              <w:t>区域解决问题</w:t>
            </w:r>
          </w:p>
        </w:tc>
        <w:tc>
          <w:tcPr>
            <w:tcW w:w="4480" w:type="pct"/>
            <w:gridSpan w:val="5"/>
            <w:noWrap w:val="0"/>
            <w:tcMar>
              <w:top w:w="0" w:type="dxa"/>
              <w:left w:w="0" w:type="dxa"/>
              <w:bottom w:w="0" w:type="dxa"/>
              <w:right w:w="0" w:type="dxa"/>
            </w:tcMar>
            <w:vAlign w:val="center"/>
          </w:tcPr>
          <w:p w14:paraId="1F899AA0">
            <w:pPr>
              <w:pStyle w:val="87"/>
              <w:snapToGrid w:val="0"/>
              <w:jc w:val="center"/>
              <w:rPr>
                <w:rFonts w:eastAsia="宋体"/>
                <w:bCs/>
                <w:color w:val="auto"/>
                <w:sz w:val="21"/>
                <w:szCs w:val="21"/>
              </w:rPr>
            </w:pPr>
            <w:r>
              <w:rPr>
                <w:rFonts w:eastAsia="宋体"/>
                <w:bCs/>
                <w:color w:val="auto"/>
                <w:sz w:val="21"/>
                <w:szCs w:val="21"/>
              </w:rPr>
              <w:t>—</w:t>
            </w:r>
          </w:p>
        </w:tc>
      </w:tr>
      <w:tr w14:paraId="3FD832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noWrap w:val="0"/>
            <w:tcMar>
              <w:top w:w="0" w:type="dxa"/>
              <w:left w:w="0" w:type="dxa"/>
              <w:bottom w:w="0" w:type="dxa"/>
              <w:right w:w="0" w:type="dxa"/>
            </w:tcMar>
            <w:vAlign w:val="center"/>
          </w:tcPr>
          <w:p w14:paraId="4D50F0F1">
            <w:pPr>
              <w:pStyle w:val="87"/>
              <w:snapToGrid w:val="0"/>
              <w:jc w:val="center"/>
              <w:rPr>
                <w:rFonts w:eastAsia="宋体"/>
                <w:bCs/>
                <w:color w:val="auto"/>
                <w:sz w:val="21"/>
                <w:szCs w:val="21"/>
              </w:rPr>
            </w:pPr>
            <w:r>
              <w:rPr>
                <w:rFonts w:eastAsia="宋体"/>
                <w:bCs/>
                <w:color w:val="auto"/>
                <w:sz w:val="21"/>
                <w:szCs w:val="21"/>
              </w:rPr>
              <w:t>大气防护距离设置</w:t>
            </w:r>
          </w:p>
        </w:tc>
        <w:tc>
          <w:tcPr>
            <w:tcW w:w="4480" w:type="pct"/>
            <w:gridSpan w:val="5"/>
            <w:noWrap w:val="0"/>
            <w:tcMar>
              <w:top w:w="0" w:type="dxa"/>
              <w:left w:w="0" w:type="dxa"/>
              <w:bottom w:w="0" w:type="dxa"/>
              <w:right w:w="0" w:type="dxa"/>
            </w:tcMar>
            <w:vAlign w:val="center"/>
          </w:tcPr>
          <w:p w14:paraId="6D703A66">
            <w:pPr>
              <w:pStyle w:val="87"/>
              <w:snapToGrid w:val="0"/>
              <w:jc w:val="center"/>
              <w:rPr>
                <w:rFonts w:hint="eastAsia" w:eastAsia="宋体"/>
                <w:bCs/>
                <w:color w:val="auto"/>
                <w:sz w:val="21"/>
                <w:szCs w:val="21"/>
                <w:lang w:eastAsia="zh-CN"/>
              </w:rPr>
            </w:pPr>
            <w:r>
              <w:rPr>
                <w:rFonts w:eastAsia="宋体"/>
                <w:bCs/>
                <w:color w:val="auto"/>
                <w:sz w:val="21"/>
                <w:szCs w:val="21"/>
              </w:rPr>
              <w:t>无需设大气环境防护距离</w:t>
            </w:r>
            <w:r>
              <w:rPr>
                <w:rFonts w:hint="eastAsia" w:eastAsia="宋体"/>
                <w:bCs/>
                <w:color w:val="auto"/>
                <w:sz w:val="21"/>
                <w:szCs w:val="21"/>
                <w:lang w:eastAsia="zh-CN"/>
              </w:rPr>
              <w:t>。</w:t>
            </w:r>
          </w:p>
        </w:tc>
      </w:tr>
      <w:tr w14:paraId="0025AF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noWrap w:val="0"/>
            <w:tcMar>
              <w:top w:w="0" w:type="dxa"/>
              <w:left w:w="0" w:type="dxa"/>
              <w:bottom w:w="0" w:type="dxa"/>
              <w:right w:w="0" w:type="dxa"/>
            </w:tcMar>
            <w:vAlign w:val="center"/>
          </w:tcPr>
          <w:p w14:paraId="6B34869D">
            <w:pPr>
              <w:pStyle w:val="87"/>
              <w:snapToGrid w:val="0"/>
              <w:jc w:val="center"/>
              <w:rPr>
                <w:rFonts w:eastAsia="宋体"/>
                <w:bCs/>
                <w:color w:val="auto"/>
                <w:sz w:val="21"/>
                <w:szCs w:val="21"/>
              </w:rPr>
            </w:pPr>
            <w:r>
              <w:rPr>
                <w:rFonts w:eastAsia="宋体"/>
                <w:bCs/>
                <w:color w:val="auto"/>
                <w:sz w:val="21"/>
                <w:szCs w:val="21"/>
              </w:rPr>
              <w:t>卫生防护距离设置</w:t>
            </w:r>
          </w:p>
        </w:tc>
        <w:tc>
          <w:tcPr>
            <w:tcW w:w="4480" w:type="pct"/>
            <w:gridSpan w:val="5"/>
            <w:noWrap w:val="0"/>
            <w:tcMar>
              <w:top w:w="0" w:type="dxa"/>
              <w:left w:w="0" w:type="dxa"/>
              <w:bottom w:w="0" w:type="dxa"/>
              <w:right w:w="0" w:type="dxa"/>
            </w:tcMar>
            <w:vAlign w:val="center"/>
          </w:tcPr>
          <w:p w14:paraId="5637F236">
            <w:pPr>
              <w:pStyle w:val="87"/>
              <w:snapToGrid w:val="0"/>
              <w:jc w:val="center"/>
              <w:rPr>
                <w:rFonts w:hint="eastAsia" w:eastAsia="宋体"/>
                <w:bCs/>
                <w:color w:val="auto"/>
                <w:sz w:val="21"/>
                <w:szCs w:val="21"/>
                <w:lang w:eastAsia="zh-CN"/>
              </w:rPr>
            </w:pPr>
            <w:r>
              <w:rPr>
                <w:rFonts w:hint="eastAsia" w:eastAsia="宋体"/>
                <w:bCs/>
                <w:color w:val="auto"/>
                <w:sz w:val="21"/>
                <w:szCs w:val="21"/>
                <w:lang w:val="en-US" w:eastAsia="zh-CN"/>
              </w:rPr>
              <w:t>生产车间无组织面源</w:t>
            </w:r>
            <w:r>
              <w:rPr>
                <w:rFonts w:eastAsia="宋体"/>
                <w:bCs/>
                <w:color w:val="auto"/>
                <w:sz w:val="21"/>
                <w:szCs w:val="21"/>
              </w:rPr>
              <w:t>外</w:t>
            </w:r>
            <w:r>
              <w:rPr>
                <w:rFonts w:hint="eastAsia" w:eastAsia="宋体"/>
                <w:bCs/>
                <w:color w:val="auto"/>
                <w:sz w:val="21"/>
                <w:szCs w:val="21"/>
                <w:lang w:val="en-US" w:eastAsia="zh-CN"/>
              </w:rPr>
              <w:t>100</w:t>
            </w:r>
            <w:r>
              <w:rPr>
                <w:rFonts w:eastAsia="宋体"/>
                <w:bCs/>
                <w:color w:val="auto"/>
                <w:sz w:val="21"/>
                <w:szCs w:val="21"/>
              </w:rPr>
              <w:t>m形成的包络线设置卫生防护距离</w:t>
            </w:r>
            <w:r>
              <w:rPr>
                <w:rFonts w:hint="eastAsia" w:eastAsia="宋体"/>
                <w:bCs/>
                <w:color w:val="auto"/>
                <w:sz w:val="21"/>
                <w:szCs w:val="21"/>
                <w:lang w:eastAsia="zh-CN"/>
              </w:rPr>
              <w:t>。</w:t>
            </w:r>
          </w:p>
        </w:tc>
      </w:tr>
      <w:tr w14:paraId="17F910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19" w:type="pct"/>
            <w:noWrap w:val="0"/>
            <w:tcMar>
              <w:top w:w="0" w:type="dxa"/>
              <w:left w:w="0" w:type="dxa"/>
              <w:bottom w:w="0" w:type="dxa"/>
              <w:right w:w="0" w:type="dxa"/>
            </w:tcMar>
            <w:vAlign w:val="center"/>
          </w:tcPr>
          <w:p w14:paraId="2A0B7F4D">
            <w:pPr>
              <w:pStyle w:val="87"/>
              <w:snapToGrid w:val="0"/>
              <w:jc w:val="center"/>
              <w:rPr>
                <w:rFonts w:hint="eastAsia" w:eastAsia="宋体"/>
                <w:bCs/>
                <w:color w:val="auto"/>
                <w:sz w:val="21"/>
                <w:szCs w:val="21"/>
                <w:lang w:val="en-US" w:eastAsia="zh-CN"/>
              </w:rPr>
            </w:pPr>
            <w:r>
              <w:rPr>
                <w:rFonts w:hint="eastAsia" w:eastAsia="宋体"/>
                <w:bCs/>
                <w:color w:val="auto"/>
                <w:sz w:val="21"/>
                <w:szCs w:val="21"/>
                <w:lang w:val="en-US" w:eastAsia="zh-CN"/>
              </w:rPr>
              <w:t>其他</w:t>
            </w:r>
          </w:p>
        </w:tc>
        <w:tc>
          <w:tcPr>
            <w:tcW w:w="4480" w:type="pct"/>
            <w:gridSpan w:val="5"/>
            <w:noWrap w:val="0"/>
            <w:tcMar>
              <w:top w:w="0" w:type="dxa"/>
              <w:left w:w="0" w:type="dxa"/>
              <w:bottom w:w="0" w:type="dxa"/>
              <w:right w:w="0" w:type="dxa"/>
            </w:tcMar>
            <w:vAlign w:val="center"/>
          </w:tcPr>
          <w:p w14:paraId="79A9F75A">
            <w:pPr>
              <w:pStyle w:val="87"/>
              <w:snapToGrid w:val="0"/>
              <w:jc w:val="left"/>
              <w:rPr>
                <w:rFonts w:hint="eastAsia" w:eastAsia="宋体"/>
                <w:bCs/>
                <w:color w:val="auto"/>
                <w:sz w:val="21"/>
                <w:szCs w:val="21"/>
                <w:lang w:val="en-US" w:eastAsia="zh-CN"/>
              </w:rPr>
            </w:pPr>
            <w:r>
              <w:rPr>
                <w:rFonts w:hint="eastAsia" w:eastAsia="宋体"/>
                <w:bCs/>
                <w:color w:val="auto"/>
                <w:sz w:val="21"/>
                <w:szCs w:val="21"/>
                <w:lang w:val="en-US" w:eastAsia="zh-CN"/>
              </w:rPr>
              <w:t>一、要求</w:t>
            </w:r>
          </w:p>
          <w:p w14:paraId="6E0E00B4">
            <w:pPr>
              <w:pStyle w:val="87"/>
              <w:snapToGrid w:val="0"/>
              <w:jc w:val="left"/>
              <w:rPr>
                <w:rFonts w:hint="eastAsia" w:eastAsia="宋体"/>
                <w:bCs/>
                <w:color w:val="auto"/>
                <w:sz w:val="21"/>
                <w:szCs w:val="21"/>
                <w:lang w:val="en-US" w:eastAsia="zh-CN"/>
              </w:rPr>
            </w:pPr>
            <w:r>
              <w:rPr>
                <w:rFonts w:hint="eastAsia" w:eastAsia="宋体"/>
                <w:bCs/>
                <w:color w:val="auto"/>
                <w:sz w:val="21"/>
                <w:szCs w:val="21"/>
                <w:lang w:val="en-US" w:eastAsia="zh-CN"/>
              </w:rPr>
              <w:t>1、上述评价结论是根据建设方提供的规模、原辅材料用量及与此对应的排污情况基础上进行的，如果规模和排污情况发生重大变动，建设单位应按环保部门的要求另行申报。</w:t>
            </w:r>
          </w:p>
          <w:p w14:paraId="798F43CE">
            <w:pPr>
              <w:pStyle w:val="87"/>
              <w:snapToGrid w:val="0"/>
              <w:jc w:val="left"/>
              <w:rPr>
                <w:rFonts w:hint="eastAsia" w:eastAsia="宋体"/>
                <w:bCs/>
                <w:color w:val="auto"/>
                <w:sz w:val="21"/>
                <w:szCs w:val="21"/>
                <w:lang w:val="en-US" w:eastAsia="zh-CN"/>
              </w:rPr>
            </w:pPr>
            <w:r>
              <w:rPr>
                <w:rFonts w:hint="eastAsia" w:eastAsia="宋体"/>
                <w:bCs/>
                <w:color w:val="auto"/>
                <w:sz w:val="21"/>
                <w:szCs w:val="21"/>
                <w:lang w:val="en-US" w:eastAsia="zh-CN"/>
              </w:rPr>
              <w:t>2、建设单位在项目实施过程中，务必认真落实各项治理措施，加强对环保设施的运行管理制定有效的管理规章制度，落实到人。公司应十分重视引进和建立先进的环保管理模式，完善管理机制，强化职工自身的环保意识。</w:t>
            </w:r>
          </w:p>
          <w:p w14:paraId="4A0D1ECB">
            <w:pPr>
              <w:pStyle w:val="87"/>
              <w:snapToGrid w:val="0"/>
              <w:jc w:val="left"/>
              <w:rPr>
                <w:rFonts w:hint="eastAsia" w:eastAsia="宋体"/>
                <w:bCs/>
                <w:color w:val="auto"/>
                <w:sz w:val="21"/>
                <w:szCs w:val="21"/>
                <w:lang w:val="en-US" w:eastAsia="zh-CN"/>
              </w:rPr>
            </w:pPr>
            <w:r>
              <w:rPr>
                <w:rFonts w:hint="eastAsia" w:eastAsia="宋体"/>
                <w:bCs/>
                <w:color w:val="auto"/>
                <w:sz w:val="21"/>
                <w:szCs w:val="21"/>
                <w:lang w:val="en-US" w:eastAsia="zh-CN"/>
              </w:rPr>
              <w:t>3、项目涉及的各类环境污染治理设施将同步及时按规划、消防、安全等相关部门的管理要求办理相关手续，严格依据标准规范建设环境治理设施，确保环境治理设施安全、稳定、有效运行。</w:t>
            </w:r>
          </w:p>
          <w:p w14:paraId="7F9733D4">
            <w:pPr>
              <w:pStyle w:val="87"/>
              <w:snapToGrid w:val="0"/>
              <w:jc w:val="left"/>
              <w:rPr>
                <w:rFonts w:hint="eastAsia" w:eastAsia="宋体"/>
                <w:bCs/>
                <w:color w:val="auto"/>
                <w:sz w:val="21"/>
                <w:szCs w:val="21"/>
                <w:lang w:val="en-US" w:eastAsia="zh-CN"/>
              </w:rPr>
            </w:pPr>
            <w:r>
              <w:rPr>
                <w:rFonts w:hint="eastAsia" w:eastAsia="宋体"/>
                <w:bCs/>
                <w:color w:val="auto"/>
                <w:sz w:val="21"/>
                <w:szCs w:val="21"/>
                <w:lang w:val="en-US" w:eastAsia="zh-CN"/>
              </w:rPr>
              <w:t>二、建议</w:t>
            </w:r>
          </w:p>
          <w:p w14:paraId="680B070A">
            <w:pPr>
              <w:pStyle w:val="87"/>
              <w:snapToGrid w:val="0"/>
              <w:jc w:val="left"/>
              <w:rPr>
                <w:rFonts w:hint="eastAsia" w:eastAsia="宋体"/>
                <w:bCs/>
                <w:color w:val="auto"/>
                <w:sz w:val="21"/>
                <w:szCs w:val="21"/>
                <w:lang w:val="en-US" w:eastAsia="zh-CN"/>
              </w:rPr>
            </w:pPr>
            <w:r>
              <w:rPr>
                <w:rFonts w:hint="eastAsia" w:eastAsia="宋体"/>
                <w:bCs/>
                <w:color w:val="auto"/>
                <w:sz w:val="21"/>
                <w:szCs w:val="21"/>
                <w:lang w:val="en-US" w:eastAsia="zh-CN"/>
              </w:rPr>
              <w:t>①建设项目应加强环境管理。</w:t>
            </w:r>
          </w:p>
          <w:p w14:paraId="21E7DACA">
            <w:pPr>
              <w:pStyle w:val="87"/>
              <w:snapToGrid w:val="0"/>
              <w:jc w:val="left"/>
              <w:rPr>
                <w:rFonts w:hint="eastAsia" w:eastAsia="宋体"/>
                <w:bCs/>
                <w:color w:val="auto"/>
                <w:sz w:val="21"/>
                <w:szCs w:val="21"/>
                <w:lang w:val="en-US" w:eastAsia="zh-CN"/>
              </w:rPr>
            </w:pPr>
            <w:r>
              <w:rPr>
                <w:rFonts w:hint="eastAsia" w:eastAsia="宋体"/>
                <w:bCs/>
                <w:color w:val="auto"/>
                <w:sz w:val="21"/>
                <w:szCs w:val="21"/>
                <w:lang w:val="en-US" w:eastAsia="zh-CN"/>
              </w:rPr>
              <w:t>②尽量选择低噪声设备，并对部分高噪声设备采取减振降噪措施，以改善项目周围的声环境质量。</w:t>
            </w:r>
          </w:p>
          <w:p w14:paraId="21F5E8D3">
            <w:pPr>
              <w:pStyle w:val="87"/>
              <w:snapToGrid w:val="0"/>
              <w:jc w:val="left"/>
              <w:rPr>
                <w:rFonts w:hint="eastAsia" w:eastAsia="宋体"/>
                <w:bCs/>
                <w:color w:val="auto"/>
                <w:sz w:val="21"/>
                <w:szCs w:val="21"/>
                <w:lang w:val="en-US" w:eastAsia="zh-CN"/>
              </w:rPr>
            </w:pPr>
            <w:r>
              <w:rPr>
                <w:rFonts w:hint="eastAsia" w:eastAsia="宋体"/>
                <w:bCs/>
                <w:color w:val="auto"/>
                <w:sz w:val="21"/>
                <w:szCs w:val="21"/>
                <w:lang w:val="en-US" w:eastAsia="zh-CN"/>
              </w:rPr>
              <w:t>③加强业务培训和宣传教育工作，使每个职工树立节能意识、环保意识，保障清洁生产的顺利实施。</w:t>
            </w:r>
          </w:p>
        </w:tc>
      </w:tr>
    </w:tbl>
    <w:p w14:paraId="7FE654CC">
      <w:pPr>
        <w:pStyle w:val="25"/>
        <w:adjustRightInd w:val="0"/>
        <w:snapToGrid w:val="0"/>
        <w:spacing w:before="0" w:beforeAutospacing="0" w:after="0" w:afterAutospacing="0"/>
        <w:outlineLvl w:val="0"/>
        <w:rPr>
          <w:rFonts w:ascii="Times New Roman" w:hAnsi="Times New Roman"/>
          <w:b/>
          <w:bCs/>
          <w:snapToGrid w:val="0"/>
          <w:color w:val="auto"/>
          <w:sz w:val="30"/>
          <w:szCs w:val="30"/>
        </w:rPr>
        <w:sectPr>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p>
    <w:p w14:paraId="373D5B2B">
      <w:pPr>
        <w:pStyle w:val="25"/>
        <w:adjustRightInd w:val="0"/>
        <w:snapToGrid w:val="0"/>
        <w:spacing w:before="0" w:beforeAutospacing="0" w:after="0" w:afterAutospacing="0"/>
        <w:outlineLvl w:val="0"/>
        <w:rPr>
          <w:rFonts w:ascii="Times New Roman" w:hAnsi="Times New Roman"/>
          <w:b/>
          <w:bCs/>
          <w:snapToGrid w:val="0"/>
          <w:color w:val="auto"/>
          <w:sz w:val="30"/>
          <w:szCs w:val="30"/>
        </w:rPr>
      </w:pPr>
      <w:bookmarkStart w:id="33" w:name="_Toc6712"/>
      <w:r>
        <w:rPr>
          <w:rFonts w:ascii="Times New Roman" w:hAnsi="Times New Roman"/>
          <w:b/>
          <w:bCs/>
          <w:snapToGrid w:val="0"/>
          <w:color w:val="auto"/>
          <w:sz w:val="30"/>
          <w:szCs w:val="30"/>
        </w:rPr>
        <w:t>六、结论</w:t>
      </w:r>
      <w:bookmarkEnd w:id="33"/>
    </w:p>
    <w:tbl>
      <w:tblPr>
        <w:tblStyle w:val="28"/>
        <w:tblW w:w="0" w:type="auto"/>
        <w:jc w:val="center"/>
        <w:tblBorders>
          <w:top w:val="single" w:color="auto" w:sz="6" w:space="0"/>
          <w:left w:val="single" w:color="auto" w:sz="6" w:space="0"/>
          <w:bottom w:val="single" w:color="auto" w:sz="6" w:space="0"/>
          <w:right w:val="single" w:color="auto" w:sz="6" w:space="0"/>
          <w:insideH w:val="single" w:color="auto" w:sz="4" w:space="0"/>
          <w:insideV w:val="none" w:color="auto" w:sz="0" w:space="0"/>
        </w:tblBorders>
        <w:tblLayout w:type="fixed"/>
        <w:tblCellMar>
          <w:top w:w="0" w:type="dxa"/>
          <w:left w:w="108" w:type="dxa"/>
          <w:bottom w:w="0" w:type="dxa"/>
          <w:right w:w="108" w:type="dxa"/>
        </w:tblCellMar>
      </w:tblPr>
      <w:tblGrid>
        <w:gridCol w:w="8865"/>
      </w:tblGrid>
      <w:tr w14:paraId="63663802">
        <w:tblPrEx>
          <w:tblBorders>
            <w:top w:val="single" w:color="auto" w:sz="6" w:space="0"/>
            <w:left w:val="single" w:color="auto" w:sz="6" w:space="0"/>
            <w:bottom w:val="single" w:color="auto" w:sz="6" w:space="0"/>
            <w:right w:val="single" w:color="auto" w:sz="6" w:space="0"/>
            <w:insideH w:val="single" w:color="auto" w:sz="4" w:space="0"/>
            <w:insideV w:val="none" w:color="auto" w:sz="0" w:space="0"/>
          </w:tblBorders>
          <w:tblCellMar>
            <w:top w:w="0" w:type="dxa"/>
            <w:left w:w="108" w:type="dxa"/>
            <w:bottom w:w="0" w:type="dxa"/>
            <w:right w:w="108" w:type="dxa"/>
          </w:tblCellMar>
        </w:tblPrEx>
        <w:trPr>
          <w:trHeight w:val="340" w:hRule="atLeast"/>
          <w:jc w:val="center"/>
        </w:trPr>
        <w:tc>
          <w:tcPr>
            <w:tcW w:w="8865" w:type="dxa"/>
            <w:noWrap w:val="0"/>
            <w:vAlign w:val="center"/>
          </w:tcPr>
          <w:p w14:paraId="094462D0">
            <w:pPr>
              <w:spacing w:before="120" w:beforeLines="50" w:line="360" w:lineRule="auto"/>
              <w:ind w:firstLine="420" w:firstLineChars="200"/>
              <w:rPr>
                <w:bCs/>
                <w:color w:val="auto"/>
                <w:szCs w:val="21"/>
              </w:rPr>
            </w:pPr>
            <w:r>
              <w:rPr>
                <w:bCs/>
                <w:color w:val="auto"/>
                <w:szCs w:val="21"/>
              </w:rPr>
              <w:t>本项目的建设符合国家产业政策，选址与当地规划相符，各项污染物能够实现达标排放，对环境的影响较小，不会造成区域环境功能的改变，因此从环境保护的角度来讲，本评价认为该项目在坚持“三同时”原则并采取一定的环保措施后，在拟建地建设是可行的。</w:t>
            </w:r>
          </w:p>
          <w:p w14:paraId="4369622E">
            <w:pPr>
              <w:pStyle w:val="2"/>
              <w:spacing w:after="0" w:line="360" w:lineRule="auto"/>
              <w:ind w:firstLine="420" w:firstLineChars="200"/>
              <w:rPr>
                <w:rFonts w:hint="eastAsia"/>
                <w:bCs/>
                <w:color w:val="auto"/>
                <w:szCs w:val="21"/>
              </w:rPr>
            </w:pPr>
          </w:p>
          <w:p w14:paraId="3B045B63">
            <w:pPr>
              <w:rPr>
                <w:bCs/>
                <w:color w:val="auto"/>
                <w:szCs w:val="21"/>
              </w:rPr>
            </w:pPr>
          </w:p>
          <w:p w14:paraId="46250823">
            <w:pPr>
              <w:pStyle w:val="2"/>
              <w:rPr>
                <w:bCs/>
                <w:color w:val="auto"/>
                <w:szCs w:val="21"/>
              </w:rPr>
            </w:pPr>
          </w:p>
          <w:p w14:paraId="08E479F5">
            <w:pPr>
              <w:pStyle w:val="3"/>
              <w:widowControl w:val="0"/>
              <w:numPr>
                <w:ilvl w:val="0"/>
                <w:numId w:val="0"/>
              </w:numPr>
              <w:jc w:val="both"/>
              <w:rPr>
                <w:bCs/>
                <w:color w:val="auto"/>
                <w:szCs w:val="21"/>
              </w:rPr>
            </w:pPr>
          </w:p>
          <w:p w14:paraId="446CED15">
            <w:pPr>
              <w:pStyle w:val="3"/>
              <w:widowControl w:val="0"/>
              <w:numPr>
                <w:ilvl w:val="0"/>
                <w:numId w:val="0"/>
              </w:numPr>
              <w:jc w:val="both"/>
              <w:rPr>
                <w:bCs/>
                <w:color w:val="auto"/>
                <w:szCs w:val="21"/>
              </w:rPr>
            </w:pPr>
          </w:p>
          <w:p w14:paraId="01D0E132">
            <w:pPr>
              <w:pStyle w:val="3"/>
              <w:widowControl w:val="0"/>
              <w:numPr>
                <w:ilvl w:val="0"/>
                <w:numId w:val="0"/>
              </w:numPr>
              <w:jc w:val="both"/>
              <w:rPr>
                <w:bCs/>
                <w:color w:val="auto"/>
                <w:szCs w:val="21"/>
              </w:rPr>
            </w:pPr>
          </w:p>
          <w:p w14:paraId="05702893">
            <w:pPr>
              <w:pStyle w:val="3"/>
              <w:widowControl w:val="0"/>
              <w:numPr>
                <w:ilvl w:val="0"/>
                <w:numId w:val="0"/>
              </w:numPr>
              <w:jc w:val="both"/>
              <w:rPr>
                <w:bCs/>
                <w:color w:val="auto"/>
                <w:szCs w:val="21"/>
              </w:rPr>
            </w:pPr>
          </w:p>
          <w:p w14:paraId="62229213">
            <w:pPr>
              <w:pStyle w:val="3"/>
              <w:widowControl w:val="0"/>
              <w:numPr>
                <w:ilvl w:val="0"/>
                <w:numId w:val="0"/>
              </w:numPr>
              <w:jc w:val="both"/>
              <w:rPr>
                <w:bCs/>
                <w:color w:val="auto"/>
                <w:szCs w:val="21"/>
              </w:rPr>
            </w:pPr>
          </w:p>
          <w:p w14:paraId="531972C3">
            <w:pPr>
              <w:pStyle w:val="3"/>
              <w:widowControl w:val="0"/>
              <w:numPr>
                <w:ilvl w:val="0"/>
                <w:numId w:val="0"/>
              </w:numPr>
              <w:jc w:val="both"/>
              <w:rPr>
                <w:bCs/>
                <w:color w:val="auto"/>
                <w:szCs w:val="21"/>
              </w:rPr>
            </w:pPr>
          </w:p>
          <w:p w14:paraId="399835FB">
            <w:pPr>
              <w:pStyle w:val="3"/>
              <w:widowControl w:val="0"/>
              <w:numPr>
                <w:ilvl w:val="0"/>
                <w:numId w:val="0"/>
              </w:numPr>
              <w:jc w:val="both"/>
              <w:rPr>
                <w:bCs/>
                <w:color w:val="auto"/>
                <w:szCs w:val="21"/>
              </w:rPr>
            </w:pPr>
          </w:p>
          <w:p w14:paraId="00785BED">
            <w:pPr>
              <w:pStyle w:val="3"/>
              <w:widowControl w:val="0"/>
              <w:numPr>
                <w:ilvl w:val="0"/>
                <w:numId w:val="0"/>
              </w:numPr>
              <w:jc w:val="both"/>
              <w:rPr>
                <w:bCs/>
                <w:color w:val="auto"/>
                <w:szCs w:val="21"/>
              </w:rPr>
            </w:pPr>
          </w:p>
          <w:p w14:paraId="0494131C">
            <w:pPr>
              <w:pStyle w:val="3"/>
              <w:widowControl w:val="0"/>
              <w:numPr>
                <w:ilvl w:val="0"/>
                <w:numId w:val="0"/>
              </w:numPr>
              <w:jc w:val="both"/>
              <w:rPr>
                <w:bCs/>
                <w:color w:val="auto"/>
                <w:szCs w:val="21"/>
              </w:rPr>
            </w:pPr>
          </w:p>
          <w:p w14:paraId="2F78139D">
            <w:pPr>
              <w:pStyle w:val="3"/>
              <w:widowControl w:val="0"/>
              <w:numPr>
                <w:ilvl w:val="0"/>
                <w:numId w:val="0"/>
              </w:numPr>
              <w:jc w:val="both"/>
              <w:rPr>
                <w:bCs/>
                <w:color w:val="auto"/>
                <w:szCs w:val="21"/>
              </w:rPr>
            </w:pPr>
          </w:p>
          <w:p w14:paraId="6B6E3ACB">
            <w:pPr>
              <w:pStyle w:val="3"/>
              <w:widowControl w:val="0"/>
              <w:numPr>
                <w:ilvl w:val="0"/>
                <w:numId w:val="0"/>
              </w:numPr>
              <w:jc w:val="both"/>
              <w:rPr>
                <w:bCs/>
                <w:color w:val="auto"/>
                <w:szCs w:val="21"/>
              </w:rPr>
            </w:pPr>
          </w:p>
          <w:p w14:paraId="00D4E6A2">
            <w:pPr>
              <w:pStyle w:val="3"/>
              <w:widowControl w:val="0"/>
              <w:numPr>
                <w:ilvl w:val="0"/>
                <w:numId w:val="0"/>
              </w:numPr>
              <w:jc w:val="both"/>
              <w:rPr>
                <w:bCs/>
                <w:color w:val="auto"/>
                <w:szCs w:val="21"/>
              </w:rPr>
            </w:pPr>
          </w:p>
          <w:p w14:paraId="6512CAD4">
            <w:pPr>
              <w:pStyle w:val="3"/>
              <w:widowControl w:val="0"/>
              <w:numPr>
                <w:ilvl w:val="0"/>
                <w:numId w:val="0"/>
              </w:numPr>
              <w:jc w:val="both"/>
              <w:rPr>
                <w:bCs/>
                <w:color w:val="auto"/>
                <w:szCs w:val="21"/>
              </w:rPr>
            </w:pPr>
          </w:p>
          <w:p w14:paraId="46B0E6CE">
            <w:pPr>
              <w:pStyle w:val="3"/>
              <w:widowControl w:val="0"/>
              <w:numPr>
                <w:ilvl w:val="0"/>
                <w:numId w:val="0"/>
              </w:numPr>
              <w:jc w:val="both"/>
              <w:rPr>
                <w:bCs/>
                <w:color w:val="auto"/>
                <w:szCs w:val="21"/>
              </w:rPr>
            </w:pPr>
          </w:p>
          <w:p w14:paraId="44500686">
            <w:pPr>
              <w:pStyle w:val="3"/>
              <w:widowControl w:val="0"/>
              <w:numPr>
                <w:ilvl w:val="0"/>
                <w:numId w:val="0"/>
              </w:numPr>
              <w:jc w:val="both"/>
              <w:rPr>
                <w:bCs/>
                <w:color w:val="auto"/>
                <w:szCs w:val="21"/>
              </w:rPr>
            </w:pPr>
          </w:p>
          <w:p w14:paraId="1C1D93CA">
            <w:pPr>
              <w:pStyle w:val="3"/>
              <w:widowControl w:val="0"/>
              <w:numPr>
                <w:ilvl w:val="0"/>
                <w:numId w:val="0"/>
              </w:numPr>
              <w:jc w:val="both"/>
              <w:rPr>
                <w:bCs/>
                <w:color w:val="auto"/>
                <w:szCs w:val="21"/>
              </w:rPr>
            </w:pPr>
          </w:p>
          <w:p w14:paraId="16D1CD28">
            <w:pPr>
              <w:pStyle w:val="3"/>
              <w:widowControl w:val="0"/>
              <w:numPr>
                <w:ilvl w:val="0"/>
                <w:numId w:val="0"/>
              </w:numPr>
              <w:jc w:val="both"/>
              <w:rPr>
                <w:bCs/>
                <w:color w:val="auto"/>
                <w:szCs w:val="21"/>
              </w:rPr>
            </w:pPr>
          </w:p>
          <w:p w14:paraId="4D1F7D87">
            <w:pPr>
              <w:pStyle w:val="3"/>
              <w:widowControl w:val="0"/>
              <w:numPr>
                <w:ilvl w:val="0"/>
                <w:numId w:val="0"/>
              </w:numPr>
              <w:jc w:val="both"/>
              <w:rPr>
                <w:bCs/>
                <w:color w:val="auto"/>
                <w:szCs w:val="21"/>
              </w:rPr>
            </w:pPr>
          </w:p>
          <w:p w14:paraId="03DF3344">
            <w:pPr>
              <w:pStyle w:val="3"/>
              <w:widowControl w:val="0"/>
              <w:numPr>
                <w:ilvl w:val="0"/>
                <w:numId w:val="0"/>
              </w:numPr>
              <w:jc w:val="both"/>
              <w:rPr>
                <w:bCs/>
                <w:color w:val="auto"/>
                <w:szCs w:val="21"/>
              </w:rPr>
            </w:pPr>
          </w:p>
          <w:p w14:paraId="2C29EBA9">
            <w:pPr>
              <w:pStyle w:val="3"/>
              <w:widowControl w:val="0"/>
              <w:numPr>
                <w:ilvl w:val="0"/>
                <w:numId w:val="0"/>
              </w:numPr>
              <w:jc w:val="both"/>
              <w:rPr>
                <w:bCs/>
                <w:color w:val="auto"/>
                <w:szCs w:val="21"/>
              </w:rPr>
            </w:pPr>
          </w:p>
          <w:p w14:paraId="7198FA92">
            <w:pPr>
              <w:pStyle w:val="3"/>
              <w:widowControl w:val="0"/>
              <w:numPr>
                <w:ilvl w:val="0"/>
                <w:numId w:val="0"/>
              </w:numPr>
              <w:jc w:val="both"/>
              <w:rPr>
                <w:bCs/>
                <w:color w:val="auto"/>
                <w:szCs w:val="21"/>
              </w:rPr>
            </w:pPr>
          </w:p>
          <w:p w14:paraId="4C73FF4C">
            <w:pPr>
              <w:pStyle w:val="3"/>
              <w:widowControl w:val="0"/>
              <w:numPr>
                <w:ilvl w:val="0"/>
                <w:numId w:val="0"/>
              </w:numPr>
              <w:jc w:val="both"/>
              <w:rPr>
                <w:bCs/>
                <w:color w:val="auto"/>
                <w:szCs w:val="21"/>
              </w:rPr>
            </w:pPr>
          </w:p>
          <w:p w14:paraId="57C4EE64">
            <w:pPr>
              <w:pStyle w:val="3"/>
              <w:widowControl w:val="0"/>
              <w:numPr>
                <w:ilvl w:val="0"/>
                <w:numId w:val="0"/>
              </w:numPr>
              <w:jc w:val="both"/>
              <w:rPr>
                <w:bCs/>
                <w:color w:val="auto"/>
                <w:szCs w:val="21"/>
              </w:rPr>
            </w:pPr>
          </w:p>
          <w:p w14:paraId="4DDFE47A">
            <w:pPr>
              <w:rPr>
                <w:bCs/>
                <w:color w:val="auto"/>
                <w:szCs w:val="21"/>
              </w:rPr>
            </w:pPr>
          </w:p>
          <w:p w14:paraId="05C66101">
            <w:pPr>
              <w:pStyle w:val="2"/>
              <w:rPr>
                <w:bCs/>
                <w:color w:val="auto"/>
                <w:szCs w:val="21"/>
              </w:rPr>
            </w:pPr>
          </w:p>
          <w:p w14:paraId="15888FC9">
            <w:pPr>
              <w:rPr>
                <w:bCs/>
                <w:color w:val="auto"/>
                <w:szCs w:val="21"/>
              </w:rPr>
            </w:pPr>
          </w:p>
          <w:p w14:paraId="32AC0EAD">
            <w:pPr>
              <w:pStyle w:val="2"/>
              <w:rPr>
                <w:bCs/>
                <w:color w:val="auto"/>
                <w:szCs w:val="21"/>
              </w:rPr>
            </w:pPr>
          </w:p>
          <w:p w14:paraId="6284E99C">
            <w:pPr>
              <w:rPr>
                <w:bCs/>
                <w:color w:val="auto"/>
                <w:szCs w:val="21"/>
              </w:rPr>
            </w:pPr>
          </w:p>
          <w:p w14:paraId="2CD0A76E">
            <w:pPr>
              <w:pStyle w:val="2"/>
              <w:rPr>
                <w:bCs/>
                <w:color w:val="auto"/>
                <w:szCs w:val="21"/>
              </w:rPr>
            </w:pPr>
          </w:p>
          <w:p w14:paraId="76C310CA">
            <w:pPr>
              <w:rPr>
                <w:bCs/>
                <w:color w:val="auto"/>
                <w:szCs w:val="21"/>
              </w:rPr>
            </w:pPr>
          </w:p>
          <w:p w14:paraId="58BB6DE4">
            <w:pPr>
              <w:pStyle w:val="2"/>
              <w:rPr>
                <w:bCs/>
                <w:color w:val="auto"/>
                <w:szCs w:val="21"/>
              </w:rPr>
            </w:pPr>
          </w:p>
          <w:p w14:paraId="250000B6">
            <w:pPr>
              <w:rPr>
                <w:bCs/>
                <w:color w:val="auto"/>
                <w:szCs w:val="21"/>
              </w:rPr>
            </w:pPr>
          </w:p>
          <w:p w14:paraId="23BACF09">
            <w:pPr>
              <w:pStyle w:val="2"/>
              <w:rPr>
                <w:bCs/>
                <w:color w:val="auto"/>
                <w:szCs w:val="21"/>
              </w:rPr>
            </w:pPr>
          </w:p>
          <w:p w14:paraId="5E9404BE">
            <w:pPr>
              <w:rPr>
                <w:bCs/>
                <w:color w:val="auto"/>
                <w:szCs w:val="21"/>
              </w:rPr>
            </w:pPr>
          </w:p>
          <w:p w14:paraId="4FFAC745">
            <w:pPr>
              <w:pStyle w:val="2"/>
              <w:rPr>
                <w:bCs/>
                <w:color w:val="auto"/>
                <w:szCs w:val="21"/>
              </w:rPr>
            </w:pPr>
          </w:p>
          <w:p w14:paraId="04388E2C">
            <w:pPr>
              <w:rPr>
                <w:bCs/>
                <w:color w:val="auto"/>
                <w:szCs w:val="21"/>
              </w:rPr>
            </w:pPr>
          </w:p>
          <w:p w14:paraId="6DA3D347">
            <w:pPr>
              <w:pStyle w:val="2"/>
              <w:rPr>
                <w:bCs/>
                <w:color w:val="auto"/>
                <w:szCs w:val="21"/>
              </w:rPr>
            </w:pPr>
          </w:p>
          <w:p w14:paraId="5271DD8B">
            <w:pPr>
              <w:rPr>
                <w:bCs/>
                <w:color w:val="auto"/>
                <w:szCs w:val="21"/>
              </w:rPr>
            </w:pPr>
          </w:p>
          <w:p w14:paraId="7388BC8A">
            <w:pPr>
              <w:spacing w:line="360" w:lineRule="auto"/>
              <w:rPr>
                <w:color w:val="auto"/>
                <w:szCs w:val="21"/>
              </w:rPr>
            </w:pPr>
          </w:p>
        </w:tc>
      </w:tr>
    </w:tbl>
    <w:p w14:paraId="5C123F28">
      <w:pPr>
        <w:rPr>
          <w:color w:val="auto"/>
        </w:rPr>
        <w:sectPr>
          <w:footerReference r:id="rId5" w:type="default"/>
          <w:pgSz w:w="11906" w:h="16838"/>
          <w:pgMar w:top="1701" w:right="1531" w:bottom="1701" w:left="1531" w:header="851" w:footer="851" w:gutter="0"/>
          <w:pgBorders>
            <w:top w:val="none" w:sz="0" w:space="0"/>
            <w:left w:val="none" w:sz="0" w:space="0"/>
            <w:bottom w:val="none" w:sz="0" w:space="0"/>
            <w:right w:val="none" w:sz="0" w:space="0"/>
          </w:pgBorders>
          <w:pgNumType w:fmt="decimal" w:start="81"/>
          <w:cols w:space="720" w:num="1"/>
          <w:docGrid w:linePitch="312" w:charSpace="0"/>
        </w:sectPr>
      </w:pPr>
    </w:p>
    <w:p w14:paraId="666FA536">
      <w:pPr>
        <w:pStyle w:val="25"/>
        <w:adjustRightInd w:val="0"/>
        <w:snapToGrid w:val="0"/>
        <w:spacing w:before="0" w:beforeAutospacing="0" w:after="0" w:afterAutospacing="0"/>
        <w:outlineLvl w:val="0"/>
        <w:rPr>
          <w:rFonts w:ascii="Times New Roman" w:hAnsi="Times New Roman"/>
          <w:b/>
          <w:bCs/>
          <w:snapToGrid w:val="0"/>
          <w:color w:val="auto"/>
          <w:sz w:val="28"/>
          <w:szCs w:val="28"/>
        </w:rPr>
      </w:pPr>
      <w:bookmarkStart w:id="34" w:name="_Toc24980"/>
      <w:r>
        <w:rPr>
          <w:rFonts w:ascii="Times New Roman" w:hAnsi="Times New Roman"/>
          <w:b/>
          <w:bCs/>
          <w:snapToGrid w:val="0"/>
          <w:color w:val="auto"/>
          <w:sz w:val="28"/>
          <w:szCs w:val="28"/>
        </w:rPr>
        <w:t>附表</w:t>
      </w:r>
      <w:bookmarkEnd w:id="34"/>
    </w:p>
    <w:p w14:paraId="55E2AF6A">
      <w:pPr>
        <w:pStyle w:val="25"/>
        <w:adjustRightInd w:val="0"/>
        <w:snapToGrid w:val="0"/>
        <w:spacing w:before="0" w:beforeAutospacing="0" w:after="0" w:afterAutospacing="0"/>
        <w:jc w:val="center"/>
        <w:outlineLvl w:val="0"/>
        <w:rPr>
          <w:rFonts w:ascii="Times New Roman" w:hAnsi="Times New Roman"/>
          <w:snapToGrid w:val="0"/>
          <w:color w:val="auto"/>
          <w:szCs w:val="24"/>
        </w:rPr>
      </w:pPr>
      <w:bookmarkStart w:id="35" w:name="_Toc1460"/>
      <w:r>
        <w:rPr>
          <w:rFonts w:ascii="Times New Roman" w:hAnsi="Times New Roman"/>
          <w:b/>
          <w:bCs/>
          <w:snapToGrid w:val="0"/>
          <w:color w:val="auto"/>
          <w:szCs w:val="24"/>
        </w:rPr>
        <w:t>建设项目污染物排放量汇总表</w:t>
      </w:r>
      <w:bookmarkEnd w:id="35"/>
    </w:p>
    <w:tbl>
      <w:tblPr>
        <w:tblStyle w:val="28"/>
        <w:tblW w:w="5109"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22"/>
        <w:gridCol w:w="683"/>
        <w:gridCol w:w="782"/>
        <w:gridCol w:w="1919"/>
        <w:gridCol w:w="1247"/>
        <w:gridCol w:w="1880"/>
        <w:gridCol w:w="1853"/>
        <w:gridCol w:w="1432"/>
        <w:gridCol w:w="1652"/>
        <w:gridCol w:w="1379"/>
      </w:tblGrid>
      <w:tr w14:paraId="6E9224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tcBorders>
              <w:tl2br w:val="single" w:color="auto" w:sz="4" w:space="0"/>
            </w:tcBorders>
            <w:noWrap w:val="0"/>
            <w:tcMar>
              <w:top w:w="0" w:type="dxa"/>
              <w:left w:w="0" w:type="dxa"/>
              <w:bottom w:w="0" w:type="dxa"/>
              <w:right w:w="0" w:type="dxa"/>
            </w:tcMar>
            <w:vAlign w:val="center"/>
          </w:tcPr>
          <w:p w14:paraId="6A6B0990">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398"/>
              <w:jc w:val="right"/>
              <w:rPr>
                <w:rFonts w:ascii="Times New Roman" w:hAnsi="Times New Roman" w:eastAsia="宋体"/>
                <w:snapToGrid w:val="0"/>
                <w:color w:val="auto"/>
                <w:spacing w:val="-6"/>
                <w:kern w:val="21"/>
                <w:sz w:val="21"/>
                <w:szCs w:val="21"/>
              </w:rPr>
            </w:pPr>
            <w:r>
              <w:rPr>
                <w:rFonts w:ascii="Times New Roman" w:hAnsi="Times New Roman" w:eastAsia="宋体"/>
                <w:snapToGrid w:val="0"/>
                <w:color w:val="auto"/>
                <w:spacing w:val="-6"/>
                <w:kern w:val="21"/>
                <w:sz w:val="21"/>
                <w:szCs w:val="21"/>
              </w:rPr>
              <w:t>项目</w:t>
            </w:r>
          </w:p>
          <w:p w14:paraId="2DD3B7DC">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jc w:val="left"/>
              <w:rPr>
                <w:rFonts w:ascii="Times New Roman" w:hAnsi="Times New Roman" w:eastAsia="宋体"/>
                <w:snapToGrid w:val="0"/>
                <w:color w:val="auto"/>
                <w:spacing w:val="-6"/>
                <w:kern w:val="21"/>
                <w:sz w:val="21"/>
                <w:szCs w:val="21"/>
              </w:rPr>
            </w:pPr>
            <w:r>
              <w:rPr>
                <w:rFonts w:ascii="Times New Roman" w:hAnsi="Times New Roman" w:eastAsia="宋体"/>
                <w:snapToGrid w:val="0"/>
                <w:color w:val="auto"/>
                <w:spacing w:val="-6"/>
                <w:kern w:val="21"/>
                <w:sz w:val="21"/>
                <w:szCs w:val="21"/>
              </w:rPr>
              <w:t>分类</w:t>
            </w:r>
          </w:p>
        </w:tc>
        <w:tc>
          <w:tcPr>
            <w:tcW w:w="532" w:type="pct"/>
            <w:gridSpan w:val="2"/>
            <w:noWrap w:val="0"/>
            <w:tcMar>
              <w:top w:w="0" w:type="dxa"/>
              <w:left w:w="0" w:type="dxa"/>
              <w:bottom w:w="0" w:type="dxa"/>
              <w:right w:w="0" w:type="dxa"/>
            </w:tcMar>
            <w:vAlign w:val="center"/>
          </w:tcPr>
          <w:p w14:paraId="1AAF05BF">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snapToGrid w:val="0"/>
                <w:color w:val="auto"/>
                <w:kern w:val="21"/>
                <w:sz w:val="21"/>
                <w:szCs w:val="21"/>
              </w:rPr>
            </w:pPr>
            <w:r>
              <w:rPr>
                <w:rFonts w:ascii="Times New Roman" w:hAnsi="Times New Roman" w:eastAsia="宋体"/>
                <w:snapToGrid w:val="0"/>
                <w:color w:val="auto"/>
                <w:kern w:val="21"/>
                <w:sz w:val="21"/>
                <w:szCs w:val="21"/>
              </w:rPr>
              <w:t>污染物名称</w:t>
            </w:r>
          </w:p>
        </w:tc>
        <w:tc>
          <w:tcPr>
            <w:tcW w:w="697" w:type="pct"/>
            <w:noWrap w:val="0"/>
            <w:tcMar>
              <w:top w:w="0" w:type="dxa"/>
              <w:left w:w="0" w:type="dxa"/>
              <w:bottom w:w="0" w:type="dxa"/>
              <w:right w:w="0" w:type="dxa"/>
            </w:tcMar>
            <w:vAlign w:val="center"/>
          </w:tcPr>
          <w:p w14:paraId="1DA9DD49">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snapToGrid w:val="0"/>
                <w:color w:val="auto"/>
                <w:kern w:val="21"/>
                <w:sz w:val="21"/>
                <w:szCs w:val="21"/>
              </w:rPr>
            </w:pPr>
            <w:r>
              <w:rPr>
                <w:rFonts w:ascii="Times New Roman" w:hAnsi="Times New Roman" w:eastAsia="宋体"/>
                <w:snapToGrid w:val="0"/>
                <w:color w:val="auto"/>
                <w:kern w:val="21"/>
                <w:sz w:val="21"/>
                <w:szCs w:val="21"/>
              </w:rPr>
              <w:t>现有工程排放量（固体废物产生量）</w:t>
            </w:r>
            <w:r>
              <w:rPr>
                <w:rFonts w:ascii="Times New Roman" w:hAnsi="Times New Roman" w:eastAsia="宋体"/>
                <w:snapToGrid w:val="0"/>
                <w:color w:val="auto"/>
                <w:kern w:val="21"/>
                <w:sz w:val="21"/>
                <w:szCs w:val="21"/>
              </w:rPr>
              <w:fldChar w:fldCharType="begin"/>
            </w:r>
            <w:r>
              <w:rPr>
                <w:rFonts w:ascii="Times New Roman" w:hAnsi="Times New Roman" w:eastAsia="宋体"/>
                <w:snapToGrid w:val="0"/>
                <w:color w:val="auto"/>
                <w:kern w:val="21"/>
                <w:sz w:val="21"/>
                <w:szCs w:val="21"/>
              </w:rPr>
              <w:instrText xml:space="preserve"> = 1 \* GB3 \* MERGEFORMAT </w:instrText>
            </w:r>
            <w:r>
              <w:rPr>
                <w:rFonts w:ascii="Times New Roman" w:hAnsi="Times New Roman" w:eastAsia="宋体"/>
                <w:snapToGrid w:val="0"/>
                <w:color w:val="auto"/>
                <w:kern w:val="21"/>
                <w:sz w:val="21"/>
                <w:szCs w:val="21"/>
              </w:rPr>
              <w:fldChar w:fldCharType="separate"/>
            </w:r>
            <w:r>
              <w:rPr>
                <w:rFonts w:ascii="Times New Roman" w:hAnsi="Times New Roman" w:eastAsia="宋体"/>
                <w:snapToGrid w:val="0"/>
                <w:color w:val="auto"/>
                <w:kern w:val="21"/>
                <w:sz w:val="21"/>
                <w:szCs w:val="21"/>
              </w:rPr>
              <w:t>①</w:t>
            </w:r>
            <w:r>
              <w:rPr>
                <w:rFonts w:ascii="Times New Roman" w:hAnsi="Times New Roman" w:eastAsia="宋体"/>
                <w:snapToGrid w:val="0"/>
                <w:color w:val="auto"/>
                <w:kern w:val="21"/>
                <w:sz w:val="21"/>
                <w:szCs w:val="21"/>
              </w:rPr>
              <w:fldChar w:fldCharType="end"/>
            </w:r>
          </w:p>
        </w:tc>
        <w:tc>
          <w:tcPr>
            <w:tcW w:w="453" w:type="pct"/>
            <w:noWrap w:val="0"/>
            <w:tcMar>
              <w:top w:w="0" w:type="dxa"/>
              <w:left w:w="0" w:type="dxa"/>
              <w:bottom w:w="0" w:type="dxa"/>
              <w:right w:w="0" w:type="dxa"/>
            </w:tcMar>
            <w:vAlign w:val="center"/>
          </w:tcPr>
          <w:p w14:paraId="5D4B8FF5">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snapToGrid w:val="0"/>
                <w:color w:val="auto"/>
                <w:kern w:val="21"/>
                <w:sz w:val="21"/>
                <w:szCs w:val="21"/>
              </w:rPr>
            </w:pPr>
            <w:r>
              <w:rPr>
                <w:rFonts w:ascii="Times New Roman" w:hAnsi="Times New Roman" w:eastAsia="宋体"/>
                <w:snapToGrid w:val="0"/>
                <w:color w:val="auto"/>
                <w:kern w:val="21"/>
                <w:sz w:val="21"/>
                <w:szCs w:val="21"/>
              </w:rPr>
              <w:t>现有工程许可排放量</w:t>
            </w:r>
            <w:r>
              <w:rPr>
                <w:rFonts w:ascii="Times New Roman" w:hAnsi="Times New Roman" w:eastAsia="宋体"/>
                <w:snapToGrid w:val="0"/>
                <w:color w:val="auto"/>
                <w:kern w:val="21"/>
                <w:sz w:val="21"/>
                <w:szCs w:val="21"/>
              </w:rPr>
              <w:fldChar w:fldCharType="begin"/>
            </w:r>
            <w:r>
              <w:rPr>
                <w:rFonts w:ascii="Times New Roman" w:hAnsi="Times New Roman" w:eastAsia="宋体"/>
                <w:snapToGrid w:val="0"/>
                <w:color w:val="auto"/>
                <w:kern w:val="21"/>
                <w:sz w:val="21"/>
                <w:szCs w:val="21"/>
              </w:rPr>
              <w:instrText xml:space="preserve"> = 2 \* GB3 \* MERGEFORMAT </w:instrText>
            </w:r>
            <w:r>
              <w:rPr>
                <w:rFonts w:ascii="Times New Roman" w:hAnsi="Times New Roman" w:eastAsia="宋体"/>
                <w:snapToGrid w:val="0"/>
                <w:color w:val="auto"/>
                <w:kern w:val="21"/>
                <w:sz w:val="21"/>
                <w:szCs w:val="21"/>
              </w:rPr>
              <w:fldChar w:fldCharType="separate"/>
            </w:r>
            <w:r>
              <w:rPr>
                <w:rFonts w:ascii="Times New Roman" w:hAnsi="Times New Roman" w:eastAsia="宋体"/>
                <w:snapToGrid w:val="0"/>
                <w:color w:val="auto"/>
                <w:kern w:val="21"/>
                <w:sz w:val="21"/>
                <w:szCs w:val="21"/>
              </w:rPr>
              <w:t>②</w:t>
            </w:r>
            <w:r>
              <w:rPr>
                <w:rFonts w:ascii="Times New Roman" w:hAnsi="Times New Roman" w:eastAsia="宋体"/>
                <w:snapToGrid w:val="0"/>
                <w:color w:val="auto"/>
                <w:kern w:val="21"/>
                <w:sz w:val="21"/>
                <w:szCs w:val="21"/>
              </w:rPr>
              <w:fldChar w:fldCharType="end"/>
            </w:r>
          </w:p>
        </w:tc>
        <w:tc>
          <w:tcPr>
            <w:tcW w:w="683" w:type="pct"/>
            <w:noWrap w:val="0"/>
            <w:tcMar>
              <w:top w:w="0" w:type="dxa"/>
              <w:left w:w="0" w:type="dxa"/>
              <w:bottom w:w="0" w:type="dxa"/>
              <w:right w:w="0" w:type="dxa"/>
            </w:tcMar>
            <w:vAlign w:val="center"/>
          </w:tcPr>
          <w:p w14:paraId="5EEF753D">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snapToGrid w:val="0"/>
                <w:color w:val="auto"/>
                <w:kern w:val="21"/>
                <w:sz w:val="21"/>
                <w:szCs w:val="21"/>
              </w:rPr>
            </w:pPr>
            <w:r>
              <w:rPr>
                <w:rFonts w:ascii="Times New Roman" w:hAnsi="Times New Roman" w:eastAsia="宋体"/>
                <w:snapToGrid w:val="0"/>
                <w:color w:val="auto"/>
                <w:kern w:val="21"/>
                <w:sz w:val="21"/>
                <w:szCs w:val="21"/>
              </w:rPr>
              <w:t>在建工程排放量（固体废物产生量）</w:t>
            </w:r>
            <w:r>
              <w:rPr>
                <w:rFonts w:ascii="Times New Roman" w:hAnsi="Times New Roman" w:eastAsia="宋体"/>
                <w:snapToGrid w:val="0"/>
                <w:color w:val="auto"/>
                <w:kern w:val="21"/>
                <w:sz w:val="21"/>
                <w:szCs w:val="21"/>
              </w:rPr>
              <w:fldChar w:fldCharType="begin"/>
            </w:r>
            <w:r>
              <w:rPr>
                <w:rFonts w:ascii="Times New Roman" w:hAnsi="Times New Roman" w:eastAsia="宋体"/>
                <w:snapToGrid w:val="0"/>
                <w:color w:val="auto"/>
                <w:kern w:val="21"/>
                <w:sz w:val="21"/>
                <w:szCs w:val="21"/>
              </w:rPr>
              <w:instrText xml:space="preserve"> = 3 \* GB3 \* MERGEFORMAT </w:instrText>
            </w:r>
            <w:r>
              <w:rPr>
                <w:rFonts w:ascii="Times New Roman" w:hAnsi="Times New Roman" w:eastAsia="宋体"/>
                <w:snapToGrid w:val="0"/>
                <w:color w:val="auto"/>
                <w:kern w:val="21"/>
                <w:sz w:val="21"/>
                <w:szCs w:val="21"/>
              </w:rPr>
              <w:fldChar w:fldCharType="separate"/>
            </w:r>
            <w:r>
              <w:rPr>
                <w:rFonts w:ascii="Times New Roman" w:hAnsi="Times New Roman" w:eastAsia="宋体"/>
                <w:snapToGrid w:val="0"/>
                <w:color w:val="auto"/>
                <w:kern w:val="21"/>
                <w:sz w:val="21"/>
                <w:szCs w:val="21"/>
              </w:rPr>
              <w:t>③</w:t>
            </w:r>
            <w:r>
              <w:rPr>
                <w:rFonts w:ascii="Times New Roman" w:hAnsi="Times New Roman" w:eastAsia="宋体"/>
                <w:snapToGrid w:val="0"/>
                <w:color w:val="auto"/>
                <w:kern w:val="21"/>
                <w:sz w:val="21"/>
                <w:szCs w:val="21"/>
              </w:rPr>
              <w:fldChar w:fldCharType="end"/>
            </w:r>
          </w:p>
        </w:tc>
        <w:tc>
          <w:tcPr>
            <w:tcW w:w="673" w:type="pct"/>
            <w:noWrap w:val="0"/>
            <w:tcMar>
              <w:top w:w="0" w:type="dxa"/>
              <w:left w:w="0" w:type="dxa"/>
              <w:bottom w:w="0" w:type="dxa"/>
              <w:right w:w="0" w:type="dxa"/>
            </w:tcMar>
            <w:vAlign w:val="center"/>
          </w:tcPr>
          <w:p w14:paraId="03E941D4">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snapToGrid w:val="0"/>
                <w:color w:val="auto"/>
                <w:kern w:val="21"/>
                <w:sz w:val="21"/>
                <w:szCs w:val="21"/>
              </w:rPr>
            </w:pPr>
            <w:r>
              <w:rPr>
                <w:rFonts w:ascii="Times New Roman" w:hAnsi="Times New Roman" w:eastAsia="宋体"/>
                <w:snapToGrid w:val="0"/>
                <w:color w:val="auto"/>
                <w:kern w:val="21"/>
                <w:sz w:val="21"/>
                <w:szCs w:val="21"/>
              </w:rPr>
              <w:t>本项目排放量（固体废物产生量）</w:t>
            </w:r>
            <w:r>
              <w:rPr>
                <w:rFonts w:ascii="Times New Roman" w:hAnsi="Times New Roman" w:eastAsia="宋体"/>
                <w:snapToGrid w:val="0"/>
                <w:color w:val="auto"/>
                <w:kern w:val="21"/>
                <w:sz w:val="21"/>
                <w:szCs w:val="21"/>
              </w:rPr>
              <w:fldChar w:fldCharType="begin"/>
            </w:r>
            <w:r>
              <w:rPr>
                <w:rFonts w:ascii="Times New Roman" w:hAnsi="Times New Roman" w:eastAsia="宋体"/>
                <w:snapToGrid w:val="0"/>
                <w:color w:val="auto"/>
                <w:kern w:val="21"/>
                <w:sz w:val="21"/>
                <w:szCs w:val="21"/>
              </w:rPr>
              <w:instrText xml:space="preserve"> = 4 \* GB3 \* MERGEFORMAT </w:instrText>
            </w:r>
            <w:r>
              <w:rPr>
                <w:rFonts w:ascii="Times New Roman" w:hAnsi="Times New Roman" w:eastAsia="宋体"/>
                <w:snapToGrid w:val="0"/>
                <w:color w:val="auto"/>
                <w:kern w:val="21"/>
                <w:sz w:val="21"/>
                <w:szCs w:val="21"/>
              </w:rPr>
              <w:fldChar w:fldCharType="separate"/>
            </w:r>
            <w:r>
              <w:rPr>
                <w:rFonts w:ascii="Times New Roman" w:hAnsi="Times New Roman" w:eastAsia="宋体"/>
                <w:snapToGrid w:val="0"/>
                <w:color w:val="auto"/>
                <w:kern w:val="21"/>
                <w:sz w:val="21"/>
                <w:szCs w:val="21"/>
              </w:rPr>
              <w:t>④</w:t>
            </w:r>
            <w:r>
              <w:rPr>
                <w:rFonts w:ascii="Times New Roman" w:hAnsi="Times New Roman" w:eastAsia="宋体"/>
                <w:snapToGrid w:val="0"/>
                <w:color w:val="auto"/>
                <w:kern w:val="21"/>
                <w:sz w:val="21"/>
                <w:szCs w:val="21"/>
              </w:rPr>
              <w:fldChar w:fldCharType="end"/>
            </w:r>
          </w:p>
        </w:tc>
        <w:tc>
          <w:tcPr>
            <w:tcW w:w="520" w:type="pct"/>
            <w:noWrap w:val="0"/>
            <w:tcMar>
              <w:top w:w="0" w:type="dxa"/>
              <w:left w:w="0" w:type="dxa"/>
              <w:bottom w:w="0" w:type="dxa"/>
              <w:right w:w="0" w:type="dxa"/>
            </w:tcMar>
            <w:vAlign w:val="center"/>
          </w:tcPr>
          <w:p w14:paraId="17F223A8">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snapToGrid w:val="0"/>
                <w:color w:val="auto"/>
                <w:kern w:val="21"/>
                <w:sz w:val="21"/>
                <w:szCs w:val="21"/>
              </w:rPr>
            </w:pPr>
            <w:r>
              <w:rPr>
                <w:rFonts w:ascii="Times New Roman" w:hAnsi="Times New Roman" w:eastAsia="宋体"/>
                <w:snapToGrid w:val="0"/>
                <w:color w:val="auto"/>
                <w:kern w:val="21"/>
                <w:sz w:val="21"/>
                <w:szCs w:val="21"/>
              </w:rPr>
              <w:t>以新带老削减量（新建项目不填）</w:t>
            </w:r>
            <w:r>
              <w:rPr>
                <w:rFonts w:ascii="Times New Roman" w:hAnsi="Times New Roman" w:eastAsia="宋体"/>
                <w:snapToGrid w:val="0"/>
                <w:color w:val="auto"/>
                <w:kern w:val="21"/>
                <w:sz w:val="21"/>
                <w:szCs w:val="21"/>
              </w:rPr>
              <w:fldChar w:fldCharType="begin"/>
            </w:r>
            <w:r>
              <w:rPr>
                <w:rFonts w:ascii="Times New Roman" w:hAnsi="Times New Roman" w:eastAsia="宋体"/>
                <w:snapToGrid w:val="0"/>
                <w:color w:val="auto"/>
                <w:kern w:val="21"/>
                <w:sz w:val="21"/>
                <w:szCs w:val="21"/>
              </w:rPr>
              <w:instrText xml:space="preserve"> = 5 \* GB3 \* MERGEFORMAT </w:instrText>
            </w:r>
            <w:r>
              <w:rPr>
                <w:rFonts w:ascii="Times New Roman" w:hAnsi="Times New Roman" w:eastAsia="宋体"/>
                <w:snapToGrid w:val="0"/>
                <w:color w:val="auto"/>
                <w:kern w:val="21"/>
                <w:sz w:val="21"/>
                <w:szCs w:val="21"/>
              </w:rPr>
              <w:fldChar w:fldCharType="separate"/>
            </w:r>
            <w:r>
              <w:rPr>
                <w:rFonts w:ascii="Times New Roman" w:hAnsi="Times New Roman" w:eastAsia="宋体"/>
                <w:snapToGrid w:val="0"/>
                <w:color w:val="auto"/>
                <w:kern w:val="21"/>
                <w:sz w:val="21"/>
                <w:szCs w:val="21"/>
              </w:rPr>
              <w:t>⑤</w:t>
            </w:r>
            <w:r>
              <w:rPr>
                <w:rFonts w:ascii="Times New Roman" w:hAnsi="Times New Roman" w:eastAsia="宋体"/>
                <w:snapToGrid w:val="0"/>
                <w:color w:val="auto"/>
                <w:kern w:val="21"/>
                <w:sz w:val="21"/>
                <w:szCs w:val="21"/>
              </w:rPr>
              <w:fldChar w:fldCharType="end"/>
            </w:r>
          </w:p>
        </w:tc>
        <w:tc>
          <w:tcPr>
            <w:tcW w:w="600" w:type="pct"/>
            <w:noWrap w:val="0"/>
            <w:tcMar>
              <w:top w:w="0" w:type="dxa"/>
              <w:left w:w="0" w:type="dxa"/>
              <w:bottom w:w="0" w:type="dxa"/>
              <w:right w:w="0" w:type="dxa"/>
            </w:tcMar>
            <w:vAlign w:val="center"/>
          </w:tcPr>
          <w:p w14:paraId="0AE91614">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snapToGrid w:val="0"/>
                <w:color w:val="auto"/>
                <w:kern w:val="21"/>
                <w:sz w:val="21"/>
                <w:szCs w:val="21"/>
              </w:rPr>
            </w:pPr>
            <w:r>
              <w:rPr>
                <w:rFonts w:ascii="Times New Roman" w:hAnsi="Times New Roman" w:eastAsia="宋体"/>
                <w:snapToGrid w:val="0"/>
                <w:color w:val="auto"/>
                <w:kern w:val="21"/>
                <w:sz w:val="21"/>
                <w:szCs w:val="21"/>
              </w:rPr>
              <w:t>本项目建成后全厂排放量（固体废物产生量）</w:t>
            </w:r>
            <w:r>
              <w:rPr>
                <w:rFonts w:ascii="Times New Roman" w:hAnsi="Times New Roman" w:eastAsia="宋体"/>
                <w:snapToGrid w:val="0"/>
                <w:color w:val="auto"/>
                <w:kern w:val="21"/>
                <w:sz w:val="21"/>
                <w:szCs w:val="21"/>
              </w:rPr>
              <w:fldChar w:fldCharType="begin"/>
            </w:r>
            <w:r>
              <w:rPr>
                <w:rFonts w:ascii="Times New Roman" w:hAnsi="Times New Roman" w:eastAsia="宋体"/>
                <w:snapToGrid w:val="0"/>
                <w:color w:val="auto"/>
                <w:kern w:val="21"/>
                <w:sz w:val="21"/>
                <w:szCs w:val="21"/>
              </w:rPr>
              <w:instrText xml:space="preserve"> = 6 \* GB3 \* MERGEFORMAT </w:instrText>
            </w:r>
            <w:r>
              <w:rPr>
                <w:rFonts w:ascii="Times New Roman" w:hAnsi="Times New Roman" w:eastAsia="宋体"/>
                <w:snapToGrid w:val="0"/>
                <w:color w:val="auto"/>
                <w:kern w:val="21"/>
                <w:sz w:val="21"/>
                <w:szCs w:val="21"/>
              </w:rPr>
              <w:fldChar w:fldCharType="separate"/>
            </w:r>
            <w:r>
              <w:rPr>
                <w:rFonts w:ascii="Times New Roman" w:hAnsi="Times New Roman" w:eastAsia="宋体"/>
                <w:snapToGrid w:val="0"/>
                <w:color w:val="auto"/>
                <w:kern w:val="21"/>
                <w:sz w:val="21"/>
                <w:szCs w:val="21"/>
              </w:rPr>
              <w:t>⑥</w:t>
            </w:r>
            <w:r>
              <w:rPr>
                <w:rFonts w:ascii="Times New Roman" w:hAnsi="Times New Roman" w:eastAsia="宋体"/>
                <w:snapToGrid w:val="0"/>
                <w:color w:val="auto"/>
                <w:kern w:val="21"/>
                <w:sz w:val="21"/>
                <w:szCs w:val="21"/>
              </w:rPr>
              <w:fldChar w:fldCharType="end"/>
            </w:r>
          </w:p>
        </w:tc>
        <w:tc>
          <w:tcPr>
            <w:tcW w:w="501" w:type="pct"/>
            <w:noWrap w:val="0"/>
            <w:tcMar>
              <w:top w:w="0" w:type="dxa"/>
              <w:left w:w="0" w:type="dxa"/>
              <w:bottom w:w="0" w:type="dxa"/>
              <w:right w:w="0" w:type="dxa"/>
            </w:tcMar>
            <w:vAlign w:val="center"/>
          </w:tcPr>
          <w:p w14:paraId="583DD8F3">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snapToGrid w:val="0"/>
                <w:color w:val="auto"/>
                <w:kern w:val="21"/>
                <w:sz w:val="21"/>
                <w:szCs w:val="21"/>
              </w:rPr>
            </w:pPr>
            <w:r>
              <w:rPr>
                <w:rFonts w:ascii="Times New Roman" w:hAnsi="Times New Roman" w:eastAsia="宋体"/>
                <w:snapToGrid w:val="0"/>
                <w:color w:val="auto"/>
                <w:kern w:val="21"/>
                <w:sz w:val="21"/>
                <w:szCs w:val="21"/>
              </w:rPr>
              <w:t>变化量</w:t>
            </w:r>
            <w:r>
              <w:rPr>
                <w:rFonts w:ascii="Times New Roman" w:hAnsi="Times New Roman" w:eastAsia="宋体"/>
                <w:snapToGrid w:val="0"/>
                <w:color w:val="auto"/>
                <w:kern w:val="21"/>
                <w:sz w:val="21"/>
                <w:szCs w:val="21"/>
              </w:rPr>
              <w:fldChar w:fldCharType="begin"/>
            </w:r>
            <w:r>
              <w:rPr>
                <w:rFonts w:ascii="Times New Roman" w:hAnsi="Times New Roman" w:eastAsia="宋体"/>
                <w:snapToGrid w:val="0"/>
                <w:color w:val="auto"/>
                <w:kern w:val="21"/>
                <w:sz w:val="21"/>
                <w:szCs w:val="21"/>
              </w:rPr>
              <w:instrText xml:space="preserve"> = 7 \* GB3 \* MERGEFORMAT </w:instrText>
            </w:r>
            <w:r>
              <w:rPr>
                <w:rFonts w:ascii="Times New Roman" w:hAnsi="Times New Roman" w:eastAsia="宋体"/>
                <w:snapToGrid w:val="0"/>
                <w:color w:val="auto"/>
                <w:kern w:val="21"/>
                <w:sz w:val="21"/>
                <w:szCs w:val="21"/>
              </w:rPr>
              <w:fldChar w:fldCharType="separate"/>
            </w:r>
            <w:r>
              <w:rPr>
                <w:rFonts w:ascii="Times New Roman" w:hAnsi="Times New Roman" w:eastAsia="宋体"/>
                <w:snapToGrid w:val="0"/>
                <w:color w:val="auto"/>
                <w:kern w:val="21"/>
                <w:sz w:val="21"/>
                <w:szCs w:val="21"/>
              </w:rPr>
              <w:t>⑦</w:t>
            </w:r>
            <w:r>
              <w:rPr>
                <w:rFonts w:ascii="Times New Roman" w:hAnsi="Times New Roman" w:eastAsia="宋体"/>
                <w:snapToGrid w:val="0"/>
                <w:color w:val="auto"/>
                <w:kern w:val="21"/>
                <w:sz w:val="21"/>
                <w:szCs w:val="21"/>
              </w:rPr>
              <w:fldChar w:fldCharType="end"/>
            </w:r>
          </w:p>
        </w:tc>
      </w:tr>
      <w:tr w14:paraId="4BDA19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restart"/>
            <w:noWrap w:val="0"/>
            <w:tcMar>
              <w:top w:w="0" w:type="dxa"/>
              <w:left w:w="0" w:type="dxa"/>
              <w:bottom w:w="0" w:type="dxa"/>
              <w:right w:w="0" w:type="dxa"/>
            </w:tcMar>
            <w:vAlign w:val="center"/>
          </w:tcPr>
          <w:p w14:paraId="3D8E597A">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r>
              <w:rPr>
                <w:rFonts w:ascii="Times New Roman" w:hAnsi="Times New Roman" w:eastAsia="宋体"/>
                <w:b w:val="0"/>
                <w:bCs/>
                <w:snapToGrid w:val="0"/>
                <w:color w:val="auto"/>
                <w:kern w:val="21"/>
                <w:sz w:val="21"/>
                <w:szCs w:val="21"/>
              </w:rPr>
              <w:t>废气</w:t>
            </w:r>
          </w:p>
        </w:tc>
        <w:tc>
          <w:tcPr>
            <w:tcW w:w="248" w:type="pct"/>
            <w:vMerge w:val="restart"/>
            <w:shd w:val="clear" w:color="auto" w:fill="auto"/>
            <w:noWrap w:val="0"/>
            <w:tcMar>
              <w:top w:w="0" w:type="dxa"/>
              <w:left w:w="0" w:type="dxa"/>
              <w:bottom w:w="0" w:type="dxa"/>
              <w:right w:w="0" w:type="dxa"/>
            </w:tcMar>
            <w:vAlign w:val="center"/>
          </w:tcPr>
          <w:p w14:paraId="45545C05">
            <w:pPr>
              <w:keepNext w:val="0"/>
              <w:keepLines w:val="0"/>
              <w:pageBreakBefore w:val="0"/>
              <w:kinsoku/>
              <w:wordWrap/>
              <w:overflowPunct/>
              <w:topLinePunct w:val="0"/>
              <w:autoSpaceDE/>
              <w:autoSpaceDN/>
              <w:bidi w:val="0"/>
              <w:adjustRightInd w:val="0"/>
              <w:snapToGrid w:val="0"/>
              <w:jc w:val="center"/>
              <w:rPr>
                <w:rFonts w:ascii="Times New Roman" w:hAnsi="Times New Roman" w:eastAsia="宋体" w:cs="Times New Roman"/>
                <w:color w:val="auto"/>
                <w:kern w:val="2"/>
                <w:sz w:val="21"/>
                <w:szCs w:val="21"/>
                <w:lang w:val="en-US" w:eastAsia="zh-CN" w:bidi="ar-SA"/>
              </w:rPr>
            </w:pPr>
            <w:r>
              <w:rPr>
                <w:rFonts w:hint="eastAsia"/>
                <w:color w:val="auto"/>
                <w:szCs w:val="21"/>
              </w:rPr>
              <w:t>非甲烷总烃</w:t>
            </w:r>
          </w:p>
        </w:tc>
        <w:tc>
          <w:tcPr>
            <w:tcW w:w="284" w:type="pct"/>
            <w:shd w:val="clear" w:color="auto" w:fill="auto"/>
            <w:noWrap w:val="0"/>
            <w:tcMar>
              <w:top w:w="0" w:type="dxa"/>
              <w:left w:w="0" w:type="dxa"/>
              <w:bottom w:w="0" w:type="dxa"/>
              <w:right w:w="0" w:type="dxa"/>
            </w:tcMar>
            <w:vAlign w:val="center"/>
          </w:tcPr>
          <w:p w14:paraId="0AAEFDE1">
            <w:pPr>
              <w:keepNext w:val="0"/>
              <w:keepLines w:val="0"/>
              <w:pageBreakBefore w:val="0"/>
              <w:kinsoku/>
              <w:wordWrap/>
              <w:overflowPunct/>
              <w:topLinePunct w:val="0"/>
              <w:autoSpaceDE/>
              <w:autoSpaceDN/>
              <w:bidi w:val="0"/>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有组织</w:t>
            </w:r>
          </w:p>
        </w:tc>
        <w:tc>
          <w:tcPr>
            <w:tcW w:w="697" w:type="pct"/>
            <w:shd w:val="clear" w:color="auto" w:fill="auto"/>
            <w:noWrap w:val="0"/>
            <w:tcMar>
              <w:top w:w="0" w:type="dxa"/>
              <w:left w:w="0" w:type="dxa"/>
              <w:bottom w:w="0" w:type="dxa"/>
              <w:right w:w="0" w:type="dxa"/>
            </w:tcMar>
            <w:vAlign w:val="center"/>
          </w:tcPr>
          <w:p w14:paraId="7BFE4292">
            <w:pPr>
              <w:jc w:val="center"/>
              <w:rPr>
                <w:rFonts w:hint="eastAsia" w:ascii="Times New Roman" w:hAnsi="Times New Roman" w:eastAsia="宋体" w:cs="Times New Roman"/>
                <w:i w:val="0"/>
                <w:iCs w:val="0"/>
                <w:color w:val="auto"/>
                <w:kern w:val="0"/>
                <w:sz w:val="21"/>
                <w:szCs w:val="21"/>
                <w:u w:val="none"/>
                <w:lang w:val="en-US" w:eastAsia="zh-CN" w:bidi="ar"/>
              </w:rPr>
            </w:pPr>
            <w:r>
              <w:rPr>
                <w:rFonts w:ascii="Times New Roman" w:hAnsi="Times New Roman"/>
                <w:color w:val="auto"/>
                <w:szCs w:val="21"/>
              </w:rPr>
              <w:t>0.054</w:t>
            </w:r>
          </w:p>
        </w:tc>
        <w:tc>
          <w:tcPr>
            <w:tcW w:w="453" w:type="pct"/>
            <w:noWrap w:val="0"/>
            <w:tcMar>
              <w:top w:w="0" w:type="dxa"/>
              <w:left w:w="0" w:type="dxa"/>
              <w:bottom w:w="0" w:type="dxa"/>
              <w:right w:w="0" w:type="dxa"/>
            </w:tcMar>
            <w:vAlign w:val="center"/>
          </w:tcPr>
          <w:p w14:paraId="778638FB">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83" w:type="pct"/>
            <w:noWrap w:val="0"/>
            <w:tcMar>
              <w:top w:w="0" w:type="dxa"/>
              <w:left w:w="0" w:type="dxa"/>
              <w:bottom w:w="0" w:type="dxa"/>
              <w:right w:w="0" w:type="dxa"/>
            </w:tcMar>
            <w:vAlign w:val="center"/>
          </w:tcPr>
          <w:p w14:paraId="4120BC24">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73" w:type="pct"/>
            <w:shd w:val="clear" w:color="auto" w:fill="auto"/>
            <w:noWrap w:val="0"/>
            <w:tcMar>
              <w:top w:w="0" w:type="dxa"/>
              <w:left w:w="0" w:type="dxa"/>
              <w:bottom w:w="0" w:type="dxa"/>
              <w:right w:w="0" w:type="dxa"/>
            </w:tcMar>
            <w:vAlign w:val="center"/>
          </w:tcPr>
          <w:p w14:paraId="53D4892B">
            <w:pPr>
              <w:keepNext w:val="0"/>
              <w:keepLines w:val="0"/>
              <w:suppressLineNumbers w:val="0"/>
              <w:spacing w:before="0" w:beforeAutospacing="0" w:after="0" w:afterAutospacing="0"/>
              <w:ind w:left="0" w:leftChars="0" w:right="0" w:rightChars="0"/>
              <w:contextualSpacing/>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color w:val="auto"/>
                <w:szCs w:val="21"/>
                <w:lang w:val="en-US" w:eastAsia="zh-CN"/>
              </w:rPr>
              <w:t>0.0289</w:t>
            </w:r>
          </w:p>
        </w:tc>
        <w:tc>
          <w:tcPr>
            <w:tcW w:w="520" w:type="pct"/>
            <w:shd w:val="clear" w:color="auto" w:fill="auto"/>
            <w:noWrap w:val="0"/>
            <w:tcMar>
              <w:top w:w="0" w:type="dxa"/>
              <w:left w:w="0" w:type="dxa"/>
              <w:bottom w:w="0" w:type="dxa"/>
              <w:right w:w="0" w:type="dxa"/>
            </w:tcMar>
            <w:vAlign w:val="center"/>
          </w:tcPr>
          <w:p w14:paraId="03E4608E">
            <w:pPr>
              <w:jc w:val="center"/>
              <w:rPr>
                <w:rFonts w:hint="default" w:ascii="Times New Roman" w:hAnsi="Times New Roman" w:eastAsia="宋体" w:cs="Times New Roman"/>
                <w:i w:val="0"/>
                <w:iCs w:val="0"/>
                <w:color w:val="auto"/>
                <w:kern w:val="0"/>
                <w:sz w:val="21"/>
                <w:szCs w:val="21"/>
                <w:u w:val="none"/>
                <w:lang w:val="en-US" w:eastAsia="zh-CN" w:bidi="ar"/>
              </w:rPr>
            </w:pPr>
            <w:r>
              <w:rPr>
                <w:rFonts w:ascii="Times New Roman" w:hAnsi="Times New Roman"/>
                <w:color w:val="auto"/>
                <w:szCs w:val="21"/>
              </w:rPr>
              <w:t>0.054</w:t>
            </w:r>
          </w:p>
        </w:tc>
        <w:tc>
          <w:tcPr>
            <w:tcW w:w="600" w:type="pct"/>
            <w:shd w:val="clear" w:color="auto" w:fill="auto"/>
            <w:noWrap w:val="0"/>
            <w:tcMar>
              <w:top w:w="0" w:type="dxa"/>
              <w:left w:w="0" w:type="dxa"/>
              <w:bottom w:w="0" w:type="dxa"/>
              <w:right w:w="0" w:type="dxa"/>
            </w:tcMar>
            <w:vAlign w:val="center"/>
          </w:tcPr>
          <w:p w14:paraId="086CEFAB">
            <w:pPr>
              <w:keepNext w:val="0"/>
              <w:keepLines w:val="0"/>
              <w:suppressLineNumbers w:val="0"/>
              <w:spacing w:before="0" w:beforeAutospacing="0" w:after="0" w:afterAutospacing="0"/>
              <w:ind w:left="0" w:leftChars="0" w:right="0" w:rightChars="0"/>
              <w:contextualSpacing/>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color w:val="auto"/>
                <w:szCs w:val="21"/>
                <w:lang w:val="en-US" w:eastAsia="zh-CN"/>
              </w:rPr>
              <w:t>0.0289</w:t>
            </w:r>
          </w:p>
        </w:tc>
        <w:tc>
          <w:tcPr>
            <w:tcW w:w="501" w:type="pct"/>
            <w:noWrap w:val="0"/>
            <w:tcMar>
              <w:top w:w="0" w:type="dxa"/>
              <w:left w:w="0" w:type="dxa"/>
              <w:bottom w:w="0" w:type="dxa"/>
              <w:right w:w="0" w:type="dxa"/>
            </w:tcMar>
            <w:vAlign w:val="center"/>
          </w:tcPr>
          <w:p w14:paraId="794C1ACF">
            <w:pPr>
              <w:keepNext w:val="0"/>
              <w:keepLines w:val="0"/>
              <w:suppressLineNumbers w:val="0"/>
              <w:spacing w:before="0" w:beforeAutospacing="0" w:after="0" w:afterAutospacing="0"/>
              <w:ind w:left="0" w:leftChars="0" w:right="0" w:rightChars="0"/>
              <w:contextualSpacing/>
              <w:jc w:val="center"/>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-0.0251</w:t>
            </w:r>
          </w:p>
        </w:tc>
      </w:tr>
      <w:tr w14:paraId="6E4C8B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noWrap w:val="0"/>
            <w:tcMar>
              <w:top w:w="0" w:type="dxa"/>
              <w:left w:w="0" w:type="dxa"/>
              <w:bottom w:w="0" w:type="dxa"/>
              <w:right w:w="0" w:type="dxa"/>
            </w:tcMar>
            <w:vAlign w:val="center"/>
          </w:tcPr>
          <w:p w14:paraId="4AC0B30D">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248" w:type="pct"/>
            <w:vMerge w:val="continue"/>
            <w:noWrap w:val="0"/>
            <w:tcMar>
              <w:top w:w="0" w:type="dxa"/>
              <w:left w:w="0" w:type="dxa"/>
              <w:bottom w:w="0" w:type="dxa"/>
              <w:right w:w="0" w:type="dxa"/>
            </w:tcMar>
            <w:vAlign w:val="center"/>
          </w:tcPr>
          <w:p w14:paraId="49B2AF54">
            <w:pPr>
              <w:keepNext w:val="0"/>
              <w:keepLines w:val="0"/>
              <w:pageBreakBefore w:val="0"/>
              <w:kinsoku/>
              <w:wordWrap/>
              <w:overflowPunct/>
              <w:topLinePunct w:val="0"/>
              <w:autoSpaceDE/>
              <w:autoSpaceDN/>
              <w:bidi w:val="0"/>
              <w:adjustRightInd w:val="0"/>
              <w:snapToGrid w:val="0"/>
              <w:jc w:val="center"/>
              <w:rPr>
                <w:color w:val="auto"/>
                <w:szCs w:val="21"/>
              </w:rPr>
            </w:pPr>
          </w:p>
        </w:tc>
        <w:tc>
          <w:tcPr>
            <w:tcW w:w="284" w:type="pct"/>
            <w:noWrap w:val="0"/>
            <w:tcMar>
              <w:top w:w="0" w:type="dxa"/>
              <w:left w:w="0" w:type="dxa"/>
              <w:bottom w:w="0" w:type="dxa"/>
              <w:right w:w="0" w:type="dxa"/>
            </w:tcMar>
            <w:vAlign w:val="center"/>
          </w:tcPr>
          <w:p w14:paraId="2A7BE4FB">
            <w:pPr>
              <w:keepNext w:val="0"/>
              <w:keepLines w:val="0"/>
              <w:pageBreakBefore w:val="0"/>
              <w:kinsoku/>
              <w:wordWrap/>
              <w:overflowPunct/>
              <w:topLinePunct w:val="0"/>
              <w:autoSpaceDE/>
              <w:autoSpaceDN/>
              <w:bidi w:val="0"/>
              <w:adjustRightInd w:val="0"/>
              <w:snapToGrid w:val="0"/>
              <w:jc w:val="center"/>
              <w:rPr>
                <w:rFonts w:hint="eastAsia" w:eastAsia="宋体"/>
                <w:color w:val="auto"/>
                <w:szCs w:val="21"/>
                <w:lang w:val="en-US" w:eastAsia="zh-CN"/>
              </w:rPr>
            </w:pPr>
            <w:r>
              <w:rPr>
                <w:rFonts w:hint="eastAsia"/>
                <w:color w:val="auto"/>
                <w:szCs w:val="21"/>
                <w:lang w:val="en-US" w:eastAsia="zh-CN"/>
              </w:rPr>
              <w:t>无组织</w:t>
            </w:r>
          </w:p>
        </w:tc>
        <w:tc>
          <w:tcPr>
            <w:tcW w:w="697" w:type="pct"/>
            <w:shd w:val="clear" w:color="auto" w:fill="auto"/>
            <w:noWrap w:val="0"/>
            <w:tcMar>
              <w:top w:w="0" w:type="dxa"/>
              <w:left w:w="0" w:type="dxa"/>
              <w:bottom w:w="0" w:type="dxa"/>
              <w:right w:w="0" w:type="dxa"/>
            </w:tcMar>
            <w:vAlign w:val="center"/>
          </w:tcPr>
          <w:p w14:paraId="53E0A409">
            <w:pPr>
              <w:pStyle w:val="49"/>
              <w:ind w:firstLine="0" w:firstLineChars="0"/>
              <w:jc w:val="center"/>
              <w:rPr>
                <w:rFonts w:hint="eastAsia" w:ascii="Times New Roman" w:hAnsi="Times New Roman" w:eastAsia="宋体" w:cs="Times New Roman"/>
                <w:i w:val="0"/>
                <w:iCs w:val="0"/>
                <w:color w:val="auto"/>
                <w:kern w:val="0"/>
                <w:sz w:val="21"/>
                <w:szCs w:val="21"/>
                <w:u w:val="none"/>
                <w:lang w:val="en-US" w:eastAsia="zh-CN" w:bidi="ar"/>
              </w:rPr>
            </w:pPr>
            <w:r>
              <w:rPr>
                <w:rFonts w:ascii="Times New Roman" w:hAnsi="Times New Roman" w:eastAsia="宋体"/>
                <w:color w:val="auto"/>
              </w:rPr>
              <w:t>0.064</w:t>
            </w:r>
          </w:p>
        </w:tc>
        <w:tc>
          <w:tcPr>
            <w:tcW w:w="453" w:type="pct"/>
            <w:noWrap w:val="0"/>
            <w:tcMar>
              <w:top w:w="0" w:type="dxa"/>
              <w:left w:w="0" w:type="dxa"/>
              <w:bottom w:w="0" w:type="dxa"/>
              <w:right w:w="0" w:type="dxa"/>
            </w:tcMar>
            <w:vAlign w:val="center"/>
          </w:tcPr>
          <w:p w14:paraId="02CE3D70">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83" w:type="pct"/>
            <w:noWrap w:val="0"/>
            <w:tcMar>
              <w:top w:w="0" w:type="dxa"/>
              <w:left w:w="0" w:type="dxa"/>
              <w:bottom w:w="0" w:type="dxa"/>
              <w:right w:w="0" w:type="dxa"/>
            </w:tcMar>
            <w:vAlign w:val="center"/>
          </w:tcPr>
          <w:p w14:paraId="7BAD96F6">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73" w:type="pct"/>
            <w:shd w:val="clear" w:color="auto" w:fill="auto"/>
            <w:noWrap w:val="0"/>
            <w:tcMar>
              <w:top w:w="0" w:type="dxa"/>
              <w:left w:w="0" w:type="dxa"/>
              <w:bottom w:w="0" w:type="dxa"/>
              <w:right w:w="0" w:type="dxa"/>
            </w:tcMar>
            <w:vAlign w:val="center"/>
          </w:tcPr>
          <w:p w14:paraId="533316B5">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olor w:val="auto"/>
                <w:szCs w:val="21"/>
                <w:lang w:val="en-US" w:eastAsia="zh-CN"/>
              </w:rPr>
              <w:t>0.032</w:t>
            </w:r>
          </w:p>
        </w:tc>
        <w:tc>
          <w:tcPr>
            <w:tcW w:w="520" w:type="pct"/>
            <w:shd w:val="clear" w:color="auto" w:fill="auto"/>
            <w:noWrap w:val="0"/>
            <w:tcMar>
              <w:top w:w="0" w:type="dxa"/>
              <w:left w:w="0" w:type="dxa"/>
              <w:bottom w:w="0" w:type="dxa"/>
              <w:right w:w="0" w:type="dxa"/>
            </w:tcMar>
            <w:vAlign w:val="center"/>
          </w:tcPr>
          <w:p w14:paraId="7DF6AE5E">
            <w:pPr>
              <w:pStyle w:val="49"/>
              <w:ind w:firstLine="0" w:firstLineChars="0"/>
              <w:jc w:val="center"/>
              <w:rPr>
                <w:rFonts w:hint="default" w:ascii="Times New Roman" w:hAnsi="Times New Roman" w:eastAsia="宋体" w:cs="Times New Roman"/>
                <w:i w:val="0"/>
                <w:iCs w:val="0"/>
                <w:color w:val="auto"/>
                <w:kern w:val="0"/>
                <w:sz w:val="21"/>
                <w:szCs w:val="21"/>
                <w:u w:val="none"/>
                <w:lang w:val="en-US" w:eastAsia="zh-CN" w:bidi="ar"/>
              </w:rPr>
            </w:pPr>
            <w:r>
              <w:rPr>
                <w:rFonts w:ascii="Times New Roman" w:hAnsi="Times New Roman" w:eastAsia="宋体"/>
                <w:color w:val="auto"/>
              </w:rPr>
              <w:t>0.064</w:t>
            </w:r>
          </w:p>
        </w:tc>
        <w:tc>
          <w:tcPr>
            <w:tcW w:w="600" w:type="pct"/>
            <w:shd w:val="clear" w:color="auto" w:fill="auto"/>
            <w:noWrap w:val="0"/>
            <w:tcMar>
              <w:top w:w="0" w:type="dxa"/>
              <w:left w:w="0" w:type="dxa"/>
              <w:bottom w:w="0" w:type="dxa"/>
              <w:right w:w="0" w:type="dxa"/>
            </w:tcMar>
            <w:vAlign w:val="center"/>
          </w:tcPr>
          <w:p w14:paraId="724F9CF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olor w:val="auto"/>
                <w:szCs w:val="21"/>
                <w:lang w:val="en-US" w:eastAsia="zh-CN"/>
              </w:rPr>
              <w:t>0.032</w:t>
            </w:r>
          </w:p>
        </w:tc>
        <w:tc>
          <w:tcPr>
            <w:tcW w:w="501" w:type="pct"/>
            <w:noWrap w:val="0"/>
            <w:tcMar>
              <w:top w:w="0" w:type="dxa"/>
              <w:left w:w="0" w:type="dxa"/>
              <w:bottom w:w="0" w:type="dxa"/>
              <w:right w:w="0" w:type="dxa"/>
            </w:tcMar>
            <w:vAlign w:val="center"/>
          </w:tcPr>
          <w:p w14:paraId="026A72BB">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-0.032</w:t>
            </w:r>
          </w:p>
        </w:tc>
      </w:tr>
      <w:tr w14:paraId="5F082C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noWrap w:val="0"/>
            <w:tcMar>
              <w:top w:w="0" w:type="dxa"/>
              <w:left w:w="0" w:type="dxa"/>
              <w:bottom w:w="0" w:type="dxa"/>
              <w:right w:w="0" w:type="dxa"/>
            </w:tcMar>
            <w:vAlign w:val="center"/>
          </w:tcPr>
          <w:p w14:paraId="693BB670">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248" w:type="pct"/>
            <w:vMerge w:val="restart"/>
            <w:shd w:val="clear" w:color="auto" w:fill="auto"/>
            <w:noWrap w:val="0"/>
            <w:tcMar>
              <w:top w:w="0" w:type="dxa"/>
              <w:left w:w="0" w:type="dxa"/>
              <w:bottom w:w="0" w:type="dxa"/>
              <w:right w:w="0" w:type="dxa"/>
            </w:tcMar>
            <w:vAlign w:val="center"/>
          </w:tcPr>
          <w:p w14:paraId="6BA1B802">
            <w:pPr>
              <w:keepNext w:val="0"/>
              <w:keepLines w:val="0"/>
              <w:pageBreakBefore w:val="0"/>
              <w:kinsoku/>
              <w:wordWrap/>
              <w:overflowPunct/>
              <w:topLinePunct w:val="0"/>
              <w:autoSpaceDE/>
              <w:autoSpaceDN/>
              <w:bidi w:val="0"/>
              <w:adjustRightInd w:val="0"/>
              <w:snapToGrid w:val="0"/>
              <w:jc w:val="center"/>
              <w:rPr>
                <w:rFonts w:ascii="Times New Roman" w:hAnsi="Times New Roman" w:eastAsia="宋体" w:cs="Times New Roman"/>
                <w:color w:val="auto"/>
                <w:kern w:val="2"/>
                <w:sz w:val="21"/>
                <w:szCs w:val="21"/>
                <w:lang w:val="en-US" w:eastAsia="zh-CN" w:bidi="ar-SA"/>
              </w:rPr>
            </w:pPr>
            <w:r>
              <w:rPr>
                <w:color w:val="auto"/>
                <w:szCs w:val="21"/>
              </w:rPr>
              <w:t>颗粒物</w:t>
            </w:r>
          </w:p>
        </w:tc>
        <w:tc>
          <w:tcPr>
            <w:tcW w:w="284" w:type="pct"/>
            <w:noWrap w:val="0"/>
            <w:tcMar>
              <w:top w:w="0" w:type="dxa"/>
              <w:left w:w="0" w:type="dxa"/>
              <w:bottom w:w="0" w:type="dxa"/>
              <w:right w:w="0" w:type="dxa"/>
            </w:tcMar>
            <w:vAlign w:val="center"/>
          </w:tcPr>
          <w:p w14:paraId="030685B1">
            <w:pPr>
              <w:keepNext w:val="0"/>
              <w:keepLines w:val="0"/>
              <w:pageBreakBefore w:val="0"/>
              <w:kinsoku/>
              <w:wordWrap/>
              <w:overflowPunct/>
              <w:topLinePunct w:val="0"/>
              <w:autoSpaceDE/>
              <w:autoSpaceDN/>
              <w:bidi w:val="0"/>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有组织</w:t>
            </w:r>
          </w:p>
        </w:tc>
        <w:tc>
          <w:tcPr>
            <w:tcW w:w="697" w:type="pct"/>
            <w:shd w:val="clear" w:color="auto" w:fill="auto"/>
            <w:noWrap w:val="0"/>
            <w:tcMar>
              <w:top w:w="0" w:type="dxa"/>
              <w:left w:w="0" w:type="dxa"/>
              <w:bottom w:w="0" w:type="dxa"/>
              <w:right w:w="0" w:type="dxa"/>
            </w:tcMar>
            <w:vAlign w:val="center"/>
          </w:tcPr>
          <w:p w14:paraId="196FAEB9">
            <w:pPr>
              <w:pStyle w:val="49"/>
              <w:ind w:firstLine="0" w:firstLineChars="0"/>
              <w:jc w:val="center"/>
              <w:rPr>
                <w:rFonts w:hint="eastAsia" w:ascii="Times New Roman" w:hAnsi="Times New Roman" w:eastAsia="宋体" w:cs="Times New Roman"/>
                <w:color w:val="auto"/>
                <w:kern w:val="2"/>
                <w:sz w:val="21"/>
                <w:szCs w:val="22"/>
                <w:lang w:val="en-US" w:eastAsia="zh-CN" w:bidi="ar-SA"/>
              </w:rPr>
            </w:pPr>
            <w:r>
              <w:rPr>
                <w:rFonts w:hint="eastAsia" w:ascii="Times New Roman" w:hAnsi="Times New Roman" w:eastAsia="宋体" w:cs="Times New Roman"/>
                <w:color w:val="auto"/>
                <w:lang w:val="en-US" w:eastAsia="zh-CN"/>
              </w:rPr>
              <w:t>0.0619</w:t>
            </w:r>
          </w:p>
        </w:tc>
        <w:tc>
          <w:tcPr>
            <w:tcW w:w="453" w:type="pct"/>
            <w:noWrap w:val="0"/>
            <w:tcMar>
              <w:top w:w="0" w:type="dxa"/>
              <w:left w:w="0" w:type="dxa"/>
              <w:bottom w:w="0" w:type="dxa"/>
              <w:right w:w="0" w:type="dxa"/>
            </w:tcMar>
            <w:vAlign w:val="center"/>
          </w:tcPr>
          <w:p w14:paraId="2A915423">
            <w:pPr>
              <w:keepNext w:val="0"/>
              <w:keepLines w:val="0"/>
              <w:pageBreakBefore w:val="0"/>
              <w:kinsoku/>
              <w:wordWrap/>
              <w:overflowPunct/>
              <w:topLinePunct w:val="0"/>
              <w:autoSpaceDE/>
              <w:autoSpaceDN/>
              <w:bidi w:val="0"/>
              <w:adjustRightInd w:val="0"/>
              <w:snapToGrid w:val="0"/>
              <w:jc w:val="center"/>
              <w:rPr>
                <w:color w:val="auto"/>
                <w:szCs w:val="21"/>
              </w:rPr>
            </w:pPr>
            <w:r>
              <w:rPr>
                <w:rFonts w:hint="eastAsia"/>
                <w:color w:val="auto"/>
                <w:szCs w:val="21"/>
              </w:rPr>
              <w:t>/</w:t>
            </w:r>
          </w:p>
        </w:tc>
        <w:tc>
          <w:tcPr>
            <w:tcW w:w="683" w:type="pct"/>
            <w:noWrap w:val="0"/>
            <w:tcMar>
              <w:top w:w="0" w:type="dxa"/>
              <w:left w:w="0" w:type="dxa"/>
              <w:bottom w:w="0" w:type="dxa"/>
              <w:right w:w="0" w:type="dxa"/>
            </w:tcMar>
            <w:vAlign w:val="center"/>
          </w:tcPr>
          <w:p w14:paraId="04E95676">
            <w:pPr>
              <w:keepNext w:val="0"/>
              <w:keepLines w:val="0"/>
              <w:pageBreakBefore w:val="0"/>
              <w:kinsoku/>
              <w:wordWrap/>
              <w:overflowPunct/>
              <w:topLinePunct w:val="0"/>
              <w:autoSpaceDE/>
              <w:autoSpaceDN/>
              <w:bidi w:val="0"/>
              <w:adjustRightInd w:val="0"/>
              <w:snapToGrid w:val="0"/>
              <w:jc w:val="center"/>
              <w:rPr>
                <w:color w:val="auto"/>
                <w:szCs w:val="21"/>
              </w:rPr>
            </w:pPr>
            <w:r>
              <w:rPr>
                <w:rFonts w:hint="eastAsia"/>
                <w:color w:val="auto"/>
                <w:szCs w:val="21"/>
              </w:rPr>
              <w:t>/</w:t>
            </w:r>
          </w:p>
        </w:tc>
        <w:tc>
          <w:tcPr>
            <w:tcW w:w="673" w:type="pct"/>
            <w:shd w:val="clear" w:color="auto" w:fill="auto"/>
            <w:noWrap w:val="0"/>
            <w:tcMar>
              <w:top w:w="0" w:type="dxa"/>
              <w:left w:w="0" w:type="dxa"/>
              <w:bottom w:w="0" w:type="dxa"/>
              <w:right w:w="0" w:type="dxa"/>
            </w:tcMar>
            <w:vAlign w:val="center"/>
          </w:tcPr>
          <w:p w14:paraId="3DD5C83C">
            <w:pPr>
              <w:pStyle w:val="49"/>
              <w:ind w:firstLine="0" w:firstLineChars="0"/>
              <w:jc w:val="center"/>
              <w:rPr>
                <w:rFonts w:hint="eastAsia" w:ascii="Times New Roman" w:hAnsi="Times New Roman" w:eastAsia="宋体" w:cs="Times New Roman"/>
                <w:color w:val="auto"/>
                <w:kern w:val="2"/>
                <w:sz w:val="21"/>
                <w:szCs w:val="22"/>
                <w:lang w:val="en-US" w:eastAsia="zh-CN" w:bidi="ar-SA"/>
              </w:rPr>
            </w:pPr>
            <w:r>
              <w:rPr>
                <w:rFonts w:hint="eastAsia" w:ascii="Times New Roman" w:hAnsi="Times New Roman" w:eastAsia="宋体" w:cs="Times New Roman"/>
                <w:color w:val="auto"/>
                <w:lang w:val="en-US" w:eastAsia="zh-CN"/>
              </w:rPr>
              <w:t>0.1009</w:t>
            </w:r>
          </w:p>
        </w:tc>
        <w:tc>
          <w:tcPr>
            <w:tcW w:w="520" w:type="pct"/>
            <w:shd w:val="clear" w:color="auto" w:fill="auto"/>
            <w:noWrap w:val="0"/>
            <w:tcMar>
              <w:top w:w="0" w:type="dxa"/>
              <w:left w:w="0" w:type="dxa"/>
              <w:bottom w:w="0" w:type="dxa"/>
              <w:right w:w="0" w:type="dxa"/>
            </w:tcMar>
            <w:vAlign w:val="center"/>
          </w:tcPr>
          <w:p w14:paraId="3C469A7F">
            <w:pPr>
              <w:pStyle w:val="49"/>
              <w:ind w:firstLine="0" w:firstLineChars="0"/>
              <w:jc w:val="center"/>
              <w:rPr>
                <w:rFonts w:hint="default" w:ascii="Times New Roman" w:hAnsi="Times New Roman" w:eastAsia="宋体" w:cs="Times New Roman"/>
                <w:color w:val="auto"/>
                <w:kern w:val="2"/>
                <w:sz w:val="21"/>
                <w:szCs w:val="22"/>
                <w:lang w:val="en-US" w:eastAsia="zh-CN" w:bidi="ar-SA"/>
              </w:rPr>
            </w:pPr>
            <w:r>
              <w:rPr>
                <w:rFonts w:hint="eastAsia" w:ascii="Times New Roman" w:hAnsi="Times New Roman" w:eastAsia="宋体" w:cs="Times New Roman"/>
                <w:color w:val="auto"/>
                <w:lang w:val="en-US" w:eastAsia="zh-CN"/>
              </w:rPr>
              <w:t>0.0619</w:t>
            </w:r>
          </w:p>
        </w:tc>
        <w:tc>
          <w:tcPr>
            <w:tcW w:w="600" w:type="pct"/>
            <w:shd w:val="clear" w:color="auto" w:fill="auto"/>
            <w:noWrap w:val="0"/>
            <w:tcMar>
              <w:top w:w="0" w:type="dxa"/>
              <w:left w:w="0" w:type="dxa"/>
              <w:bottom w:w="0" w:type="dxa"/>
              <w:right w:w="0" w:type="dxa"/>
            </w:tcMar>
            <w:vAlign w:val="center"/>
          </w:tcPr>
          <w:p w14:paraId="6C81244E">
            <w:pPr>
              <w:pStyle w:val="49"/>
              <w:ind w:firstLine="0" w:firstLineChars="0"/>
              <w:jc w:val="center"/>
              <w:rPr>
                <w:rFonts w:hint="eastAsia" w:ascii="Times New Roman" w:hAnsi="Times New Roman" w:eastAsia="宋体" w:cs="Times New Roman"/>
                <w:color w:val="auto"/>
                <w:kern w:val="2"/>
                <w:sz w:val="21"/>
                <w:szCs w:val="22"/>
                <w:lang w:val="en-US" w:eastAsia="zh-CN" w:bidi="ar-SA"/>
              </w:rPr>
            </w:pPr>
            <w:r>
              <w:rPr>
                <w:rFonts w:hint="eastAsia" w:ascii="Times New Roman" w:hAnsi="Times New Roman" w:eastAsia="宋体" w:cs="Times New Roman"/>
                <w:color w:val="auto"/>
                <w:lang w:val="en-US" w:eastAsia="zh-CN"/>
              </w:rPr>
              <w:t>0.1009</w:t>
            </w:r>
          </w:p>
        </w:tc>
        <w:tc>
          <w:tcPr>
            <w:tcW w:w="501" w:type="pct"/>
            <w:noWrap w:val="0"/>
            <w:tcMar>
              <w:top w:w="0" w:type="dxa"/>
              <w:left w:w="0" w:type="dxa"/>
              <w:bottom w:w="0" w:type="dxa"/>
              <w:right w:w="0" w:type="dxa"/>
            </w:tcMar>
            <w:vAlign w:val="center"/>
          </w:tcPr>
          <w:p w14:paraId="46135004">
            <w:pPr>
              <w:keepNext w:val="0"/>
              <w:keepLines w:val="0"/>
              <w:suppressLineNumbers w:val="0"/>
              <w:spacing w:before="0" w:beforeAutospacing="0" w:after="0" w:afterAutospacing="0"/>
              <w:ind w:left="0" w:leftChars="0" w:right="0" w:rightChars="0"/>
              <w:contextualSpacing/>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0.039</w:t>
            </w:r>
          </w:p>
        </w:tc>
      </w:tr>
      <w:tr w14:paraId="52067F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noWrap w:val="0"/>
            <w:tcMar>
              <w:top w:w="0" w:type="dxa"/>
              <w:left w:w="0" w:type="dxa"/>
              <w:bottom w:w="0" w:type="dxa"/>
              <w:right w:w="0" w:type="dxa"/>
            </w:tcMar>
            <w:vAlign w:val="center"/>
          </w:tcPr>
          <w:p w14:paraId="6F14FF86">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248" w:type="pct"/>
            <w:vMerge w:val="continue"/>
            <w:noWrap w:val="0"/>
            <w:tcMar>
              <w:top w:w="0" w:type="dxa"/>
              <w:left w:w="0" w:type="dxa"/>
              <w:bottom w:w="0" w:type="dxa"/>
              <w:right w:w="0" w:type="dxa"/>
            </w:tcMar>
            <w:vAlign w:val="center"/>
          </w:tcPr>
          <w:p w14:paraId="0A574B8C">
            <w:pPr>
              <w:keepNext w:val="0"/>
              <w:keepLines w:val="0"/>
              <w:pageBreakBefore w:val="0"/>
              <w:kinsoku/>
              <w:wordWrap/>
              <w:overflowPunct/>
              <w:topLinePunct w:val="0"/>
              <w:autoSpaceDE/>
              <w:autoSpaceDN/>
              <w:bidi w:val="0"/>
              <w:adjustRightInd w:val="0"/>
              <w:snapToGrid w:val="0"/>
              <w:jc w:val="center"/>
              <w:rPr>
                <w:rFonts w:hint="eastAsia"/>
                <w:color w:val="auto"/>
                <w:szCs w:val="21"/>
              </w:rPr>
            </w:pPr>
          </w:p>
        </w:tc>
        <w:tc>
          <w:tcPr>
            <w:tcW w:w="284" w:type="pct"/>
            <w:noWrap w:val="0"/>
            <w:tcMar>
              <w:top w:w="0" w:type="dxa"/>
              <w:left w:w="0" w:type="dxa"/>
              <w:bottom w:w="0" w:type="dxa"/>
              <w:right w:w="0" w:type="dxa"/>
            </w:tcMar>
            <w:vAlign w:val="center"/>
          </w:tcPr>
          <w:p w14:paraId="77664932">
            <w:pPr>
              <w:keepNext w:val="0"/>
              <w:keepLines w:val="0"/>
              <w:pageBreakBefore w:val="0"/>
              <w:kinsoku/>
              <w:wordWrap/>
              <w:overflowPunct/>
              <w:topLinePunct w:val="0"/>
              <w:autoSpaceDE/>
              <w:autoSpaceDN/>
              <w:bidi w:val="0"/>
              <w:adjustRightInd w:val="0"/>
              <w:snapToGrid w:val="0"/>
              <w:jc w:val="center"/>
              <w:rPr>
                <w:rFonts w:hint="eastAsia" w:eastAsia="宋体"/>
                <w:color w:val="auto"/>
                <w:kern w:val="2"/>
                <w:sz w:val="21"/>
                <w:szCs w:val="21"/>
                <w:lang w:val="en-US" w:eastAsia="zh-CN" w:bidi="ar-SA"/>
              </w:rPr>
            </w:pPr>
            <w:r>
              <w:rPr>
                <w:rFonts w:hint="eastAsia"/>
                <w:color w:val="auto"/>
                <w:szCs w:val="21"/>
                <w:lang w:val="en-US" w:eastAsia="zh-CN"/>
              </w:rPr>
              <w:t>无组织</w:t>
            </w:r>
          </w:p>
        </w:tc>
        <w:tc>
          <w:tcPr>
            <w:tcW w:w="697" w:type="pct"/>
            <w:shd w:val="clear" w:color="auto" w:fill="auto"/>
            <w:noWrap w:val="0"/>
            <w:tcMar>
              <w:top w:w="0" w:type="dxa"/>
              <w:left w:w="0" w:type="dxa"/>
              <w:bottom w:w="0" w:type="dxa"/>
              <w:right w:w="0" w:type="dxa"/>
            </w:tcMar>
            <w:vAlign w:val="center"/>
          </w:tcPr>
          <w:p w14:paraId="5F432EC1">
            <w:pPr>
              <w:pStyle w:val="49"/>
              <w:ind w:firstLine="0" w:firstLineChars="0"/>
              <w:jc w:val="center"/>
              <w:rPr>
                <w:rFonts w:hint="default" w:ascii="Times New Roman" w:hAnsi="Times New Roman" w:eastAsia="宋体" w:cs="Times New Roman"/>
                <w:i w:val="0"/>
                <w:iCs w:val="0"/>
                <w:color w:val="auto"/>
                <w:kern w:val="0"/>
                <w:sz w:val="21"/>
                <w:szCs w:val="21"/>
                <w:u w:val="none"/>
                <w:lang w:val="en-US" w:eastAsia="zh-CN" w:bidi="ar"/>
              </w:rPr>
            </w:pPr>
            <w:r>
              <w:rPr>
                <w:rFonts w:ascii="Times New Roman" w:hAnsi="Times New Roman" w:eastAsia="宋体"/>
                <w:color w:val="auto"/>
              </w:rPr>
              <w:t>0.0966</w:t>
            </w:r>
          </w:p>
        </w:tc>
        <w:tc>
          <w:tcPr>
            <w:tcW w:w="453" w:type="pct"/>
            <w:noWrap w:val="0"/>
            <w:tcMar>
              <w:top w:w="0" w:type="dxa"/>
              <w:left w:w="0" w:type="dxa"/>
              <w:bottom w:w="0" w:type="dxa"/>
              <w:right w:w="0" w:type="dxa"/>
            </w:tcMar>
            <w:vAlign w:val="center"/>
          </w:tcPr>
          <w:p w14:paraId="3FD2BCD1">
            <w:pPr>
              <w:keepNext w:val="0"/>
              <w:keepLines w:val="0"/>
              <w:pageBreakBefore w:val="0"/>
              <w:kinsoku/>
              <w:wordWrap/>
              <w:overflowPunct/>
              <w:topLinePunct w:val="0"/>
              <w:autoSpaceDE/>
              <w:autoSpaceDN/>
              <w:bidi w:val="0"/>
              <w:adjustRightInd w:val="0"/>
              <w:snapToGrid w:val="0"/>
              <w:jc w:val="center"/>
              <w:rPr>
                <w:color w:val="auto"/>
                <w:szCs w:val="21"/>
              </w:rPr>
            </w:pPr>
            <w:r>
              <w:rPr>
                <w:rFonts w:hint="eastAsia"/>
                <w:color w:val="auto"/>
                <w:szCs w:val="21"/>
              </w:rPr>
              <w:t>/</w:t>
            </w:r>
          </w:p>
        </w:tc>
        <w:tc>
          <w:tcPr>
            <w:tcW w:w="683" w:type="pct"/>
            <w:noWrap w:val="0"/>
            <w:tcMar>
              <w:top w:w="0" w:type="dxa"/>
              <w:left w:w="0" w:type="dxa"/>
              <w:bottom w:w="0" w:type="dxa"/>
              <w:right w:w="0" w:type="dxa"/>
            </w:tcMar>
            <w:vAlign w:val="center"/>
          </w:tcPr>
          <w:p w14:paraId="421DD939">
            <w:pPr>
              <w:keepNext w:val="0"/>
              <w:keepLines w:val="0"/>
              <w:pageBreakBefore w:val="0"/>
              <w:kinsoku/>
              <w:wordWrap/>
              <w:overflowPunct/>
              <w:topLinePunct w:val="0"/>
              <w:autoSpaceDE/>
              <w:autoSpaceDN/>
              <w:bidi w:val="0"/>
              <w:adjustRightInd w:val="0"/>
              <w:snapToGrid w:val="0"/>
              <w:jc w:val="center"/>
              <w:rPr>
                <w:color w:val="auto"/>
                <w:szCs w:val="21"/>
              </w:rPr>
            </w:pPr>
            <w:r>
              <w:rPr>
                <w:rFonts w:hint="eastAsia"/>
                <w:color w:val="auto"/>
                <w:szCs w:val="21"/>
              </w:rPr>
              <w:t>/</w:t>
            </w:r>
          </w:p>
        </w:tc>
        <w:tc>
          <w:tcPr>
            <w:tcW w:w="673" w:type="pct"/>
            <w:shd w:val="clear" w:color="auto" w:fill="auto"/>
            <w:noWrap w:val="0"/>
            <w:tcMar>
              <w:top w:w="0" w:type="dxa"/>
              <w:left w:w="0" w:type="dxa"/>
              <w:bottom w:w="0" w:type="dxa"/>
              <w:right w:w="0" w:type="dxa"/>
            </w:tcMar>
            <w:vAlign w:val="center"/>
          </w:tcPr>
          <w:p w14:paraId="21AC39F8">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kern w:val="2"/>
                <w:sz w:val="21"/>
                <w:szCs w:val="21"/>
                <w:lang w:val="en-US" w:eastAsia="zh-CN"/>
              </w:rPr>
              <w:t>0.0814</w:t>
            </w:r>
          </w:p>
        </w:tc>
        <w:tc>
          <w:tcPr>
            <w:tcW w:w="520" w:type="pct"/>
            <w:shd w:val="clear" w:color="auto" w:fill="auto"/>
            <w:noWrap w:val="0"/>
            <w:tcMar>
              <w:top w:w="0" w:type="dxa"/>
              <w:left w:w="0" w:type="dxa"/>
              <w:bottom w:w="0" w:type="dxa"/>
              <w:right w:w="0" w:type="dxa"/>
            </w:tcMar>
            <w:vAlign w:val="center"/>
          </w:tcPr>
          <w:p w14:paraId="2EBAD1CA">
            <w:pPr>
              <w:pStyle w:val="49"/>
              <w:ind w:firstLine="0" w:firstLineChars="0"/>
              <w:jc w:val="center"/>
              <w:rPr>
                <w:rFonts w:hint="eastAsia" w:ascii="Times New Roman" w:hAnsi="Times New Roman" w:eastAsia="宋体" w:cs="Times New Roman"/>
                <w:i w:val="0"/>
                <w:iCs w:val="0"/>
                <w:color w:val="auto"/>
                <w:kern w:val="0"/>
                <w:sz w:val="21"/>
                <w:szCs w:val="21"/>
                <w:u w:val="none"/>
                <w:lang w:val="en-US" w:eastAsia="zh-CN" w:bidi="ar"/>
              </w:rPr>
            </w:pPr>
            <w:r>
              <w:rPr>
                <w:rFonts w:ascii="Times New Roman" w:hAnsi="Times New Roman" w:eastAsia="宋体"/>
                <w:color w:val="auto"/>
              </w:rPr>
              <w:t>0.0966</w:t>
            </w:r>
          </w:p>
        </w:tc>
        <w:tc>
          <w:tcPr>
            <w:tcW w:w="600" w:type="pct"/>
            <w:shd w:val="clear" w:color="auto" w:fill="auto"/>
            <w:noWrap w:val="0"/>
            <w:tcMar>
              <w:top w:w="0" w:type="dxa"/>
              <w:left w:w="0" w:type="dxa"/>
              <w:bottom w:w="0" w:type="dxa"/>
              <w:right w:w="0" w:type="dxa"/>
            </w:tcMar>
            <w:vAlign w:val="center"/>
          </w:tcPr>
          <w:p w14:paraId="6419BD18">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kern w:val="2"/>
                <w:sz w:val="21"/>
                <w:szCs w:val="21"/>
                <w:lang w:val="en-US" w:eastAsia="zh-CN"/>
              </w:rPr>
              <w:t>0.0814</w:t>
            </w:r>
          </w:p>
        </w:tc>
        <w:tc>
          <w:tcPr>
            <w:tcW w:w="501" w:type="pct"/>
            <w:noWrap w:val="0"/>
            <w:tcMar>
              <w:top w:w="0" w:type="dxa"/>
              <w:left w:w="0" w:type="dxa"/>
              <w:bottom w:w="0" w:type="dxa"/>
              <w:right w:w="0" w:type="dxa"/>
            </w:tcMar>
            <w:vAlign w:val="center"/>
          </w:tcPr>
          <w:p w14:paraId="7895F68C">
            <w:pPr>
              <w:keepNext w:val="0"/>
              <w:keepLines w:val="0"/>
              <w:suppressLineNumbers w:val="0"/>
              <w:spacing w:before="0" w:beforeAutospacing="0" w:after="0" w:afterAutospacing="0"/>
              <w:ind w:left="0" w:leftChars="0" w:right="0" w:rightChars="0"/>
              <w:contextualSpacing/>
              <w:jc w:val="center"/>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-0.0152</w:t>
            </w:r>
          </w:p>
        </w:tc>
      </w:tr>
      <w:tr w14:paraId="7386CB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restart"/>
            <w:noWrap w:val="0"/>
            <w:tcMar>
              <w:top w:w="0" w:type="dxa"/>
              <w:left w:w="0" w:type="dxa"/>
              <w:bottom w:w="0" w:type="dxa"/>
              <w:right w:w="0" w:type="dxa"/>
            </w:tcMar>
            <w:vAlign w:val="center"/>
          </w:tcPr>
          <w:p w14:paraId="62A219D3">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r>
              <w:rPr>
                <w:rFonts w:ascii="Times New Roman" w:hAnsi="Times New Roman" w:eastAsia="宋体"/>
                <w:b w:val="0"/>
                <w:bCs/>
                <w:snapToGrid w:val="0"/>
                <w:color w:val="auto"/>
                <w:kern w:val="21"/>
                <w:sz w:val="21"/>
                <w:szCs w:val="21"/>
              </w:rPr>
              <w:t>废水</w:t>
            </w:r>
          </w:p>
        </w:tc>
        <w:tc>
          <w:tcPr>
            <w:tcW w:w="532" w:type="pct"/>
            <w:gridSpan w:val="2"/>
            <w:noWrap w:val="0"/>
            <w:tcMar>
              <w:top w:w="0" w:type="dxa"/>
              <w:left w:w="0" w:type="dxa"/>
              <w:bottom w:w="0" w:type="dxa"/>
              <w:right w:w="0" w:type="dxa"/>
            </w:tcMar>
            <w:vAlign w:val="center"/>
          </w:tcPr>
          <w:p w14:paraId="79D69350">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废水量</w:t>
            </w:r>
          </w:p>
        </w:tc>
        <w:tc>
          <w:tcPr>
            <w:tcW w:w="697" w:type="pct"/>
            <w:noWrap w:val="0"/>
            <w:tcMar>
              <w:top w:w="0" w:type="dxa"/>
              <w:left w:w="0" w:type="dxa"/>
              <w:bottom w:w="0" w:type="dxa"/>
              <w:right w:w="0" w:type="dxa"/>
            </w:tcMar>
            <w:vAlign w:val="center"/>
          </w:tcPr>
          <w:p w14:paraId="34DDE8ED">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color w:val="auto"/>
                <w:sz w:val="21"/>
                <w:szCs w:val="21"/>
                <w:lang w:val="en-US" w:eastAsia="zh-CN"/>
              </w:rPr>
              <w:t>107.52</w:t>
            </w:r>
          </w:p>
        </w:tc>
        <w:tc>
          <w:tcPr>
            <w:tcW w:w="453" w:type="pct"/>
            <w:noWrap w:val="0"/>
            <w:tcMar>
              <w:top w:w="0" w:type="dxa"/>
              <w:left w:w="0" w:type="dxa"/>
              <w:bottom w:w="0" w:type="dxa"/>
              <w:right w:w="0" w:type="dxa"/>
            </w:tcMar>
            <w:vAlign w:val="center"/>
          </w:tcPr>
          <w:p w14:paraId="07006DC2">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83" w:type="pct"/>
            <w:noWrap w:val="0"/>
            <w:tcMar>
              <w:top w:w="0" w:type="dxa"/>
              <w:left w:w="0" w:type="dxa"/>
              <w:bottom w:w="0" w:type="dxa"/>
              <w:right w:w="0" w:type="dxa"/>
            </w:tcMar>
            <w:vAlign w:val="center"/>
          </w:tcPr>
          <w:p w14:paraId="3A480E2C">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73" w:type="pct"/>
            <w:shd w:val="clear" w:color="auto" w:fill="auto"/>
            <w:noWrap w:val="0"/>
            <w:tcMar>
              <w:top w:w="0" w:type="dxa"/>
              <w:left w:w="0" w:type="dxa"/>
              <w:bottom w:w="0" w:type="dxa"/>
              <w:right w:w="0" w:type="dxa"/>
            </w:tcMar>
            <w:vAlign w:val="center"/>
          </w:tcPr>
          <w:p w14:paraId="0953EBAE">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i w:val="0"/>
                <w:iCs w:val="0"/>
                <w:color w:val="auto"/>
                <w:kern w:val="0"/>
                <w:sz w:val="21"/>
                <w:szCs w:val="21"/>
                <w:u w:val="none"/>
                <w:lang w:val="en-US" w:eastAsia="zh-CN" w:bidi="ar"/>
              </w:rPr>
              <w:t>144</w:t>
            </w:r>
          </w:p>
        </w:tc>
        <w:tc>
          <w:tcPr>
            <w:tcW w:w="520" w:type="pct"/>
            <w:shd w:val="clear" w:color="auto" w:fill="auto"/>
            <w:noWrap w:val="0"/>
            <w:tcMar>
              <w:top w:w="0" w:type="dxa"/>
              <w:left w:w="0" w:type="dxa"/>
              <w:bottom w:w="0" w:type="dxa"/>
              <w:right w:w="0" w:type="dxa"/>
            </w:tcMar>
            <w:vAlign w:val="center"/>
          </w:tcPr>
          <w:p w14:paraId="49FED590">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color w:val="auto"/>
                <w:sz w:val="21"/>
                <w:szCs w:val="21"/>
                <w:lang w:val="en-US" w:eastAsia="zh-CN"/>
              </w:rPr>
              <w:t>107.52</w:t>
            </w:r>
          </w:p>
        </w:tc>
        <w:tc>
          <w:tcPr>
            <w:tcW w:w="600" w:type="pct"/>
            <w:shd w:val="clear" w:color="auto" w:fill="auto"/>
            <w:noWrap w:val="0"/>
            <w:tcMar>
              <w:top w:w="0" w:type="dxa"/>
              <w:left w:w="0" w:type="dxa"/>
              <w:bottom w:w="0" w:type="dxa"/>
              <w:right w:w="0" w:type="dxa"/>
            </w:tcMar>
            <w:vAlign w:val="center"/>
          </w:tcPr>
          <w:p w14:paraId="21666407">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i w:val="0"/>
                <w:iCs w:val="0"/>
                <w:color w:val="auto"/>
                <w:kern w:val="0"/>
                <w:sz w:val="21"/>
                <w:szCs w:val="21"/>
                <w:u w:val="none"/>
                <w:lang w:val="en-US" w:eastAsia="zh-CN" w:bidi="ar"/>
              </w:rPr>
              <w:t>144</w:t>
            </w:r>
          </w:p>
        </w:tc>
        <w:tc>
          <w:tcPr>
            <w:tcW w:w="501" w:type="pct"/>
            <w:shd w:val="clear" w:color="auto" w:fill="auto"/>
            <w:noWrap w:val="0"/>
            <w:tcMar>
              <w:top w:w="0" w:type="dxa"/>
              <w:left w:w="0" w:type="dxa"/>
              <w:bottom w:w="0" w:type="dxa"/>
              <w:right w:w="0" w:type="dxa"/>
            </w:tcMar>
            <w:vAlign w:val="center"/>
          </w:tcPr>
          <w:p w14:paraId="30417702">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+36.48</w:t>
            </w:r>
          </w:p>
        </w:tc>
      </w:tr>
      <w:tr w14:paraId="2D47DF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noWrap w:val="0"/>
            <w:tcMar>
              <w:top w:w="0" w:type="dxa"/>
              <w:left w:w="0" w:type="dxa"/>
              <w:bottom w:w="0" w:type="dxa"/>
              <w:right w:w="0" w:type="dxa"/>
            </w:tcMar>
            <w:vAlign w:val="center"/>
          </w:tcPr>
          <w:p w14:paraId="2ACEEA26">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532" w:type="pct"/>
            <w:gridSpan w:val="2"/>
            <w:noWrap w:val="0"/>
            <w:tcMar>
              <w:top w:w="0" w:type="dxa"/>
              <w:left w:w="0" w:type="dxa"/>
              <w:bottom w:w="0" w:type="dxa"/>
              <w:right w:w="0" w:type="dxa"/>
            </w:tcMar>
            <w:vAlign w:val="center"/>
          </w:tcPr>
          <w:p w14:paraId="58A49143">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COD</w:t>
            </w:r>
          </w:p>
        </w:tc>
        <w:tc>
          <w:tcPr>
            <w:tcW w:w="697" w:type="pct"/>
            <w:noWrap w:val="0"/>
            <w:tcMar>
              <w:top w:w="0" w:type="dxa"/>
              <w:left w:w="0" w:type="dxa"/>
              <w:bottom w:w="0" w:type="dxa"/>
              <w:right w:w="0" w:type="dxa"/>
            </w:tcMar>
            <w:vAlign w:val="center"/>
          </w:tcPr>
          <w:p w14:paraId="06450ADE">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0.043</w:t>
            </w:r>
          </w:p>
        </w:tc>
        <w:tc>
          <w:tcPr>
            <w:tcW w:w="453" w:type="pct"/>
            <w:noWrap w:val="0"/>
            <w:tcMar>
              <w:top w:w="0" w:type="dxa"/>
              <w:left w:w="0" w:type="dxa"/>
              <w:bottom w:w="0" w:type="dxa"/>
              <w:right w:w="0" w:type="dxa"/>
            </w:tcMar>
            <w:vAlign w:val="center"/>
          </w:tcPr>
          <w:p w14:paraId="7647EE34">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83" w:type="pct"/>
            <w:noWrap w:val="0"/>
            <w:tcMar>
              <w:top w:w="0" w:type="dxa"/>
              <w:left w:w="0" w:type="dxa"/>
              <w:bottom w:w="0" w:type="dxa"/>
              <w:right w:w="0" w:type="dxa"/>
            </w:tcMar>
            <w:vAlign w:val="center"/>
          </w:tcPr>
          <w:p w14:paraId="6122AF94">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73" w:type="pct"/>
            <w:shd w:val="clear" w:color="auto" w:fill="auto"/>
            <w:noWrap w:val="0"/>
            <w:tcMar>
              <w:top w:w="0" w:type="dxa"/>
              <w:left w:w="0" w:type="dxa"/>
              <w:bottom w:w="0" w:type="dxa"/>
              <w:right w:w="0" w:type="dxa"/>
            </w:tcMar>
            <w:vAlign w:val="center"/>
          </w:tcPr>
          <w:p w14:paraId="0FF8BC50">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0.0576</w:t>
            </w:r>
          </w:p>
        </w:tc>
        <w:tc>
          <w:tcPr>
            <w:tcW w:w="520" w:type="pct"/>
            <w:shd w:val="clear" w:color="auto" w:fill="auto"/>
            <w:noWrap w:val="0"/>
            <w:tcMar>
              <w:top w:w="0" w:type="dxa"/>
              <w:left w:w="0" w:type="dxa"/>
              <w:bottom w:w="0" w:type="dxa"/>
              <w:right w:w="0" w:type="dxa"/>
            </w:tcMar>
            <w:vAlign w:val="center"/>
          </w:tcPr>
          <w:p w14:paraId="3FDF4EE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0.043</w:t>
            </w:r>
          </w:p>
        </w:tc>
        <w:tc>
          <w:tcPr>
            <w:tcW w:w="600" w:type="pct"/>
            <w:shd w:val="clear" w:color="auto" w:fill="auto"/>
            <w:noWrap w:val="0"/>
            <w:tcMar>
              <w:top w:w="0" w:type="dxa"/>
              <w:left w:w="0" w:type="dxa"/>
              <w:bottom w:w="0" w:type="dxa"/>
              <w:right w:w="0" w:type="dxa"/>
            </w:tcMar>
            <w:vAlign w:val="center"/>
          </w:tcPr>
          <w:p w14:paraId="5DF10EB0">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0.0576</w:t>
            </w:r>
          </w:p>
        </w:tc>
        <w:tc>
          <w:tcPr>
            <w:tcW w:w="501" w:type="pct"/>
            <w:shd w:val="clear" w:color="auto" w:fill="auto"/>
            <w:noWrap w:val="0"/>
            <w:tcMar>
              <w:top w:w="0" w:type="dxa"/>
              <w:left w:w="0" w:type="dxa"/>
              <w:bottom w:w="0" w:type="dxa"/>
              <w:right w:w="0" w:type="dxa"/>
            </w:tcMar>
            <w:vAlign w:val="center"/>
          </w:tcPr>
          <w:p w14:paraId="08521D19">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+0.0146</w:t>
            </w:r>
          </w:p>
        </w:tc>
      </w:tr>
      <w:tr w14:paraId="685A6F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noWrap w:val="0"/>
            <w:tcMar>
              <w:top w:w="0" w:type="dxa"/>
              <w:left w:w="0" w:type="dxa"/>
              <w:bottom w:w="0" w:type="dxa"/>
              <w:right w:w="0" w:type="dxa"/>
            </w:tcMar>
            <w:vAlign w:val="center"/>
          </w:tcPr>
          <w:p w14:paraId="317D8C60">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532" w:type="pct"/>
            <w:gridSpan w:val="2"/>
            <w:noWrap w:val="0"/>
            <w:tcMar>
              <w:top w:w="0" w:type="dxa"/>
              <w:left w:w="0" w:type="dxa"/>
              <w:bottom w:w="0" w:type="dxa"/>
              <w:right w:w="0" w:type="dxa"/>
            </w:tcMar>
            <w:vAlign w:val="center"/>
          </w:tcPr>
          <w:p w14:paraId="6F60732D">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SS</w:t>
            </w:r>
          </w:p>
        </w:tc>
        <w:tc>
          <w:tcPr>
            <w:tcW w:w="697" w:type="pct"/>
            <w:noWrap w:val="0"/>
            <w:tcMar>
              <w:top w:w="0" w:type="dxa"/>
              <w:left w:w="0" w:type="dxa"/>
              <w:bottom w:w="0" w:type="dxa"/>
              <w:right w:w="0" w:type="dxa"/>
            </w:tcMar>
            <w:vAlign w:val="center"/>
          </w:tcPr>
          <w:p w14:paraId="7380BEB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0.0215</w:t>
            </w:r>
          </w:p>
        </w:tc>
        <w:tc>
          <w:tcPr>
            <w:tcW w:w="453" w:type="pct"/>
            <w:noWrap w:val="0"/>
            <w:tcMar>
              <w:top w:w="0" w:type="dxa"/>
              <w:left w:w="0" w:type="dxa"/>
              <w:bottom w:w="0" w:type="dxa"/>
              <w:right w:w="0" w:type="dxa"/>
            </w:tcMar>
            <w:vAlign w:val="center"/>
          </w:tcPr>
          <w:p w14:paraId="64DA6268">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83" w:type="pct"/>
            <w:noWrap w:val="0"/>
            <w:tcMar>
              <w:top w:w="0" w:type="dxa"/>
              <w:left w:w="0" w:type="dxa"/>
              <w:bottom w:w="0" w:type="dxa"/>
              <w:right w:w="0" w:type="dxa"/>
            </w:tcMar>
            <w:vAlign w:val="center"/>
          </w:tcPr>
          <w:p w14:paraId="0EC0ACF9">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73" w:type="pct"/>
            <w:shd w:val="clear" w:color="auto" w:fill="auto"/>
            <w:noWrap w:val="0"/>
            <w:tcMar>
              <w:top w:w="0" w:type="dxa"/>
              <w:left w:w="0" w:type="dxa"/>
              <w:bottom w:w="0" w:type="dxa"/>
              <w:right w:w="0" w:type="dxa"/>
            </w:tcMar>
            <w:vAlign w:val="center"/>
          </w:tcPr>
          <w:p w14:paraId="5A9AC49C">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0.0288</w:t>
            </w:r>
          </w:p>
        </w:tc>
        <w:tc>
          <w:tcPr>
            <w:tcW w:w="520" w:type="pct"/>
            <w:shd w:val="clear" w:color="auto" w:fill="auto"/>
            <w:noWrap w:val="0"/>
            <w:tcMar>
              <w:top w:w="0" w:type="dxa"/>
              <w:left w:w="0" w:type="dxa"/>
              <w:bottom w:w="0" w:type="dxa"/>
              <w:right w:w="0" w:type="dxa"/>
            </w:tcMar>
            <w:vAlign w:val="center"/>
          </w:tcPr>
          <w:p w14:paraId="7E1CEEDD">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0.0215</w:t>
            </w:r>
          </w:p>
        </w:tc>
        <w:tc>
          <w:tcPr>
            <w:tcW w:w="600" w:type="pct"/>
            <w:shd w:val="clear" w:color="auto" w:fill="auto"/>
            <w:noWrap w:val="0"/>
            <w:tcMar>
              <w:top w:w="0" w:type="dxa"/>
              <w:left w:w="0" w:type="dxa"/>
              <w:bottom w:w="0" w:type="dxa"/>
              <w:right w:w="0" w:type="dxa"/>
            </w:tcMar>
            <w:vAlign w:val="center"/>
          </w:tcPr>
          <w:p w14:paraId="78D4C2A3">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0.0288</w:t>
            </w:r>
          </w:p>
        </w:tc>
        <w:tc>
          <w:tcPr>
            <w:tcW w:w="501" w:type="pct"/>
            <w:shd w:val="clear" w:color="auto" w:fill="auto"/>
            <w:noWrap w:val="0"/>
            <w:tcMar>
              <w:top w:w="0" w:type="dxa"/>
              <w:left w:w="0" w:type="dxa"/>
              <w:bottom w:w="0" w:type="dxa"/>
              <w:right w:w="0" w:type="dxa"/>
            </w:tcMar>
            <w:vAlign w:val="center"/>
          </w:tcPr>
          <w:p w14:paraId="2D9011A6">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+0.0073</w:t>
            </w:r>
          </w:p>
        </w:tc>
      </w:tr>
      <w:tr w14:paraId="164A410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noWrap w:val="0"/>
            <w:tcMar>
              <w:top w:w="0" w:type="dxa"/>
              <w:left w:w="0" w:type="dxa"/>
              <w:bottom w:w="0" w:type="dxa"/>
              <w:right w:w="0" w:type="dxa"/>
            </w:tcMar>
            <w:vAlign w:val="center"/>
          </w:tcPr>
          <w:p w14:paraId="19DF4A5F">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532" w:type="pct"/>
            <w:gridSpan w:val="2"/>
            <w:noWrap w:val="0"/>
            <w:tcMar>
              <w:top w:w="0" w:type="dxa"/>
              <w:left w:w="0" w:type="dxa"/>
              <w:bottom w:w="0" w:type="dxa"/>
              <w:right w:w="0" w:type="dxa"/>
            </w:tcMar>
            <w:vAlign w:val="center"/>
          </w:tcPr>
          <w:p w14:paraId="4FE30C2B">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NH</w:t>
            </w:r>
            <w:r>
              <w:rPr>
                <w:color w:val="auto"/>
                <w:szCs w:val="21"/>
                <w:vertAlign w:val="subscript"/>
              </w:rPr>
              <w:t>3</w:t>
            </w:r>
            <w:r>
              <w:rPr>
                <w:color w:val="auto"/>
                <w:szCs w:val="21"/>
              </w:rPr>
              <w:t>-N</w:t>
            </w:r>
          </w:p>
        </w:tc>
        <w:tc>
          <w:tcPr>
            <w:tcW w:w="697" w:type="pct"/>
            <w:noWrap w:val="0"/>
            <w:tcMar>
              <w:top w:w="0" w:type="dxa"/>
              <w:left w:w="0" w:type="dxa"/>
              <w:bottom w:w="0" w:type="dxa"/>
              <w:right w:w="0" w:type="dxa"/>
            </w:tcMar>
            <w:vAlign w:val="center"/>
          </w:tcPr>
          <w:p w14:paraId="4779DC55">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0.0038</w:t>
            </w:r>
          </w:p>
        </w:tc>
        <w:tc>
          <w:tcPr>
            <w:tcW w:w="453" w:type="pct"/>
            <w:noWrap w:val="0"/>
            <w:tcMar>
              <w:top w:w="0" w:type="dxa"/>
              <w:left w:w="0" w:type="dxa"/>
              <w:bottom w:w="0" w:type="dxa"/>
              <w:right w:w="0" w:type="dxa"/>
            </w:tcMar>
            <w:vAlign w:val="center"/>
          </w:tcPr>
          <w:p w14:paraId="518A535C">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83" w:type="pct"/>
            <w:noWrap w:val="0"/>
            <w:tcMar>
              <w:top w:w="0" w:type="dxa"/>
              <w:left w:w="0" w:type="dxa"/>
              <w:bottom w:w="0" w:type="dxa"/>
              <w:right w:w="0" w:type="dxa"/>
            </w:tcMar>
            <w:vAlign w:val="center"/>
          </w:tcPr>
          <w:p w14:paraId="04867F19">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73" w:type="pct"/>
            <w:shd w:val="clear" w:color="auto" w:fill="auto"/>
            <w:noWrap w:val="0"/>
            <w:tcMar>
              <w:top w:w="0" w:type="dxa"/>
              <w:left w:w="0" w:type="dxa"/>
              <w:bottom w:w="0" w:type="dxa"/>
              <w:right w:w="0" w:type="dxa"/>
            </w:tcMar>
            <w:vAlign w:val="center"/>
          </w:tcPr>
          <w:p w14:paraId="701555EB">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0.0043</w:t>
            </w:r>
          </w:p>
        </w:tc>
        <w:tc>
          <w:tcPr>
            <w:tcW w:w="520" w:type="pct"/>
            <w:shd w:val="clear" w:color="auto" w:fill="auto"/>
            <w:noWrap w:val="0"/>
            <w:tcMar>
              <w:top w:w="0" w:type="dxa"/>
              <w:left w:w="0" w:type="dxa"/>
              <w:bottom w:w="0" w:type="dxa"/>
              <w:right w:w="0" w:type="dxa"/>
            </w:tcMar>
            <w:vAlign w:val="center"/>
          </w:tcPr>
          <w:p w14:paraId="4DFCDEA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0.0038</w:t>
            </w:r>
          </w:p>
        </w:tc>
        <w:tc>
          <w:tcPr>
            <w:tcW w:w="600" w:type="pct"/>
            <w:shd w:val="clear" w:color="auto" w:fill="auto"/>
            <w:noWrap w:val="0"/>
            <w:tcMar>
              <w:top w:w="0" w:type="dxa"/>
              <w:left w:w="0" w:type="dxa"/>
              <w:bottom w:w="0" w:type="dxa"/>
              <w:right w:w="0" w:type="dxa"/>
            </w:tcMar>
            <w:vAlign w:val="center"/>
          </w:tcPr>
          <w:p w14:paraId="3562B429">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0.0043</w:t>
            </w:r>
          </w:p>
        </w:tc>
        <w:tc>
          <w:tcPr>
            <w:tcW w:w="501" w:type="pct"/>
            <w:shd w:val="clear" w:color="auto" w:fill="auto"/>
            <w:noWrap w:val="0"/>
            <w:tcMar>
              <w:top w:w="0" w:type="dxa"/>
              <w:left w:w="0" w:type="dxa"/>
              <w:bottom w:w="0" w:type="dxa"/>
              <w:right w:w="0" w:type="dxa"/>
            </w:tcMar>
            <w:vAlign w:val="center"/>
          </w:tcPr>
          <w:p w14:paraId="5CF94D22">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+0.0005</w:t>
            </w:r>
          </w:p>
        </w:tc>
      </w:tr>
      <w:tr w14:paraId="6CCED2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noWrap w:val="0"/>
            <w:tcMar>
              <w:top w:w="0" w:type="dxa"/>
              <w:left w:w="0" w:type="dxa"/>
              <w:bottom w:w="0" w:type="dxa"/>
              <w:right w:w="0" w:type="dxa"/>
            </w:tcMar>
            <w:vAlign w:val="center"/>
          </w:tcPr>
          <w:p w14:paraId="7C5895F8">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532" w:type="pct"/>
            <w:gridSpan w:val="2"/>
            <w:noWrap w:val="0"/>
            <w:tcMar>
              <w:top w:w="0" w:type="dxa"/>
              <w:left w:w="0" w:type="dxa"/>
              <w:bottom w:w="0" w:type="dxa"/>
              <w:right w:w="0" w:type="dxa"/>
            </w:tcMar>
            <w:vAlign w:val="center"/>
          </w:tcPr>
          <w:p w14:paraId="06108332">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TN</w:t>
            </w:r>
          </w:p>
        </w:tc>
        <w:tc>
          <w:tcPr>
            <w:tcW w:w="697" w:type="pct"/>
            <w:noWrap w:val="0"/>
            <w:tcMar>
              <w:top w:w="0" w:type="dxa"/>
              <w:left w:w="0" w:type="dxa"/>
              <w:bottom w:w="0" w:type="dxa"/>
              <w:right w:w="0" w:type="dxa"/>
            </w:tcMar>
            <w:vAlign w:val="center"/>
          </w:tcPr>
          <w:p w14:paraId="6C4675C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0.0054</w:t>
            </w:r>
          </w:p>
        </w:tc>
        <w:tc>
          <w:tcPr>
            <w:tcW w:w="453" w:type="pct"/>
            <w:noWrap w:val="0"/>
            <w:tcMar>
              <w:top w:w="0" w:type="dxa"/>
              <w:left w:w="0" w:type="dxa"/>
              <w:bottom w:w="0" w:type="dxa"/>
              <w:right w:w="0" w:type="dxa"/>
            </w:tcMar>
            <w:vAlign w:val="center"/>
          </w:tcPr>
          <w:p w14:paraId="0D9D637E">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83" w:type="pct"/>
            <w:noWrap w:val="0"/>
            <w:tcMar>
              <w:top w:w="0" w:type="dxa"/>
              <w:left w:w="0" w:type="dxa"/>
              <w:bottom w:w="0" w:type="dxa"/>
              <w:right w:w="0" w:type="dxa"/>
            </w:tcMar>
            <w:vAlign w:val="center"/>
          </w:tcPr>
          <w:p w14:paraId="1406ED92">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73" w:type="pct"/>
            <w:shd w:val="clear" w:color="auto" w:fill="auto"/>
            <w:noWrap w:val="0"/>
            <w:tcMar>
              <w:top w:w="0" w:type="dxa"/>
              <w:left w:w="0" w:type="dxa"/>
              <w:bottom w:w="0" w:type="dxa"/>
              <w:right w:w="0" w:type="dxa"/>
            </w:tcMar>
            <w:vAlign w:val="center"/>
          </w:tcPr>
          <w:p w14:paraId="11277CA3">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0.0058</w:t>
            </w:r>
          </w:p>
        </w:tc>
        <w:tc>
          <w:tcPr>
            <w:tcW w:w="520" w:type="pct"/>
            <w:shd w:val="clear" w:color="auto" w:fill="auto"/>
            <w:noWrap w:val="0"/>
            <w:tcMar>
              <w:top w:w="0" w:type="dxa"/>
              <w:left w:w="0" w:type="dxa"/>
              <w:bottom w:w="0" w:type="dxa"/>
              <w:right w:w="0" w:type="dxa"/>
            </w:tcMar>
            <w:vAlign w:val="center"/>
          </w:tcPr>
          <w:p w14:paraId="2DD9FDEA">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0.0054</w:t>
            </w:r>
          </w:p>
        </w:tc>
        <w:tc>
          <w:tcPr>
            <w:tcW w:w="600" w:type="pct"/>
            <w:shd w:val="clear" w:color="auto" w:fill="auto"/>
            <w:noWrap w:val="0"/>
            <w:tcMar>
              <w:top w:w="0" w:type="dxa"/>
              <w:left w:w="0" w:type="dxa"/>
              <w:bottom w:w="0" w:type="dxa"/>
              <w:right w:w="0" w:type="dxa"/>
            </w:tcMar>
            <w:vAlign w:val="center"/>
          </w:tcPr>
          <w:p w14:paraId="19009B84">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0.0058</w:t>
            </w:r>
          </w:p>
        </w:tc>
        <w:tc>
          <w:tcPr>
            <w:tcW w:w="501" w:type="pct"/>
            <w:shd w:val="clear" w:color="auto" w:fill="auto"/>
            <w:noWrap w:val="0"/>
            <w:tcMar>
              <w:top w:w="0" w:type="dxa"/>
              <w:left w:w="0" w:type="dxa"/>
              <w:bottom w:w="0" w:type="dxa"/>
              <w:right w:w="0" w:type="dxa"/>
            </w:tcMar>
            <w:vAlign w:val="center"/>
          </w:tcPr>
          <w:p w14:paraId="4438303E">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+0.0004</w:t>
            </w:r>
          </w:p>
        </w:tc>
      </w:tr>
      <w:tr w14:paraId="1E42EF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tcBorders>
              <w:bottom w:val="single" w:color="auto" w:sz="4" w:space="0"/>
            </w:tcBorders>
            <w:noWrap w:val="0"/>
            <w:tcMar>
              <w:top w:w="0" w:type="dxa"/>
              <w:left w:w="0" w:type="dxa"/>
              <w:bottom w:w="0" w:type="dxa"/>
              <w:right w:w="0" w:type="dxa"/>
            </w:tcMar>
            <w:vAlign w:val="center"/>
          </w:tcPr>
          <w:p w14:paraId="0204B7B3">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532" w:type="pct"/>
            <w:gridSpan w:val="2"/>
            <w:tcBorders>
              <w:bottom w:val="single" w:color="auto" w:sz="4" w:space="0"/>
            </w:tcBorders>
            <w:noWrap w:val="0"/>
            <w:tcMar>
              <w:top w:w="0" w:type="dxa"/>
              <w:left w:w="0" w:type="dxa"/>
              <w:bottom w:w="0" w:type="dxa"/>
              <w:right w:w="0" w:type="dxa"/>
            </w:tcMar>
            <w:vAlign w:val="center"/>
          </w:tcPr>
          <w:p w14:paraId="102A1494">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TP</w:t>
            </w:r>
          </w:p>
        </w:tc>
        <w:tc>
          <w:tcPr>
            <w:tcW w:w="697" w:type="pct"/>
            <w:noWrap w:val="0"/>
            <w:tcMar>
              <w:top w:w="0" w:type="dxa"/>
              <w:left w:w="0" w:type="dxa"/>
              <w:bottom w:w="0" w:type="dxa"/>
              <w:right w:w="0" w:type="dxa"/>
            </w:tcMar>
            <w:vAlign w:val="center"/>
          </w:tcPr>
          <w:p w14:paraId="0F9639D4">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0.0003</w:t>
            </w:r>
          </w:p>
        </w:tc>
        <w:tc>
          <w:tcPr>
            <w:tcW w:w="453" w:type="pct"/>
            <w:noWrap w:val="0"/>
            <w:tcMar>
              <w:top w:w="0" w:type="dxa"/>
              <w:left w:w="0" w:type="dxa"/>
              <w:bottom w:w="0" w:type="dxa"/>
              <w:right w:w="0" w:type="dxa"/>
            </w:tcMar>
            <w:vAlign w:val="center"/>
          </w:tcPr>
          <w:p w14:paraId="0A707872">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83" w:type="pct"/>
            <w:noWrap w:val="0"/>
            <w:tcMar>
              <w:top w:w="0" w:type="dxa"/>
              <w:left w:w="0" w:type="dxa"/>
              <w:bottom w:w="0" w:type="dxa"/>
              <w:right w:w="0" w:type="dxa"/>
            </w:tcMar>
            <w:vAlign w:val="center"/>
          </w:tcPr>
          <w:p w14:paraId="7D7E6A0B">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73" w:type="pct"/>
            <w:shd w:val="clear" w:color="auto" w:fill="auto"/>
            <w:noWrap w:val="0"/>
            <w:tcMar>
              <w:top w:w="0" w:type="dxa"/>
              <w:left w:w="0" w:type="dxa"/>
              <w:bottom w:w="0" w:type="dxa"/>
              <w:right w:w="0" w:type="dxa"/>
            </w:tcMar>
            <w:vAlign w:val="center"/>
          </w:tcPr>
          <w:p w14:paraId="72F1F74C">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0.0004</w:t>
            </w:r>
          </w:p>
        </w:tc>
        <w:tc>
          <w:tcPr>
            <w:tcW w:w="520" w:type="pct"/>
            <w:shd w:val="clear" w:color="auto" w:fill="auto"/>
            <w:noWrap w:val="0"/>
            <w:tcMar>
              <w:top w:w="0" w:type="dxa"/>
              <w:left w:w="0" w:type="dxa"/>
              <w:bottom w:w="0" w:type="dxa"/>
              <w:right w:w="0" w:type="dxa"/>
            </w:tcMar>
            <w:vAlign w:val="center"/>
          </w:tcPr>
          <w:p w14:paraId="1C0608C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0.0003</w:t>
            </w:r>
          </w:p>
        </w:tc>
        <w:tc>
          <w:tcPr>
            <w:tcW w:w="600" w:type="pct"/>
            <w:shd w:val="clear" w:color="auto" w:fill="auto"/>
            <w:noWrap w:val="0"/>
            <w:tcMar>
              <w:top w:w="0" w:type="dxa"/>
              <w:left w:w="0" w:type="dxa"/>
              <w:bottom w:w="0" w:type="dxa"/>
              <w:right w:w="0" w:type="dxa"/>
            </w:tcMar>
            <w:vAlign w:val="center"/>
          </w:tcPr>
          <w:p w14:paraId="6A617363">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0.0004</w:t>
            </w:r>
          </w:p>
        </w:tc>
        <w:tc>
          <w:tcPr>
            <w:tcW w:w="501" w:type="pct"/>
            <w:shd w:val="clear" w:color="auto" w:fill="auto"/>
            <w:noWrap w:val="0"/>
            <w:tcMar>
              <w:top w:w="0" w:type="dxa"/>
              <w:left w:w="0" w:type="dxa"/>
              <w:bottom w:w="0" w:type="dxa"/>
              <w:right w:w="0" w:type="dxa"/>
            </w:tcMar>
            <w:vAlign w:val="center"/>
          </w:tcPr>
          <w:p w14:paraId="3F1A51DA">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+0.0001</w:t>
            </w:r>
          </w:p>
        </w:tc>
      </w:tr>
      <w:tr w14:paraId="227EFB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restart"/>
            <w:noWrap w:val="0"/>
            <w:tcMar>
              <w:top w:w="0" w:type="dxa"/>
              <w:left w:w="0" w:type="dxa"/>
              <w:bottom w:w="0" w:type="dxa"/>
              <w:right w:w="0" w:type="dxa"/>
            </w:tcMar>
            <w:vAlign w:val="center"/>
          </w:tcPr>
          <w:p w14:paraId="07861247">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r>
              <w:rPr>
                <w:rFonts w:ascii="Times New Roman" w:hAnsi="Times New Roman" w:eastAsia="宋体"/>
                <w:b w:val="0"/>
                <w:bCs/>
                <w:snapToGrid w:val="0"/>
                <w:color w:val="auto"/>
                <w:kern w:val="21"/>
                <w:sz w:val="21"/>
                <w:szCs w:val="21"/>
              </w:rPr>
              <w:t>一般工业</w:t>
            </w:r>
          </w:p>
          <w:p w14:paraId="45D4B241">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r>
              <w:rPr>
                <w:rFonts w:ascii="Times New Roman" w:hAnsi="Times New Roman" w:eastAsia="宋体"/>
                <w:b w:val="0"/>
                <w:bCs/>
                <w:snapToGrid w:val="0"/>
                <w:color w:val="auto"/>
                <w:kern w:val="21"/>
                <w:sz w:val="21"/>
                <w:szCs w:val="21"/>
              </w:rPr>
              <w:t>固体废物</w:t>
            </w:r>
          </w:p>
        </w:tc>
        <w:tc>
          <w:tcPr>
            <w:tcW w:w="532" w:type="pct"/>
            <w:gridSpan w:val="2"/>
            <w:tcBorders>
              <w:bottom w:val="single" w:color="auto" w:sz="4" w:space="0"/>
            </w:tcBorders>
            <w:shd w:val="clear" w:color="auto" w:fill="auto"/>
            <w:noWrap w:val="0"/>
            <w:tcMar>
              <w:top w:w="0" w:type="dxa"/>
              <w:left w:w="0" w:type="dxa"/>
              <w:bottom w:w="0" w:type="dxa"/>
              <w:right w:w="0" w:type="dxa"/>
            </w:tcMar>
            <w:vAlign w:val="center"/>
          </w:tcPr>
          <w:p w14:paraId="6B3D1FE9">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ascii="Times New Roman" w:hAnsi="Times New Roman" w:eastAsia="宋体" w:cs="Times New Roman"/>
                <w:color w:val="auto"/>
                <w:kern w:val="18"/>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废包装袋</w:t>
            </w:r>
          </w:p>
        </w:tc>
        <w:tc>
          <w:tcPr>
            <w:tcW w:w="697" w:type="pct"/>
            <w:noWrap w:val="0"/>
            <w:tcMar>
              <w:top w:w="0" w:type="dxa"/>
              <w:left w:w="0" w:type="dxa"/>
              <w:bottom w:w="0" w:type="dxa"/>
              <w:right w:w="0" w:type="dxa"/>
            </w:tcMar>
            <w:vAlign w:val="center"/>
          </w:tcPr>
          <w:p w14:paraId="13BC2E76">
            <w:pPr>
              <w:pStyle w:val="55"/>
              <w:keepNext w:val="0"/>
              <w:keepLines w:val="0"/>
              <w:pageBreakBefore w:val="0"/>
              <w:kinsoku/>
              <w:wordWrap/>
              <w:overflowPunct/>
              <w:topLinePunct w:val="0"/>
              <w:autoSpaceDE/>
              <w:autoSpaceDN/>
              <w:bidi w:val="0"/>
              <w:adjustRightInd w:val="0"/>
              <w:snapToGrid w:val="0"/>
              <w:spacing w:line="240" w:lineRule="auto"/>
              <w:rPr>
                <w:rFonts w:hint="default"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kern w:val="0"/>
                <w:sz w:val="21"/>
                <w:szCs w:val="21"/>
              </w:rPr>
              <w:t>15.7</w:t>
            </w:r>
          </w:p>
        </w:tc>
        <w:tc>
          <w:tcPr>
            <w:tcW w:w="453" w:type="pct"/>
            <w:noWrap w:val="0"/>
            <w:tcMar>
              <w:top w:w="0" w:type="dxa"/>
              <w:left w:w="0" w:type="dxa"/>
              <w:bottom w:w="0" w:type="dxa"/>
              <w:right w:w="0" w:type="dxa"/>
            </w:tcMar>
            <w:vAlign w:val="center"/>
          </w:tcPr>
          <w:p w14:paraId="35D256C9">
            <w:pPr>
              <w:keepNext w:val="0"/>
              <w:keepLines w:val="0"/>
              <w:pageBreakBefore w:val="0"/>
              <w:kinsoku/>
              <w:wordWrap/>
              <w:overflowPunct/>
              <w:topLinePunct w:val="0"/>
              <w:autoSpaceDE/>
              <w:autoSpaceDN/>
              <w:bidi w:val="0"/>
              <w:adjustRightInd w:val="0"/>
              <w:snapToGrid w:val="0"/>
              <w:jc w:val="center"/>
              <w:rPr>
                <w:bCs/>
                <w:snapToGrid w:val="0"/>
                <w:color w:val="auto"/>
                <w:kern w:val="21"/>
                <w:szCs w:val="21"/>
              </w:rPr>
            </w:pPr>
            <w:r>
              <w:rPr>
                <w:bCs/>
                <w:snapToGrid w:val="0"/>
                <w:color w:val="auto"/>
                <w:kern w:val="21"/>
                <w:szCs w:val="21"/>
              </w:rPr>
              <w:t>/</w:t>
            </w:r>
          </w:p>
        </w:tc>
        <w:tc>
          <w:tcPr>
            <w:tcW w:w="683" w:type="pct"/>
            <w:noWrap w:val="0"/>
            <w:tcMar>
              <w:top w:w="0" w:type="dxa"/>
              <w:left w:w="0" w:type="dxa"/>
              <w:bottom w:w="0" w:type="dxa"/>
              <w:right w:w="0" w:type="dxa"/>
            </w:tcMar>
            <w:vAlign w:val="center"/>
          </w:tcPr>
          <w:p w14:paraId="7F2F9086">
            <w:pPr>
              <w:keepNext w:val="0"/>
              <w:keepLines w:val="0"/>
              <w:pageBreakBefore w:val="0"/>
              <w:kinsoku/>
              <w:wordWrap/>
              <w:overflowPunct/>
              <w:topLinePunct w:val="0"/>
              <w:autoSpaceDE/>
              <w:autoSpaceDN/>
              <w:bidi w:val="0"/>
              <w:adjustRightInd w:val="0"/>
              <w:snapToGrid w:val="0"/>
              <w:jc w:val="center"/>
              <w:rPr>
                <w:bCs/>
                <w:snapToGrid w:val="0"/>
                <w:color w:val="auto"/>
                <w:kern w:val="21"/>
                <w:szCs w:val="21"/>
              </w:rPr>
            </w:pPr>
            <w:r>
              <w:rPr>
                <w:bCs/>
                <w:snapToGrid w:val="0"/>
                <w:color w:val="auto"/>
                <w:kern w:val="21"/>
                <w:szCs w:val="21"/>
              </w:rPr>
              <w:t>/</w:t>
            </w:r>
          </w:p>
        </w:tc>
        <w:tc>
          <w:tcPr>
            <w:tcW w:w="673" w:type="pct"/>
            <w:shd w:val="clear" w:color="auto" w:fill="auto"/>
            <w:noWrap w:val="0"/>
            <w:tcMar>
              <w:top w:w="0" w:type="dxa"/>
              <w:left w:w="0" w:type="dxa"/>
              <w:bottom w:w="0" w:type="dxa"/>
              <w:right w:w="0" w:type="dxa"/>
            </w:tcMar>
            <w:vAlign w:val="center"/>
          </w:tcPr>
          <w:p w14:paraId="58545E02">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3.69</w:t>
            </w:r>
          </w:p>
        </w:tc>
        <w:tc>
          <w:tcPr>
            <w:tcW w:w="520" w:type="pct"/>
            <w:noWrap w:val="0"/>
            <w:tcMar>
              <w:top w:w="0" w:type="dxa"/>
              <w:left w:w="0" w:type="dxa"/>
              <w:bottom w:w="0" w:type="dxa"/>
              <w:right w:w="0" w:type="dxa"/>
            </w:tcMar>
            <w:vAlign w:val="center"/>
          </w:tcPr>
          <w:p w14:paraId="1D4C1046">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00" w:type="pct"/>
            <w:shd w:val="clear" w:color="auto" w:fill="auto"/>
            <w:noWrap w:val="0"/>
            <w:tcMar>
              <w:top w:w="0" w:type="dxa"/>
              <w:left w:w="0" w:type="dxa"/>
              <w:bottom w:w="0" w:type="dxa"/>
              <w:right w:w="0" w:type="dxa"/>
            </w:tcMar>
            <w:vAlign w:val="center"/>
          </w:tcPr>
          <w:p w14:paraId="1572E3A7">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3.69</w:t>
            </w:r>
          </w:p>
        </w:tc>
        <w:tc>
          <w:tcPr>
            <w:tcW w:w="1379" w:type="dxa"/>
            <w:noWrap w:val="0"/>
            <w:tcMar>
              <w:top w:w="0" w:type="dxa"/>
              <w:left w:w="0" w:type="dxa"/>
              <w:bottom w:w="0" w:type="dxa"/>
              <w:right w:w="0" w:type="dxa"/>
            </w:tcMar>
            <w:vAlign w:val="center"/>
          </w:tcPr>
          <w:p w14:paraId="5B140D3C">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-12.01</w:t>
            </w:r>
          </w:p>
        </w:tc>
      </w:tr>
      <w:tr w14:paraId="2E5664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noWrap w:val="0"/>
            <w:tcMar>
              <w:top w:w="0" w:type="dxa"/>
              <w:left w:w="0" w:type="dxa"/>
              <w:bottom w:w="0" w:type="dxa"/>
              <w:right w:w="0" w:type="dxa"/>
            </w:tcMar>
            <w:vAlign w:val="center"/>
          </w:tcPr>
          <w:p w14:paraId="76D9AC44">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532" w:type="pct"/>
            <w:gridSpan w:val="2"/>
            <w:shd w:val="clear" w:color="auto" w:fill="auto"/>
            <w:noWrap w:val="0"/>
            <w:tcMar>
              <w:top w:w="0" w:type="dxa"/>
              <w:left w:w="0" w:type="dxa"/>
              <w:bottom w:w="0" w:type="dxa"/>
              <w:right w:w="0" w:type="dxa"/>
            </w:tcMar>
            <w:vAlign w:val="center"/>
          </w:tcPr>
          <w:p w14:paraId="2D0557C4">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废边角料</w:t>
            </w:r>
          </w:p>
        </w:tc>
        <w:tc>
          <w:tcPr>
            <w:tcW w:w="697" w:type="pct"/>
            <w:noWrap w:val="0"/>
            <w:tcMar>
              <w:top w:w="0" w:type="dxa"/>
              <w:left w:w="0" w:type="dxa"/>
              <w:bottom w:w="0" w:type="dxa"/>
              <w:right w:w="0" w:type="dxa"/>
            </w:tcMar>
            <w:vAlign w:val="center"/>
          </w:tcPr>
          <w:p w14:paraId="79E2A6F6">
            <w:pPr>
              <w:pStyle w:val="55"/>
              <w:keepNext w:val="0"/>
              <w:keepLines w:val="0"/>
              <w:pageBreakBefore w:val="0"/>
              <w:kinsoku/>
              <w:wordWrap/>
              <w:overflowPunct/>
              <w:topLinePunct w:val="0"/>
              <w:autoSpaceDE/>
              <w:autoSpaceDN/>
              <w:bidi w:val="0"/>
              <w:adjustRightInd w:val="0"/>
              <w:snapToGrid w:val="0"/>
              <w:spacing w:line="240" w:lineRule="auto"/>
              <w:rPr>
                <w:rFonts w:hint="default" w:ascii="Times New Roman" w:hAnsi="Times New Roman" w:eastAsia="宋体" w:cs="Times New Roman"/>
                <w:color w:val="auto"/>
                <w:kern w:val="18"/>
                <w:sz w:val="21"/>
                <w:szCs w:val="21"/>
                <w:lang w:val="en-US" w:eastAsia="zh-CN" w:bidi="ar-SA"/>
              </w:rPr>
            </w:pPr>
            <w:r>
              <w:rPr>
                <w:rFonts w:hint="eastAsia" w:cs="Times New Roman"/>
                <w:color w:val="auto"/>
                <w:kern w:val="18"/>
                <w:sz w:val="21"/>
                <w:szCs w:val="21"/>
                <w:lang w:val="en-US" w:eastAsia="zh-CN" w:bidi="ar-SA"/>
              </w:rPr>
              <w:t>0</w:t>
            </w:r>
          </w:p>
        </w:tc>
        <w:tc>
          <w:tcPr>
            <w:tcW w:w="453" w:type="pct"/>
            <w:noWrap w:val="0"/>
            <w:tcMar>
              <w:top w:w="0" w:type="dxa"/>
              <w:left w:w="0" w:type="dxa"/>
              <w:bottom w:w="0" w:type="dxa"/>
              <w:right w:w="0" w:type="dxa"/>
            </w:tcMar>
            <w:vAlign w:val="center"/>
          </w:tcPr>
          <w:p w14:paraId="1AC97ADE">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r>
              <w:rPr>
                <w:rFonts w:ascii="Times New Roman" w:hAnsi="Times New Roman" w:eastAsia="宋体"/>
                <w:b w:val="0"/>
                <w:bCs/>
                <w:snapToGrid w:val="0"/>
                <w:color w:val="auto"/>
                <w:kern w:val="21"/>
                <w:sz w:val="21"/>
                <w:szCs w:val="21"/>
              </w:rPr>
              <w:t>/</w:t>
            </w:r>
          </w:p>
        </w:tc>
        <w:tc>
          <w:tcPr>
            <w:tcW w:w="683" w:type="pct"/>
            <w:noWrap w:val="0"/>
            <w:tcMar>
              <w:top w:w="0" w:type="dxa"/>
              <w:left w:w="0" w:type="dxa"/>
              <w:bottom w:w="0" w:type="dxa"/>
              <w:right w:w="0" w:type="dxa"/>
            </w:tcMar>
            <w:vAlign w:val="center"/>
          </w:tcPr>
          <w:p w14:paraId="51F13C7A">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r>
              <w:rPr>
                <w:rFonts w:ascii="Times New Roman" w:hAnsi="Times New Roman" w:eastAsia="宋体"/>
                <w:b w:val="0"/>
                <w:bCs/>
                <w:snapToGrid w:val="0"/>
                <w:color w:val="auto"/>
                <w:kern w:val="21"/>
                <w:sz w:val="21"/>
                <w:szCs w:val="21"/>
              </w:rPr>
              <w:t>/</w:t>
            </w:r>
          </w:p>
        </w:tc>
        <w:tc>
          <w:tcPr>
            <w:tcW w:w="673" w:type="pct"/>
            <w:shd w:val="clear" w:color="auto" w:fill="auto"/>
            <w:noWrap w:val="0"/>
            <w:tcMar>
              <w:top w:w="0" w:type="dxa"/>
              <w:left w:w="0" w:type="dxa"/>
              <w:bottom w:w="0" w:type="dxa"/>
              <w:right w:w="0" w:type="dxa"/>
            </w:tcMar>
            <w:vAlign w:val="center"/>
          </w:tcPr>
          <w:p w14:paraId="178CF9F1">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rFonts w:hint="eastAsia"/>
                <w:color w:val="auto"/>
                <w:szCs w:val="21"/>
                <w:lang w:val="en-US" w:eastAsia="zh-CN"/>
              </w:rPr>
              <w:t>20</w:t>
            </w:r>
          </w:p>
        </w:tc>
        <w:tc>
          <w:tcPr>
            <w:tcW w:w="520" w:type="pct"/>
            <w:noWrap w:val="0"/>
            <w:tcMar>
              <w:top w:w="0" w:type="dxa"/>
              <w:left w:w="0" w:type="dxa"/>
              <w:bottom w:w="0" w:type="dxa"/>
              <w:right w:w="0" w:type="dxa"/>
            </w:tcMar>
            <w:vAlign w:val="center"/>
          </w:tcPr>
          <w:p w14:paraId="149EF62F">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00" w:type="pct"/>
            <w:shd w:val="clear" w:color="auto" w:fill="auto"/>
            <w:noWrap w:val="0"/>
            <w:tcMar>
              <w:top w:w="0" w:type="dxa"/>
              <w:left w:w="0" w:type="dxa"/>
              <w:bottom w:w="0" w:type="dxa"/>
              <w:right w:w="0" w:type="dxa"/>
            </w:tcMar>
            <w:vAlign w:val="center"/>
          </w:tcPr>
          <w:p w14:paraId="16D4366B">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rFonts w:hint="eastAsia"/>
                <w:color w:val="auto"/>
                <w:szCs w:val="21"/>
                <w:lang w:val="en-US" w:eastAsia="zh-CN"/>
              </w:rPr>
              <w:t>20</w:t>
            </w:r>
          </w:p>
        </w:tc>
        <w:tc>
          <w:tcPr>
            <w:tcW w:w="1379" w:type="dxa"/>
            <w:noWrap w:val="0"/>
            <w:tcMar>
              <w:top w:w="0" w:type="dxa"/>
              <w:left w:w="0" w:type="dxa"/>
              <w:bottom w:w="0" w:type="dxa"/>
              <w:right w:w="0" w:type="dxa"/>
            </w:tcMar>
            <w:vAlign w:val="center"/>
          </w:tcPr>
          <w:p w14:paraId="6DB1FD7F">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+20</w:t>
            </w:r>
          </w:p>
        </w:tc>
      </w:tr>
      <w:tr w14:paraId="28DFC3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335" w:type="pct"/>
            <w:vMerge w:val="continue"/>
            <w:noWrap w:val="0"/>
            <w:tcMar>
              <w:top w:w="0" w:type="dxa"/>
              <w:left w:w="0" w:type="dxa"/>
              <w:bottom w:w="0" w:type="dxa"/>
              <w:right w:w="0" w:type="dxa"/>
            </w:tcMar>
            <w:vAlign w:val="center"/>
          </w:tcPr>
          <w:p w14:paraId="45B8BEA8">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532" w:type="pct"/>
            <w:gridSpan w:val="2"/>
            <w:shd w:val="clear" w:color="auto" w:fill="auto"/>
            <w:noWrap w:val="0"/>
            <w:tcMar>
              <w:top w:w="0" w:type="dxa"/>
              <w:left w:w="0" w:type="dxa"/>
              <w:bottom w:w="0" w:type="dxa"/>
              <w:right w:w="0" w:type="dxa"/>
            </w:tcMar>
            <w:vAlign w:val="center"/>
          </w:tcPr>
          <w:p w14:paraId="7891F7B9">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ascii="Times New Roman" w:hAnsi="Times New Roman" w:eastAsia="宋体" w:cs="Times New Roman"/>
                <w:color w:val="auto"/>
                <w:kern w:val="18"/>
                <w:sz w:val="21"/>
                <w:szCs w:val="21"/>
                <w:lang w:val="en-US" w:eastAsia="zh-CN" w:bidi="ar-SA"/>
              </w:rPr>
            </w:pPr>
            <w:r>
              <w:rPr>
                <w:rFonts w:hint="eastAsia" w:ascii="Times New Roman" w:hAnsi="Times New Roman" w:eastAsia="宋体" w:cs="Times New Roman"/>
                <w:color w:val="auto"/>
                <w:sz w:val="21"/>
                <w:szCs w:val="21"/>
                <w:lang w:val="en-US" w:eastAsia="zh-CN"/>
              </w:rPr>
              <w:t>布袋捕集物、沉渣</w:t>
            </w:r>
          </w:p>
        </w:tc>
        <w:tc>
          <w:tcPr>
            <w:tcW w:w="697" w:type="pct"/>
            <w:noWrap w:val="0"/>
            <w:tcMar>
              <w:top w:w="0" w:type="dxa"/>
              <w:left w:w="0" w:type="dxa"/>
              <w:bottom w:w="0" w:type="dxa"/>
              <w:right w:w="0" w:type="dxa"/>
            </w:tcMar>
            <w:vAlign w:val="center"/>
          </w:tcPr>
          <w:p w14:paraId="3F580A19">
            <w:pPr>
              <w:pStyle w:val="55"/>
              <w:keepNext w:val="0"/>
              <w:keepLines w:val="0"/>
              <w:pageBreakBefore w:val="0"/>
              <w:kinsoku/>
              <w:wordWrap/>
              <w:overflowPunct/>
              <w:topLinePunct w:val="0"/>
              <w:autoSpaceDE/>
              <w:autoSpaceDN/>
              <w:bidi w:val="0"/>
              <w:adjustRightInd w:val="0"/>
              <w:snapToGrid w:val="0"/>
              <w:spacing w:line="240" w:lineRule="auto"/>
              <w:rPr>
                <w:rFonts w:hint="eastAsia" w:cs="Times New Roman"/>
                <w:color w:val="auto"/>
                <w:kern w:val="18"/>
                <w:sz w:val="21"/>
                <w:szCs w:val="21"/>
                <w:lang w:val="en-US" w:eastAsia="zh-CN" w:bidi="ar-SA"/>
              </w:rPr>
            </w:pPr>
            <w:r>
              <w:rPr>
                <w:rFonts w:hint="default" w:ascii="Times New Roman" w:hAnsi="Times New Roman" w:eastAsia="宋体" w:cs="Times New Roman"/>
                <w:color w:val="auto"/>
                <w:kern w:val="0"/>
                <w:sz w:val="21"/>
                <w:szCs w:val="21"/>
              </w:rPr>
              <w:t>0.</w:t>
            </w:r>
            <w:r>
              <w:rPr>
                <w:rFonts w:hint="default" w:ascii="Times New Roman" w:hAnsi="Times New Roman" w:eastAsia="宋体" w:cs="Times New Roman"/>
                <w:color w:val="auto"/>
                <w:kern w:val="0"/>
                <w:sz w:val="21"/>
                <w:szCs w:val="21"/>
                <w:lang w:val="en-US" w:eastAsia="zh-CN"/>
              </w:rPr>
              <w:t>36</w:t>
            </w:r>
          </w:p>
        </w:tc>
        <w:tc>
          <w:tcPr>
            <w:tcW w:w="453" w:type="pct"/>
            <w:noWrap w:val="0"/>
            <w:tcMar>
              <w:top w:w="0" w:type="dxa"/>
              <w:left w:w="0" w:type="dxa"/>
              <w:bottom w:w="0" w:type="dxa"/>
              <w:right w:w="0" w:type="dxa"/>
            </w:tcMar>
            <w:vAlign w:val="center"/>
          </w:tcPr>
          <w:p w14:paraId="36AA3A30">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ascii="Times New Roman" w:hAnsi="Times New Roman" w:eastAsia="宋体"/>
                <w:b/>
                <w:bCs/>
                <w:snapToGrid w:val="0"/>
                <w:color w:val="auto"/>
                <w:kern w:val="21"/>
                <w:sz w:val="21"/>
                <w:szCs w:val="21"/>
              </w:rPr>
            </w:pPr>
            <w:r>
              <w:rPr>
                <w:color w:val="auto"/>
                <w:szCs w:val="21"/>
              </w:rPr>
              <w:t>/</w:t>
            </w:r>
          </w:p>
        </w:tc>
        <w:tc>
          <w:tcPr>
            <w:tcW w:w="683" w:type="pct"/>
            <w:noWrap w:val="0"/>
            <w:tcMar>
              <w:top w:w="0" w:type="dxa"/>
              <w:left w:w="0" w:type="dxa"/>
              <w:bottom w:w="0" w:type="dxa"/>
              <w:right w:w="0" w:type="dxa"/>
            </w:tcMar>
            <w:vAlign w:val="center"/>
          </w:tcPr>
          <w:p w14:paraId="13CB8B70">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ascii="Times New Roman" w:hAnsi="Times New Roman" w:eastAsia="宋体"/>
                <w:b/>
                <w:bCs/>
                <w:snapToGrid w:val="0"/>
                <w:color w:val="auto"/>
                <w:kern w:val="21"/>
                <w:sz w:val="21"/>
                <w:szCs w:val="21"/>
              </w:rPr>
            </w:pPr>
            <w:r>
              <w:rPr>
                <w:color w:val="auto"/>
                <w:szCs w:val="21"/>
              </w:rPr>
              <w:t>/</w:t>
            </w:r>
          </w:p>
        </w:tc>
        <w:tc>
          <w:tcPr>
            <w:tcW w:w="673" w:type="pct"/>
            <w:shd w:val="clear" w:color="auto" w:fill="auto"/>
            <w:noWrap w:val="0"/>
            <w:tcMar>
              <w:top w:w="0" w:type="dxa"/>
              <w:left w:w="0" w:type="dxa"/>
              <w:bottom w:w="0" w:type="dxa"/>
              <w:right w:w="0" w:type="dxa"/>
            </w:tcMar>
            <w:vAlign w:val="center"/>
          </w:tcPr>
          <w:p w14:paraId="2DDB7677">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ascii="Times New Roman" w:hAnsi="Times New Roman" w:eastAsia="宋体" w:cs="Times New Roman"/>
                <w:color w:val="auto"/>
                <w:kern w:val="18"/>
                <w:sz w:val="21"/>
                <w:szCs w:val="21"/>
                <w:lang w:val="en-US" w:eastAsia="zh-CN" w:bidi="ar-SA"/>
              </w:rPr>
            </w:pPr>
            <w:r>
              <w:rPr>
                <w:rFonts w:hint="eastAsia" w:ascii="Times New Roman" w:hAnsi="Times New Roman" w:eastAsia="宋体" w:cs="Times New Roman"/>
                <w:color w:val="auto"/>
                <w:sz w:val="21"/>
                <w:szCs w:val="21"/>
                <w:lang w:val="en-US" w:eastAsia="zh-CN"/>
              </w:rPr>
              <w:t>0.32</w:t>
            </w:r>
          </w:p>
        </w:tc>
        <w:tc>
          <w:tcPr>
            <w:tcW w:w="520" w:type="pct"/>
            <w:noWrap w:val="0"/>
            <w:tcMar>
              <w:top w:w="0" w:type="dxa"/>
              <w:left w:w="0" w:type="dxa"/>
              <w:bottom w:w="0" w:type="dxa"/>
              <w:right w:w="0" w:type="dxa"/>
            </w:tcMar>
            <w:vAlign w:val="center"/>
          </w:tcPr>
          <w:p w14:paraId="154A3127">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00" w:type="pct"/>
            <w:shd w:val="clear" w:color="auto" w:fill="auto"/>
            <w:noWrap w:val="0"/>
            <w:tcMar>
              <w:top w:w="0" w:type="dxa"/>
              <w:left w:w="0" w:type="dxa"/>
              <w:bottom w:w="0" w:type="dxa"/>
              <w:right w:w="0" w:type="dxa"/>
            </w:tcMar>
            <w:vAlign w:val="center"/>
          </w:tcPr>
          <w:p w14:paraId="03CC9AED">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ascii="Times New Roman" w:hAnsi="Times New Roman" w:eastAsia="宋体" w:cs="Times New Roman"/>
                <w:color w:val="auto"/>
                <w:kern w:val="18"/>
                <w:sz w:val="21"/>
                <w:szCs w:val="21"/>
                <w:lang w:val="en-US" w:eastAsia="zh-CN" w:bidi="ar-SA"/>
              </w:rPr>
            </w:pPr>
            <w:r>
              <w:rPr>
                <w:rFonts w:hint="eastAsia" w:ascii="Times New Roman" w:hAnsi="Times New Roman" w:eastAsia="宋体" w:cs="Times New Roman"/>
                <w:color w:val="auto"/>
                <w:sz w:val="21"/>
                <w:szCs w:val="21"/>
                <w:lang w:val="en-US" w:eastAsia="zh-CN"/>
              </w:rPr>
              <w:t>0.32</w:t>
            </w:r>
          </w:p>
        </w:tc>
        <w:tc>
          <w:tcPr>
            <w:tcW w:w="1379" w:type="dxa"/>
            <w:noWrap w:val="0"/>
            <w:tcMar>
              <w:top w:w="0" w:type="dxa"/>
              <w:left w:w="0" w:type="dxa"/>
              <w:bottom w:w="0" w:type="dxa"/>
              <w:right w:w="0" w:type="dxa"/>
            </w:tcMar>
            <w:vAlign w:val="center"/>
          </w:tcPr>
          <w:p w14:paraId="734795F6">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-0.04</w:t>
            </w:r>
          </w:p>
        </w:tc>
      </w:tr>
      <w:tr w14:paraId="6527E7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restart"/>
            <w:noWrap w:val="0"/>
            <w:tcMar>
              <w:top w:w="0" w:type="dxa"/>
              <w:left w:w="0" w:type="dxa"/>
              <w:bottom w:w="0" w:type="dxa"/>
              <w:right w:w="0" w:type="dxa"/>
            </w:tcMar>
            <w:vAlign w:val="center"/>
          </w:tcPr>
          <w:p w14:paraId="2C33EFEB">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r>
              <w:rPr>
                <w:rFonts w:ascii="Times New Roman" w:hAnsi="Times New Roman" w:eastAsia="宋体"/>
                <w:b w:val="0"/>
                <w:bCs/>
                <w:snapToGrid w:val="0"/>
                <w:color w:val="auto"/>
                <w:kern w:val="21"/>
                <w:sz w:val="21"/>
                <w:szCs w:val="21"/>
              </w:rPr>
              <w:t>危险废物</w:t>
            </w:r>
          </w:p>
        </w:tc>
        <w:tc>
          <w:tcPr>
            <w:tcW w:w="532" w:type="pct"/>
            <w:gridSpan w:val="2"/>
            <w:shd w:val="clear" w:color="auto" w:fill="auto"/>
            <w:noWrap w:val="0"/>
            <w:tcMar>
              <w:top w:w="0" w:type="dxa"/>
              <w:left w:w="0" w:type="dxa"/>
              <w:bottom w:w="0" w:type="dxa"/>
              <w:right w:w="0" w:type="dxa"/>
            </w:tcMar>
            <w:vAlign w:val="center"/>
          </w:tcPr>
          <w:p w14:paraId="05665C2A">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喷淋塔废液</w:t>
            </w:r>
          </w:p>
        </w:tc>
        <w:tc>
          <w:tcPr>
            <w:tcW w:w="697" w:type="pct"/>
            <w:noWrap w:val="0"/>
            <w:tcMar>
              <w:top w:w="0" w:type="dxa"/>
              <w:left w:w="0" w:type="dxa"/>
              <w:bottom w:w="0" w:type="dxa"/>
              <w:right w:w="0" w:type="dxa"/>
            </w:tcMar>
            <w:vAlign w:val="center"/>
          </w:tcPr>
          <w:p w14:paraId="3D9AD4C3">
            <w:pPr>
              <w:pStyle w:val="55"/>
              <w:keepNext w:val="0"/>
              <w:keepLines w:val="0"/>
              <w:pageBreakBefore w:val="0"/>
              <w:kinsoku/>
              <w:wordWrap/>
              <w:overflowPunct/>
              <w:topLinePunct w:val="0"/>
              <w:autoSpaceDE/>
              <w:autoSpaceDN/>
              <w:bidi w:val="0"/>
              <w:adjustRightInd w:val="0"/>
              <w:snapToGrid w:val="0"/>
              <w:spacing w:line="240" w:lineRule="auto"/>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kern w:val="0"/>
                <w:sz w:val="21"/>
                <w:szCs w:val="21"/>
                <w:lang w:val="en-US" w:eastAsia="zh-CN"/>
              </w:rPr>
              <w:t>0.627</w:t>
            </w:r>
          </w:p>
        </w:tc>
        <w:tc>
          <w:tcPr>
            <w:tcW w:w="453" w:type="pct"/>
            <w:noWrap w:val="0"/>
            <w:tcMar>
              <w:top w:w="0" w:type="dxa"/>
              <w:left w:w="0" w:type="dxa"/>
              <w:bottom w:w="0" w:type="dxa"/>
              <w:right w:w="0" w:type="dxa"/>
            </w:tcMar>
            <w:vAlign w:val="center"/>
          </w:tcPr>
          <w:p w14:paraId="26375C9B">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ascii="Times New Roman" w:hAnsi="Times New Roman" w:eastAsia="宋体"/>
                <w:b/>
                <w:bCs/>
                <w:snapToGrid w:val="0"/>
                <w:color w:val="auto"/>
                <w:kern w:val="21"/>
                <w:sz w:val="21"/>
                <w:szCs w:val="21"/>
                <w:lang w:val="en-US" w:eastAsia="zh-CN" w:bidi="ar-SA"/>
              </w:rPr>
            </w:pPr>
            <w:r>
              <w:rPr>
                <w:color w:val="auto"/>
                <w:szCs w:val="21"/>
              </w:rPr>
              <w:t>/</w:t>
            </w:r>
          </w:p>
        </w:tc>
        <w:tc>
          <w:tcPr>
            <w:tcW w:w="683" w:type="pct"/>
            <w:noWrap w:val="0"/>
            <w:tcMar>
              <w:top w:w="0" w:type="dxa"/>
              <w:left w:w="0" w:type="dxa"/>
              <w:bottom w:w="0" w:type="dxa"/>
              <w:right w:w="0" w:type="dxa"/>
            </w:tcMar>
            <w:vAlign w:val="center"/>
          </w:tcPr>
          <w:p w14:paraId="1C5790CA">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ascii="Times New Roman" w:hAnsi="Times New Roman" w:eastAsia="宋体"/>
                <w:b/>
                <w:bCs/>
                <w:snapToGrid w:val="0"/>
                <w:color w:val="auto"/>
                <w:kern w:val="21"/>
                <w:sz w:val="21"/>
                <w:szCs w:val="21"/>
                <w:lang w:val="en-US" w:eastAsia="zh-CN" w:bidi="ar-SA"/>
              </w:rPr>
            </w:pPr>
            <w:r>
              <w:rPr>
                <w:color w:val="auto"/>
                <w:szCs w:val="21"/>
              </w:rPr>
              <w:t>/</w:t>
            </w:r>
          </w:p>
        </w:tc>
        <w:tc>
          <w:tcPr>
            <w:tcW w:w="673" w:type="pct"/>
            <w:shd w:val="clear" w:color="auto" w:fill="auto"/>
            <w:noWrap w:val="0"/>
            <w:tcMar>
              <w:top w:w="0" w:type="dxa"/>
              <w:left w:w="0" w:type="dxa"/>
              <w:bottom w:w="0" w:type="dxa"/>
              <w:right w:w="0" w:type="dxa"/>
            </w:tcMar>
            <w:vAlign w:val="center"/>
          </w:tcPr>
          <w:p w14:paraId="7216C186">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1</w:t>
            </w:r>
          </w:p>
        </w:tc>
        <w:tc>
          <w:tcPr>
            <w:tcW w:w="520" w:type="pct"/>
            <w:noWrap w:val="0"/>
            <w:tcMar>
              <w:top w:w="0" w:type="dxa"/>
              <w:left w:w="0" w:type="dxa"/>
              <w:bottom w:w="0" w:type="dxa"/>
              <w:right w:w="0" w:type="dxa"/>
            </w:tcMar>
            <w:vAlign w:val="center"/>
          </w:tcPr>
          <w:p w14:paraId="2E6512AC">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00" w:type="pct"/>
            <w:shd w:val="clear" w:color="auto" w:fill="auto"/>
            <w:noWrap w:val="0"/>
            <w:tcMar>
              <w:top w:w="0" w:type="dxa"/>
              <w:left w:w="0" w:type="dxa"/>
              <w:bottom w:w="0" w:type="dxa"/>
              <w:right w:w="0" w:type="dxa"/>
            </w:tcMar>
            <w:vAlign w:val="center"/>
          </w:tcPr>
          <w:p w14:paraId="61FCBE84">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bidi="ar-SA"/>
              </w:rPr>
              <w:t>1</w:t>
            </w:r>
          </w:p>
        </w:tc>
        <w:tc>
          <w:tcPr>
            <w:tcW w:w="1379" w:type="dxa"/>
            <w:noWrap w:val="0"/>
            <w:tcMar>
              <w:top w:w="0" w:type="dxa"/>
              <w:left w:w="0" w:type="dxa"/>
              <w:bottom w:w="0" w:type="dxa"/>
              <w:right w:w="0" w:type="dxa"/>
            </w:tcMar>
            <w:vAlign w:val="center"/>
          </w:tcPr>
          <w:p w14:paraId="798ADD92">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+0.373</w:t>
            </w:r>
          </w:p>
        </w:tc>
      </w:tr>
      <w:tr w14:paraId="6F79DB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noWrap w:val="0"/>
            <w:tcMar>
              <w:top w:w="0" w:type="dxa"/>
              <w:left w:w="0" w:type="dxa"/>
              <w:bottom w:w="0" w:type="dxa"/>
              <w:right w:w="0" w:type="dxa"/>
            </w:tcMar>
            <w:vAlign w:val="center"/>
          </w:tcPr>
          <w:p w14:paraId="3CC589E7">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532" w:type="pct"/>
            <w:gridSpan w:val="2"/>
            <w:shd w:val="clear" w:color="auto" w:fill="auto"/>
            <w:noWrap w:val="0"/>
            <w:tcMar>
              <w:top w:w="0" w:type="dxa"/>
              <w:left w:w="0" w:type="dxa"/>
              <w:bottom w:w="0" w:type="dxa"/>
              <w:right w:w="0" w:type="dxa"/>
            </w:tcMar>
            <w:vAlign w:val="center"/>
          </w:tcPr>
          <w:p w14:paraId="2E911CB5">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b w:val="0"/>
                <w:bCs w:val="0"/>
                <w:color w:val="auto"/>
                <w:kern w:val="2"/>
                <w:sz w:val="21"/>
                <w:szCs w:val="21"/>
                <w:lang w:val="en-US" w:eastAsia="zh-CN" w:bidi="ar-SA"/>
              </w:rPr>
            </w:pPr>
            <w:r>
              <w:rPr>
                <w:rFonts w:hint="eastAsia"/>
                <w:b w:val="0"/>
                <w:bCs w:val="0"/>
                <w:color w:val="auto"/>
                <w:szCs w:val="21"/>
                <w:lang w:val="en-US" w:eastAsia="zh-CN"/>
              </w:rPr>
              <w:t>废润滑油</w:t>
            </w:r>
          </w:p>
        </w:tc>
        <w:tc>
          <w:tcPr>
            <w:tcW w:w="697" w:type="pct"/>
            <w:noWrap w:val="0"/>
            <w:tcMar>
              <w:top w:w="0" w:type="dxa"/>
              <w:left w:w="0" w:type="dxa"/>
              <w:bottom w:w="0" w:type="dxa"/>
              <w:right w:w="0" w:type="dxa"/>
            </w:tcMar>
            <w:vAlign w:val="center"/>
          </w:tcPr>
          <w:p w14:paraId="3C677A2A">
            <w:pPr>
              <w:pStyle w:val="55"/>
              <w:keepNext w:val="0"/>
              <w:keepLines w:val="0"/>
              <w:pageBreakBefore w:val="0"/>
              <w:kinsoku/>
              <w:wordWrap/>
              <w:overflowPunct/>
              <w:topLinePunct w:val="0"/>
              <w:autoSpaceDE/>
              <w:autoSpaceDN/>
              <w:bidi w:val="0"/>
              <w:adjustRightInd w:val="0"/>
              <w:snapToGrid w:val="0"/>
              <w:spacing w:line="240" w:lineRule="auto"/>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kern w:val="0"/>
                <w:sz w:val="21"/>
                <w:szCs w:val="21"/>
              </w:rPr>
              <w:t>0.4</w:t>
            </w:r>
          </w:p>
        </w:tc>
        <w:tc>
          <w:tcPr>
            <w:tcW w:w="453" w:type="pct"/>
            <w:noWrap w:val="0"/>
            <w:tcMar>
              <w:top w:w="0" w:type="dxa"/>
              <w:left w:w="0" w:type="dxa"/>
              <w:bottom w:w="0" w:type="dxa"/>
              <w:right w:w="0" w:type="dxa"/>
            </w:tcMar>
            <w:vAlign w:val="center"/>
          </w:tcPr>
          <w:p w14:paraId="1D238039">
            <w:pPr>
              <w:keepNext w:val="0"/>
              <w:keepLines w:val="0"/>
              <w:pageBreakBefore w:val="0"/>
              <w:kinsoku/>
              <w:wordWrap/>
              <w:overflowPunct/>
              <w:topLinePunct w:val="0"/>
              <w:autoSpaceDE/>
              <w:autoSpaceDN/>
              <w:bidi w:val="0"/>
              <w:adjustRightInd w:val="0"/>
              <w:snapToGrid w:val="0"/>
              <w:jc w:val="center"/>
              <w:rPr>
                <w:bCs/>
                <w:snapToGrid w:val="0"/>
                <w:color w:val="auto"/>
                <w:kern w:val="21"/>
                <w:szCs w:val="21"/>
              </w:rPr>
            </w:pPr>
            <w:r>
              <w:rPr>
                <w:bCs/>
                <w:snapToGrid w:val="0"/>
                <w:color w:val="auto"/>
                <w:kern w:val="21"/>
                <w:szCs w:val="21"/>
              </w:rPr>
              <w:t>/</w:t>
            </w:r>
          </w:p>
        </w:tc>
        <w:tc>
          <w:tcPr>
            <w:tcW w:w="683" w:type="pct"/>
            <w:noWrap w:val="0"/>
            <w:tcMar>
              <w:top w:w="0" w:type="dxa"/>
              <w:left w:w="0" w:type="dxa"/>
              <w:bottom w:w="0" w:type="dxa"/>
              <w:right w:w="0" w:type="dxa"/>
            </w:tcMar>
            <w:vAlign w:val="center"/>
          </w:tcPr>
          <w:p w14:paraId="7F807276">
            <w:pPr>
              <w:keepNext w:val="0"/>
              <w:keepLines w:val="0"/>
              <w:pageBreakBefore w:val="0"/>
              <w:kinsoku/>
              <w:wordWrap/>
              <w:overflowPunct/>
              <w:topLinePunct w:val="0"/>
              <w:autoSpaceDE/>
              <w:autoSpaceDN/>
              <w:bidi w:val="0"/>
              <w:adjustRightInd w:val="0"/>
              <w:snapToGrid w:val="0"/>
              <w:jc w:val="center"/>
              <w:rPr>
                <w:bCs/>
                <w:snapToGrid w:val="0"/>
                <w:color w:val="auto"/>
                <w:kern w:val="21"/>
                <w:szCs w:val="21"/>
              </w:rPr>
            </w:pPr>
            <w:r>
              <w:rPr>
                <w:bCs/>
                <w:snapToGrid w:val="0"/>
                <w:color w:val="auto"/>
                <w:kern w:val="21"/>
                <w:szCs w:val="21"/>
              </w:rPr>
              <w:t>/</w:t>
            </w:r>
          </w:p>
        </w:tc>
        <w:tc>
          <w:tcPr>
            <w:tcW w:w="673" w:type="pct"/>
            <w:shd w:val="clear" w:color="auto" w:fill="auto"/>
            <w:noWrap w:val="0"/>
            <w:tcMar>
              <w:top w:w="0" w:type="dxa"/>
              <w:left w:w="0" w:type="dxa"/>
              <w:bottom w:w="0" w:type="dxa"/>
              <w:right w:w="0" w:type="dxa"/>
            </w:tcMar>
            <w:vAlign w:val="center"/>
          </w:tcPr>
          <w:p w14:paraId="6B10DEA6">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0.4</w:t>
            </w:r>
          </w:p>
        </w:tc>
        <w:tc>
          <w:tcPr>
            <w:tcW w:w="520" w:type="pct"/>
            <w:noWrap w:val="0"/>
            <w:tcMar>
              <w:top w:w="0" w:type="dxa"/>
              <w:left w:w="0" w:type="dxa"/>
              <w:bottom w:w="0" w:type="dxa"/>
              <w:right w:w="0" w:type="dxa"/>
            </w:tcMar>
            <w:vAlign w:val="center"/>
          </w:tcPr>
          <w:p w14:paraId="63027463">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00" w:type="pct"/>
            <w:shd w:val="clear" w:color="auto" w:fill="auto"/>
            <w:noWrap w:val="0"/>
            <w:tcMar>
              <w:top w:w="0" w:type="dxa"/>
              <w:left w:w="0" w:type="dxa"/>
              <w:bottom w:w="0" w:type="dxa"/>
              <w:right w:w="0" w:type="dxa"/>
            </w:tcMar>
            <w:vAlign w:val="center"/>
          </w:tcPr>
          <w:p w14:paraId="392DA28B">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0.4</w:t>
            </w:r>
          </w:p>
        </w:tc>
        <w:tc>
          <w:tcPr>
            <w:tcW w:w="1379" w:type="dxa"/>
            <w:noWrap w:val="0"/>
            <w:tcMar>
              <w:top w:w="0" w:type="dxa"/>
              <w:left w:w="0" w:type="dxa"/>
              <w:bottom w:w="0" w:type="dxa"/>
              <w:right w:w="0" w:type="dxa"/>
            </w:tcMar>
            <w:vAlign w:val="center"/>
          </w:tcPr>
          <w:p w14:paraId="711F8249">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+0</w:t>
            </w:r>
          </w:p>
        </w:tc>
      </w:tr>
      <w:tr w14:paraId="3E67EB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noWrap w:val="0"/>
            <w:tcMar>
              <w:top w:w="0" w:type="dxa"/>
              <w:left w:w="0" w:type="dxa"/>
              <w:bottom w:w="0" w:type="dxa"/>
              <w:right w:w="0" w:type="dxa"/>
            </w:tcMar>
            <w:vAlign w:val="center"/>
          </w:tcPr>
          <w:p w14:paraId="229813E2">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532" w:type="pct"/>
            <w:gridSpan w:val="2"/>
            <w:shd w:val="clear" w:color="auto" w:fill="auto"/>
            <w:noWrap w:val="0"/>
            <w:tcMar>
              <w:top w:w="0" w:type="dxa"/>
              <w:left w:w="0" w:type="dxa"/>
              <w:bottom w:w="0" w:type="dxa"/>
              <w:right w:w="0" w:type="dxa"/>
            </w:tcMar>
            <w:vAlign w:val="center"/>
          </w:tcPr>
          <w:p w14:paraId="43BE410B">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废油桶</w:t>
            </w:r>
          </w:p>
        </w:tc>
        <w:tc>
          <w:tcPr>
            <w:tcW w:w="697" w:type="pct"/>
            <w:noWrap w:val="0"/>
            <w:tcMar>
              <w:top w:w="0" w:type="dxa"/>
              <w:left w:w="0" w:type="dxa"/>
              <w:bottom w:w="0" w:type="dxa"/>
              <w:right w:w="0" w:type="dxa"/>
            </w:tcMar>
            <w:vAlign w:val="center"/>
          </w:tcPr>
          <w:p w14:paraId="2B700CC4">
            <w:pPr>
              <w:pStyle w:val="55"/>
              <w:keepNext w:val="0"/>
              <w:keepLines w:val="0"/>
              <w:pageBreakBefore w:val="0"/>
              <w:kinsoku/>
              <w:wordWrap/>
              <w:overflowPunct/>
              <w:topLinePunct w:val="0"/>
              <w:autoSpaceDE/>
              <w:autoSpaceDN/>
              <w:bidi w:val="0"/>
              <w:adjustRightInd w:val="0"/>
              <w:snapToGrid w:val="0"/>
              <w:spacing w:line="240" w:lineRule="auto"/>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kern w:val="0"/>
                <w:sz w:val="21"/>
                <w:szCs w:val="21"/>
              </w:rPr>
              <w:t>0.12</w:t>
            </w:r>
          </w:p>
        </w:tc>
        <w:tc>
          <w:tcPr>
            <w:tcW w:w="453" w:type="pct"/>
            <w:noWrap w:val="0"/>
            <w:tcMar>
              <w:top w:w="0" w:type="dxa"/>
              <w:left w:w="0" w:type="dxa"/>
              <w:bottom w:w="0" w:type="dxa"/>
              <w:right w:w="0" w:type="dxa"/>
            </w:tcMar>
            <w:vAlign w:val="center"/>
          </w:tcPr>
          <w:p w14:paraId="32399BBA">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r>
              <w:rPr>
                <w:rFonts w:ascii="Times New Roman" w:hAnsi="Times New Roman" w:eastAsia="宋体"/>
                <w:b w:val="0"/>
                <w:bCs/>
                <w:snapToGrid w:val="0"/>
                <w:color w:val="auto"/>
                <w:kern w:val="21"/>
                <w:sz w:val="21"/>
                <w:szCs w:val="21"/>
              </w:rPr>
              <w:t>/</w:t>
            </w:r>
          </w:p>
        </w:tc>
        <w:tc>
          <w:tcPr>
            <w:tcW w:w="683" w:type="pct"/>
            <w:noWrap w:val="0"/>
            <w:tcMar>
              <w:top w:w="0" w:type="dxa"/>
              <w:left w:w="0" w:type="dxa"/>
              <w:bottom w:w="0" w:type="dxa"/>
              <w:right w:w="0" w:type="dxa"/>
            </w:tcMar>
            <w:vAlign w:val="center"/>
          </w:tcPr>
          <w:p w14:paraId="58A50FFF">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r>
              <w:rPr>
                <w:rFonts w:ascii="Times New Roman" w:hAnsi="Times New Roman" w:eastAsia="宋体"/>
                <w:b w:val="0"/>
                <w:bCs/>
                <w:snapToGrid w:val="0"/>
                <w:color w:val="auto"/>
                <w:kern w:val="21"/>
                <w:sz w:val="21"/>
                <w:szCs w:val="21"/>
              </w:rPr>
              <w:t>/</w:t>
            </w:r>
          </w:p>
        </w:tc>
        <w:tc>
          <w:tcPr>
            <w:tcW w:w="673" w:type="pct"/>
            <w:shd w:val="clear" w:color="auto" w:fill="auto"/>
            <w:noWrap w:val="0"/>
            <w:tcMar>
              <w:top w:w="0" w:type="dxa"/>
              <w:left w:w="0" w:type="dxa"/>
              <w:bottom w:w="0" w:type="dxa"/>
              <w:right w:w="0" w:type="dxa"/>
            </w:tcMar>
            <w:vAlign w:val="center"/>
          </w:tcPr>
          <w:p w14:paraId="444DBE9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11.76</w:t>
            </w:r>
          </w:p>
        </w:tc>
        <w:tc>
          <w:tcPr>
            <w:tcW w:w="520" w:type="pct"/>
            <w:noWrap w:val="0"/>
            <w:tcMar>
              <w:top w:w="0" w:type="dxa"/>
              <w:left w:w="0" w:type="dxa"/>
              <w:bottom w:w="0" w:type="dxa"/>
              <w:right w:w="0" w:type="dxa"/>
            </w:tcMar>
            <w:vAlign w:val="center"/>
          </w:tcPr>
          <w:p w14:paraId="31E6068C">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00" w:type="pct"/>
            <w:shd w:val="clear" w:color="auto" w:fill="auto"/>
            <w:noWrap w:val="0"/>
            <w:tcMar>
              <w:top w:w="0" w:type="dxa"/>
              <w:left w:w="0" w:type="dxa"/>
              <w:bottom w:w="0" w:type="dxa"/>
              <w:right w:w="0" w:type="dxa"/>
            </w:tcMar>
            <w:vAlign w:val="center"/>
          </w:tcPr>
          <w:p w14:paraId="5F65CA1E">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11.76</w:t>
            </w:r>
          </w:p>
        </w:tc>
        <w:tc>
          <w:tcPr>
            <w:tcW w:w="1379" w:type="dxa"/>
            <w:noWrap w:val="0"/>
            <w:tcMar>
              <w:top w:w="0" w:type="dxa"/>
              <w:left w:w="0" w:type="dxa"/>
              <w:bottom w:w="0" w:type="dxa"/>
              <w:right w:w="0" w:type="dxa"/>
            </w:tcMar>
            <w:vAlign w:val="center"/>
          </w:tcPr>
          <w:p w14:paraId="066678B6">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+11.64</w:t>
            </w:r>
          </w:p>
        </w:tc>
      </w:tr>
      <w:tr w14:paraId="6BFE55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noWrap w:val="0"/>
            <w:tcMar>
              <w:top w:w="0" w:type="dxa"/>
              <w:left w:w="0" w:type="dxa"/>
              <w:bottom w:w="0" w:type="dxa"/>
              <w:right w:w="0" w:type="dxa"/>
            </w:tcMar>
            <w:vAlign w:val="center"/>
          </w:tcPr>
          <w:p w14:paraId="618437C0">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532" w:type="pct"/>
            <w:gridSpan w:val="2"/>
            <w:shd w:val="clear" w:color="auto" w:fill="auto"/>
            <w:noWrap w:val="0"/>
            <w:tcMar>
              <w:top w:w="0" w:type="dxa"/>
              <w:left w:w="0" w:type="dxa"/>
              <w:bottom w:w="0" w:type="dxa"/>
              <w:right w:w="0" w:type="dxa"/>
            </w:tcMar>
            <w:vAlign w:val="center"/>
          </w:tcPr>
          <w:p w14:paraId="702F043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废包装桶</w:t>
            </w:r>
          </w:p>
        </w:tc>
        <w:tc>
          <w:tcPr>
            <w:tcW w:w="697" w:type="pct"/>
            <w:noWrap w:val="0"/>
            <w:tcMar>
              <w:top w:w="0" w:type="dxa"/>
              <w:left w:w="0" w:type="dxa"/>
              <w:bottom w:w="0" w:type="dxa"/>
              <w:right w:w="0" w:type="dxa"/>
            </w:tcMar>
            <w:vAlign w:val="center"/>
          </w:tcPr>
          <w:p w14:paraId="375570BA">
            <w:pPr>
              <w:pStyle w:val="55"/>
              <w:keepNext w:val="0"/>
              <w:keepLines w:val="0"/>
              <w:pageBreakBefore w:val="0"/>
              <w:kinsoku/>
              <w:wordWrap/>
              <w:overflowPunct/>
              <w:topLinePunct w:val="0"/>
              <w:autoSpaceDE/>
              <w:autoSpaceDN/>
              <w:bidi w:val="0"/>
              <w:adjustRightInd w:val="0"/>
              <w:snapToGrid w:val="0"/>
              <w:spacing w:line="240" w:lineRule="auto"/>
              <w:rPr>
                <w:rFonts w:hint="default" w:ascii="Times New Roman" w:hAnsi="Times New Roman" w:eastAsia="宋体" w:cs="Times New Roman"/>
                <w:color w:val="auto"/>
                <w:kern w:val="18"/>
                <w:sz w:val="21"/>
                <w:szCs w:val="21"/>
                <w:lang w:val="en-US" w:eastAsia="zh-CN" w:bidi="ar-SA"/>
              </w:rPr>
            </w:pPr>
            <w:r>
              <w:rPr>
                <w:rFonts w:hint="eastAsia" w:cs="Times New Roman"/>
                <w:color w:val="auto"/>
                <w:kern w:val="18"/>
                <w:sz w:val="21"/>
                <w:szCs w:val="21"/>
                <w:lang w:val="en-US" w:eastAsia="zh-CN" w:bidi="ar-SA"/>
              </w:rPr>
              <w:t>0</w:t>
            </w:r>
          </w:p>
        </w:tc>
        <w:tc>
          <w:tcPr>
            <w:tcW w:w="453" w:type="pct"/>
            <w:noWrap w:val="0"/>
            <w:tcMar>
              <w:top w:w="0" w:type="dxa"/>
              <w:left w:w="0" w:type="dxa"/>
              <w:bottom w:w="0" w:type="dxa"/>
              <w:right w:w="0" w:type="dxa"/>
            </w:tcMar>
            <w:vAlign w:val="center"/>
          </w:tcPr>
          <w:p w14:paraId="77D8A450">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cs="Times New Roman"/>
                <w:b w:val="0"/>
                <w:bCs/>
                <w:snapToGrid w:val="0"/>
                <w:color w:val="auto"/>
                <w:kern w:val="21"/>
                <w:sz w:val="21"/>
                <w:szCs w:val="21"/>
              </w:rPr>
            </w:pPr>
            <w:r>
              <w:rPr>
                <w:rFonts w:ascii="Times New Roman" w:hAnsi="Times New Roman" w:eastAsia="宋体" w:cs="Times New Roman"/>
                <w:b w:val="0"/>
                <w:bCs/>
                <w:snapToGrid w:val="0"/>
                <w:color w:val="auto"/>
                <w:kern w:val="21"/>
                <w:sz w:val="21"/>
                <w:szCs w:val="21"/>
              </w:rPr>
              <w:t>/</w:t>
            </w:r>
          </w:p>
        </w:tc>
        <w:tc>
          <w:tcPr>
            <w:tcW w:w="683" w:type="pct"/>
            <w:noWrap w:val="0"/>
            <w:tcMar>
              <w:top w:w="0" w:type="dxa"/>
              <w:left w:w="0" w:type="dxa"/>
              <w:bottom w:w="0" w:type="dxa"/>
              <w:right w:w="0" w:type="dxa"/>
            </w:tcMar>
            <w:vAlign w:val="center"/>
          </w:tcPr>
          <w:p w14:paraId="53BEB368">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cs="Times New Roman"/>
                <w:b w:val="0"/>
                <w:bCs/>
                <w:snapToGrid w:val="0"/>
                <w:color w:val="auto"/>
                <w:kern w:val="21"/>
                <w:sz w:val="21"/>
                <w:szCs w:val="21"/>
              </w:rPr>
            </w:pPr>
            <w:r>
              <w:rPr>
                <w:rFonts w:ascii="Times New Roman" w:hAnsi="Times New Roman" w:eastAsia="宋体" w:cs="Times New Roman"/>
                <w:b w:val="0"/>
                <w:bCs/>
                <w:snapToGrid w:val="0"/>
                <w:color w:val="auto"/>
                <w:kern w:val="21"/>
                <w:sz w:val="21"/>
                <w:szCs w:val="21"/>
              </w:rPr>
              <w:t>/</w:t>
            </w:r>
          </w:p>
        </w:tc>
        <w:tc>
          <w:tcPr>
            <w:tcW w:w="673" w:type="pct"/>
            <w:shd w:val="clear" w:color="auto" w:fill="auto"/>
            <w:noWrap w:val="0"/>
            <w:tcMar>
              <w:top w:w="0" w:type="dxa"/>
              <w:left w:w="0" w:type="dxa"/>
              <w:bottom w:w="0" w:type="dxa"/>
              <w:right w:w="0" w:type="dxa"/>
            </w:tcMar>
            <w:vAlign w:val="center"/>
          </w:tcPr>
          <w:p w14:paraId="5F79D1B2">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0.08</w:t>
            </w:r>
          </w:p>
        </w:tc>
        <w:tc>
          <w:tcPr>
            <w:tcW w:w="520" w:type="pct"/>
            <w:noWrap w:val="0"/>
            <w:tcMar>
              <w:top w:w="0" w:type="dxa"/>
              <w:left w:w="0" w:type="dxa"/>
              <w:bottom w:w="0" w:type="dxa"/>
              <w:right w:w="0" w:type="dxa"/>
            </w:tcMar>
            <w:vAlign w:val="center"/>
          </w:tcPr>
          <w:p w14:paraId="24E58801">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00" w:type="pct"/>
            <w:shd w:val="clear" w:color="auto" w:fill="auto"/>
            <w:noWrap w:val="0"/>
            <w:tcMar>
              <w:top w:w="0" w:type="dxa"/>
              <w:left w:w="0" w:type="dxa"/>
              <w:bottom w:w="0" w:type="dxa"/>
              <w:right w:w="0" w:type="dxa"/>
            </w:tcMar>
            <w:vAlign w:val="center"/>
          </w:tcPr>
          <w:p w14:paraId="3721777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0.08</w:t>
            </w:r>
          </w:p>
        </w:tc>
        <w:tc>
          <w:tcPr>
            <w:tcW w:w="1379" w:type="dxa"/>
            <w:noWrap w:val="0"/>
            <w:tcMar>
              <w:top w:w="0" w:type="dxa"/>
              <w:left w:w="0" w:type="dxa"/>
              <w:bottom w:w="0" w:type="dxa"/>
              <w:right w:w="0" w:type="dxa"/>
            </w:tcMar>
            <w:vAlign w:val="center"/>
          </w:tcPr>
          <w:p w14:paraId="5211C36F">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+0.08</w:t>
            </w:r>
          </w:p>
        </w:tc>
      </w:tr>
      <w:tr w14:paraId="0D2A10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vMerge w:val="continue"/>
            <w:noWrap w:val="0"/>
            <w:tcMar>
              <w:top w:w="0" w:type="dxa"/>
              <w:left w:w="0" w:type="dxa"/>
              <w:bottom w:w="0" w:type="dxa"/>
              <w:right w:w="0" w:type="dxa"/>
            </w:tcMar>
            <w:vAlign w:val="center"/>
          </w:tcPr>
          <w:p w14:paraId="4C723C85">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532" w:type="pct"/>
            <w:gridSpan w:val="2"/>
            <w:shd w:val="clear" w:color="auto" w:fill="auto"/>
            <w:noWrap w:val="0"/>
            <w:tcMar>
              <w:top w:w="0" w:type="dxa"/>
              <w:left w:w="0" w:type="dxa"/>
              <w:bottom w:w="0" w:type="dxa"/>
              <w:right w:w="0" w:type="dxa"/>
            </w:tcMar>
            <w:vAlign w:val="center"/>
          </w:tcPr>
          <w:p w14:paraId="21C74C0F">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废含油抹布</w:t>
            </w:r>
          </w:p>
        </w:tc>
        <w:tc>
          <w:tcPr>
            <w:tcW w:w="697" w:type="pct"/>
            <w:noWrap w:val="0"/>
            <w:tcMar>
              <w:top w:w="0" w:type="dxa"/>
              <w:left w:w="0" w:type="dxa"/>
              <w:bottom w:w="0" w:type="dxa"/>
              <w:right w:w="0" w:type="dxa"/>
            </w:tcMar>
            <w:vAlign w:val="center"/>
          </w:tcPr>
          <w:p w14:paraId="2157F4ED">
            <w:pPr>
              <w:pStyle w:val="55"/>
              <w:keepNext w:val="0"/>
              <w:keepLines w:val="0"/>
              <w:pageBreakBefore w:val="0"/>
              <w:kinsoku/>
              <w:wordWrap/>
              <w:overflowPunct/>
              <w:topLinePunct w:val="0"/>
              <w:autoSpaceDE/>
              <w:autoSpaceDN/>
              <w:bidi w:val="0"/>
              <w:adjustRightInd w:val="0"/>
              <w:snapToGrid w:val="0"/>
              <w:spacing w:line="240" w:lineRule="auto"/>
              <w:rPr>
                <w:rFonts w:hint="eastAsia" w:ascii="Times New Roman" w:hAnsi="Times New Roman" w:eastAsia="宋体" w:cs="Times New Roman"/>
                <w:color w:val="auto"/>
                <w:kern w:val="18"/>
                <w:sz w:val="21"/>
                <w:szCs w:val="21"/>
                <w:lang w:val="en-US" w:eastAsia="zh-CN" w:bidi="ar-SA"/>
              </w:rPr>
            </w:pPr>
            <w:r>
              <w:rPr>
                <w:rFonts w:hint="default" w:ascii="Times New Roman" w:hAnsi="Times New Roman" w:eastAsia="宋体" w:cs="Times New Roman"/>
                <w:color w:val="auto"/>
                <w:kern w:val="0"/>
                <w:sz w:val="21"/>
                <w:szCs w:val="21"/>
              </w:rPr>
              <w:t>0.01</w:t>
            </w:r>
          </w:p>
        </w:tc>
        <w:tc>
          <w:tcPr>
            <w:tcW w:w="453" w:type="pct"/>
            <w:noWrap w:val="0"/>
            <w:tcMar>
              <w:top w:w="0" w:type="dxa"/>
              <w:left w:w="0" w:type="dxa"/>
              <w:bottom w:w="0" w:type="dxa"/>
              <w:right w:w="0" w:type="dxa"/>
            </w:tcMar>
            <w:vAlign w:val="center"/>
          </w:tcPr>
          <w:p w14:paraId="4F75D87F">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cs="Times New Roman"/>
                <w:b w:val="0"/>
                <w:bCs/>
                <w:snapToGrid w:val="0"/>
                <w:color w:val="auto"/>
                <w:kern w:val="21"/>
                <w:sz w:val="21"/>
                <w:szCs w:val="21"/>
              </w:rPr>
            </w:pPr>
            <w:r>
              <w:rPr>
                <w:rFonts w:ascii="Times New Roman" w:hAnsi="Times New Roman" w:eastAsia="宋体" w:cs="Times New Roman"/>
                <w:b w:val="0"/>
                <w:bCs/>
                <w:snapToGrid w:val="0"/>
                <w:color w:val="auto"/>
                <w:kern w:val="21"/>
                <w:sz w:val="21"/>
                <w:szCs w:val="21"/>
              </w:rPr>
              <w:t>/</w:t>
            </w:r>
          </w:p>
        </w:tc>
        <w:tc>
          <w:tcPr>
            <w:tcW w:w="683" w:type="pct"/>
            <w:noWrap w:val="0"/>
            <w:tcMar>
              <w:top w:w="0" w:type="dxa"/>
              <w:left w:w="0" w:type="dxa"/>
              <w:bottom w:w="0" w:type="dxa"/>
              <w:right w:w="0" w:type="dxa"/>
            </w:tcMar>
            <w:vAlign w:val="center"/>
          </w:tcPr>
          <w:p w14:paraId="0F936FA4">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cs="Times New Roman"/>
                <w:b w:val="0"/>
                <w:bCs/>
                <w:snapToGrid w:val="0"/>
                <w:color w:val="auto"/>
                <w:kern w:val="21"/>
                <w:sz w:val="21"/>
                <w:szCs w:val="21"/>
              </w:rPr>
            </w:pPr>
            <w:r>
              <w:rPr>
                <w:rFonts w:ascii="Times New Roman" w:hAnsi="Times New Roman" w:eastAsia="宋体" w:cs="Times New Roman"/>
                <w:b w:val="0"/>
                <w:bCs/>
                <w:snapToGrid w:val="0"/>
                <w:color w:val="auto"/>
                <w:kern w:val="21"/>
                <w:sz w:val="21"/>
                <w:szCs w:val="21"/>
              </w:rPr>
              <w:t>/</w:t>
            </w:r>
          </w:p>
        </w:tc>
        <w:tc>
          <w:tcPr>
            <w:tcW w:w="673" w:type="pct"/>
            <w:shd w:val="clear" w:color="auto" w:fill="auto"/>
            <w:noWrap w:val="0"/>
            <w:tcMar>
              <w:top w:w="0" w:type="dxa"/>
              <w:left w:w="0" w:type="dxa"/>
              <w:bottom w:w="0" w:type="dxa"/>
              <w:right w:w="0" w:type="dxa"/>
            </w:tcMar>
            <w:vAlign w:val="center"/>
          </w:tcPr>
          <w:p w14:paraId="435138FC">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0.01</w:t>
            </w:r>
          </w:p>
        </w:tc>
        <w:tc>
          <w:tcPr>
            <w:tcW w:w="520" w:type="pct"/>
            <w:noWrap w:val="0"/>
            <w:tcMar>
              <w:top w:w="0" w:type="dxa"/>
              <w:left w:w="0" w:type="dxa"/>
              <w:bottom w:w="0" w:type="dxa"/>
              <w:right w:w="0" w:type="dxa"/>
            </w:tcMar>
            <w:vAlign w:val="center"/>
          </w:tcPr>
          <w:p w14:paraId="3A056ABA">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00" w:type="pct"/>
            <w:shd w:val="clear" w:color="auto" w:fill="auto"/>
            <w:noWrap w:val="0"/>
            <w:tcMar>
              <w:top w:w="0" w:type="dxa"/>
              <w:left w:w="0" w:type="dxa"/>
              <w:bottom w:w="0" w:type="dxa"/>
              <w:right w:w="0" w:type="dxa"/>
            </w:tcMar>
            <w:vAlign w:val="center"/>
          </w:tcPr>
          <w:p w14:paraId="394F536D">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lang w:val="en-US" w:eastAsia="zh-CN"/>
              </w:rPr>
              <w:t>0.01</w:t>
            </w:r>
          </w:p>
        </w:tc>
        <w:tc>
          <w:tcPr>
            <w:tcW w:w="1379" w:type="dxa"/>
            <w:noWrap w:val="0"/>
            <w:tcMar>
              <w:top w:w="0" w:type="dxa"/>
              <w:left w:w="0" w:type="dxa"/>
              <w:bottom w:w="0" w:type="dxa"/>
              <w:right w:w="0" w:type="dxa"/>
            </w:tcMar>
            <w:vAlign w:val="center"/>
          </w:tcPr>
          <w:p w14:paraId="0244901A">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+0</w:t>
            </w:r>
          </w:p>
        </w:tc>
      </w:tr>
      <w:tr w14:paraId="3D0C43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3" w:hRule="atLeast"/>
        </w:trPr>
        <w:tc>
          <w:tcPr>
            <w:tcW w:w="335" w:type="pct"/>
            <w:vMerge w:val="continue"/>
            <w:noWrap w:val="0"/>
            <w:tcMar>
              <w:top w:w="0" w:type="dxa"/>
              <w:left w:w="0" w:type="dxa"/>
              <w:bottom w:w="0" w:type="dxa"/>
              <w:right w:w="0" w:type="dxa"/>
            </w:tcMar>
            <w:vAlign w:val="center"/>
          </w:tcPr>
          <w:p w14:paraId="4D8F55FD">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p>
        </w:tc>
        <w:tc>
          <w:tcPr>
            <w:tcW w:w="532" w:type="pct"/>
            <w:gridSpan w:val="2"/>
            <w:shd w:val="clear" w:color="auto" w:fill="auto"/>
            <w:noWrap w:val="0"/>
            <w:tcMar>
              <w:top w:w="0" w:type="dxa"/>
              <w:left w:w="0" w:type="dxa"/>
              <w:bottom w:w="0" w:type="dxa"/>
              <w:right w:w="0" w:type="dxa"/>
            </w:tcMar>
            <w:vAlign w:val="center"/>
          </w:tcPr>
          <w:p w14:paraId="1CBA6A6E">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废活性炭</w:t>
            </w:r>
          </w:p>
        </w:tc>
        <w:tc>
          <w:tcPr>
            <w:tcW w:w="697" w:type="pct"/>
            <w:noWrap w:val="0"/>
            <w:tcMar>
              <w:top w:w="0" w:type="dxa"/>
              <w:left w:w="0" w:type="dxa"/>
              <w:bottom w:w="0" w:type="dxa"/>
              <w:right w:w="0" w:type="dxa"/>
            </w:tcMar>
            <w:vAlign w:val="center"/>
          </w:tcPr>
          <w:p w14:paraId="0B54473A">
            <w:pPr>
              <w:pStyle w:val="55"/>
              <w:keepNext w:val="0"/>
              <w:keepLines w:val="0"/>
              <w:pageBreakBefore w:val="0"/>
              <w:kinsoku/>
              <w:wordWrap/>
              <w:overflowPunct/>
              <w:topLinePunct w:val="0"/>
              <w:autoSpaceDE/>
              <w:autoSpaceDN/>
              <w:bidi w:val="0"/>
              <w:adjustRightInd w:val="0"/>
              <w:snapToGrid w:val="0"/>
              <w:spacing w:line="240" w:lineRule="auto"/>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kern w:val="0"/>
                <w:sz w:val="21"/>
                <w:szCs w:val="21"/>
              </w:rPr>
              <w:t>1.347</w:t>
            </w:r>
          </w:p>
        </w:tc>
        <w:tc>
          <w:tcPr>
            <w:tcW w:w="453" w:type="pct"/>
            <w:noWrap w:val="0"/>
            <w:tcMar>
              <w:top w:w="0" w:type="dxa"/>
              <w:left w:w="0" w:type="dxa"/>
              <w:bottom w:w="0" w:type="dxa"/>
              <w:right w:w="0" w:type="dxa"/>
            </w:tcMar>
            <w:vAlign w:val="center"/>
          </w:tcPr>
          <w:p w14:paraId="6C444015">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cs="Times New Roman"/>
                <w:b w:val="0"/>
                <w:bCs/>
                <w:snapToGrid w:val="0"/>
                <w:color w:val="auto"/>
                <w:kern w:val="21"/>
                <w:sz w:val="21"/>
                <w:szCs w:val="21"/>
              </w:rPr>
            </w:pPr>
            <w:r>
              <w:rPr>
                <w:rFonts w:ascii="Times New Roman" w:hAnsi="Times New Roman" w:eastAsia="宋体" w:cs="Times New Roman"/>
                <w:b w:val="0"/>
                <w:bCs/>
                <w:snapToGrid w:val="0"/>
                <w:color w:val="auto"/>
                <w:kern w:val="21"/>
                <w:sz w:val="21"/>
                <w:szCs w:val="21"/>
              </w:rPr>
              <w:t>/</w:t>
            </w:r>
          </w:p>
        </w:tc>
        <w:tc>
          <w:tcPr>
            <w:tcW w:w="683" w:type="pct"/>
            <w:noWrap w:val="0"/>
            <w:tcMar>
              <w:top w:w="0" w:type="dxa"/>
              <w:left w:w="0" w:type="dxa"/>
              <w:bottom w:w="0" w:type="dxa"/>
              <w:right w:w="0" w:type="dxa"/>
            </w:tcMar>
            <w:vAlign w:val="center"/>
          </w:tcPr>
          <w:p w14:paraId="0977BE60">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cs="Times New Roman"/>
                <w:b w:val="0"/>
                <w:bCs/>
                <w:snapToGrid w:val="0"/>
                <w:color w:val="auto"/>
                <w:kern w:val="21"/>
                <w:sz w:val="21"/>
                <w:szCs w:val="21"/>
              </w:rPr>
            </w:pPr>
            <w:r>
              <w:rPr>
                <w:rFonts w:ascii="Times New Roman" w:hAnsi="Times New Roman" w:eastAsia="宋体" w:cs="Times New Roman"/>
                <w:b w:val="0"/>
                <w:bCs/>
                <w:snapToGrid w:val="0"/>
                <w:color w:val="auto"/>
                <w:kern w:val="21"/>
                <w:sz w:val="21"/>
                <w:szCs w:val="21"/>
              </w:rPr>
              <w:t>/</w:t>
            </w:r>
          </w:p>
        </w:tc>
        <w:tc>
          <w:tcPr>
            <w:tcW w:w="673" w:type="pct"/>
            <w:shd w:val="clear" w:color="auto" w:fill="auto"/>
            <w:noWrap w:val="0"/>
            <w:tcMar>
              <w:top w:w="0" w:type="dxa"/>
              <w:left w:w="0" w:type="dxa"/>
              <w:bottom w:w="0" w:type="dxa"/>
              <w:right w:w="0" w:type="dxa"/>
            </w:tcMar>
            <w:vAlign w:val="center"/>
          </w:tcPr>
          <w:p w14:paraId="57255E64">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1.58</w:t>
            </w:r>
          </w:p>
        </w:tc>
        <w:tc>
          <w:tcPr>
            <w:tcW w:w="520" w:type="pct"/>
            <w:noWrap w:val="0"/>
            <w:tcMar>
              <w:top w:w="0" w:type="dxa"/>
              <w:left w:w="0" w:type="dxa"/>
              <w:bottom w:w="0" w:type="dxa"/>
              <w:right w:w="0" w:type="dxa"/>
            </w:tcMar>
            <w:vAlign w:val="center"/>
          </w:tcPr>
          <w:p w14:paraId="0F7A3AB7">
            <w:pPr>
              <w:keepNext w:val="0"/>
              <w:keepLines w:val="0"/>
              <w:pageBreakBefore w:val="0"/>
              <w:kinsoku/>
              <w:wordWrap/>
              <w:overflowPunct/>
              <w:topLinePunct w:val="0"/>
              <w:autoSpaceDE/>
              <w:autoSpaceDN/>
              <w:bidi w:val="0"/>
              <w:adjustRightInd w:val="0"/>
              <w:snapToGrid w:val="0"/>
              <w:jc w:val="center"/>
              <w:rPr>
                <w:color w:val="auto"/>
                <w:szCs w:val="21"/>
              </w:rPr>
            </w:pPr>
          </w:p>
        </w:tc>
        <w:tc>
          <w:tcPr>
            <w:tcW w:w="600" w:type="pct"/>
            <w:shd w:val="clear" w:color="auto" w:fill="auto"/>
            <w:noWrap w:val="0"/>
            <w:tcMar>
              <w:top w:w="0" w:type="dxa"/>
              <w:left w:w="0" w:type="dxa"/>
              <w:bottom w:w="0" w:type="dxa"/>
              <w:right w:w="0" w:type="dxa"/>
            </w:tcMar>
            <w:vAlign w:val="center"/>
          </w:tcPr>
          <w:p w14:paraId="41D5E976">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Cs w:val="21"/>
                <w:lang w:val="en-US" w:eastAsia="zh-CN"/>
              </w:rPr>
              <w:t>1.58</w:t>
            </w:r>
          </w:p>
        </w:tc>
        <w:tc>
          <w:tcPr>
            <w:tcW w:w="1379" w:type="dxa"/>
            <w:noWrap w:val="0"/>
            <w:tcMar>
              <w:top w:w="0" w:type="dxa"/>
              <w:left w:w="0" w:type="dxa"/>
              <w:bottom w:w="0" w:type="dxa"/>
              <w:right w:w="0" w:type="dxa"/>
            </w:tcMar>
            <w:vAlign w:val="center"/>
          </w:tcPr>
          <w:p w14:paraId="37AA962F">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+0.233</w:t>
            </w:r>
          </w:p>
        </w:tc>
      </w:tr>
      <w:tr w14:paraId="00E747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35" w:type="pct"/>
            <w:noWrap w:val="0"/>
            <w:tcMar>
              <w:top w:w="0" w:type="dxa"/>
              <w:left w:w="0" w:type="dxa"/>
              <w:bottom w:w="0" w:type="dxa"/>
              <w:right w:w="0" w:type="dxa"/>
            </w:tcMar>
            <w:vAlign w:val="center"/>
          </w:tcPr>
          <w:p w14:paraId="43573518">
            <w:pPr>
              <w:pStyle w:val="47"/>
              <w:keepNext w:val="0"/>
              <w:keepLines w:val="0"/>
              <w:pageBreakBefore w:val="0"/>
              <w:kinsoku/>
              <w:wordWrap/>
              <w:overflowPunct/>
              <w:topLinePunct w:val="0"/>
              <w:autoSpaceDE/>
              <w:autoSpaceDN/>
              <w:bidi w:val="0"/>
              <w:adjustRightInd w:val="0"/>
              <w:snapToGrid w:val="0"/>
              <w:spacing w:before="0" w:beforeLines="0" w:afterLines="0" w:line="240" w:lineRule="auto"/>
              <w:ind w:firstLine="0" w:firstLineChars="0"/>
              <w:rPr>
                <w:rFonts w:ascii="Times New Roman" w:hAnsi="Times New Roman" w:eastAsia="宋体"/>
                <w:b w:val="0"/>
                <w:bCs/>
                <w:snapToGrid w:val="0"/>
                <w:color w:val="auto"/>
                <w:kern w:val="21"/>
                <w:sz w:val="21"/>
                <w:szCs w:val="21"/>
              </w:rPr>
            </w:pPr>
            <w:r>
              <w:rPr>
                <w:rFonts w:hint="eastAsia" w:ascii="Times New Roman" w:hAnsi="Times New Roman" w:eastAsia="宋体"/>
                <w:b w:val="0"/>
                <w:bCs/>
                <w:snapToGrid w:val="0"/>
                <w:color w:val="auto"/>
                <w:kern w:val="21"/>
                <w:sz w:val="21"/>
                <w:szCs w:val="21"/>
              </w:rPr>
              <w:t>生活垃圾</w:t>
            </w:r>
          </w:p>
        </w:tc>
        <w:tc>
          <w:tcPr>
            <w:tcW w:w="532" w:type="pct"/>
            <w:gridSpan w:val="2"/>
            <w:shd w:val="clear" w:color="auto" w:fill="auto"/>
            <w:noWrap w:val="0"/>
            <w:tcMar>
              <w:top w:w="0" w:type="dxa"/>
              <w:left w:w="0" w:type="dxa"/>
              <w:bottom w:w="0" w:type="dxa"/>
              <w:right w:w="0" w:type="dxa"/>
            </w:tcMar>
            <w:vAlign w:val="center"/>
          </w:tcPr>
          <w:p w14:paraId="3A97B7E4">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color w:val="auto"/>
              </w:rPr>
              <w:t>生活垃圾</w:t>
            </w:r>
          </w:p>
        </w:tc>
        <w:tc>
          <w:tcPr>
            <w:tcW w:w="697" w:type="pct"/>
            <w:noWrap w:val="0"/>
            <w:tcMar>
              <w:top w:w="0" w:type="dxa"/>
              <w:left w:w="0" w:type="dxa"/>
              <w:bottom w:w="0" w:type="dxa"/>
              <w:right w:w="0" w:type="dxa"/>
            </w:tcMar>
            <w:vAlign w:val="center"/>
          </w:tcPr>
          <w:p w14:paraId="5C469ADB">
            <w:pPr>
              <w:pStyle w:val="55"/>
              <w:keepNext w:val="0"/>
              <w:keepLines w:val="0"/>
              <w:pageBreakBefore w:val="0"/>
              <w:kinsoku/>
              <w:wordWrap/>
              <w:overflowPunct/>
              <w:topLinePunct w:val="0"/>
              <w:autoSpaceDE/>
              <w:autoSpaceDN/>
              <w:bidi w:val="0"/>
              <w:adjustRightInd w:val="0"/>
              <w:snapToGrid w:val="0"/>
              <w:spacing w:line="240" w:lineRule="auto"/>
              <w:rPr>
                <w:rFonts w:hint="default" w:ascii="Times New Roman" w:hAnsi="Times New Roman" w:eastAsia="宋体" w:cs="Times New Roman"/>
                <w:color w:val="auto"/>
                <w:kern w:val="18"/>
                <w:sz w:val="21"/>
                <w:szCs w:val="21"/>
                <w:lang w:val="en-US" w:eastAsia="zh-CN" w:bidi="ar-SA"/>
              </w:rPr>
            </w:pPr>
            <w:r>
              <w:rPr>
                <w:rFonts w:hint="eastAsia" w:cs="Times New Roman"/>
                <w:color w:val="auto"/>
                <w:kern w:val="18"/>
                <w:sz w:val="21"/>
                <w:szCs w:val="21"/>
                <w:lang w:val="en-US" w:eastAsia="zh-CN" w:bidi="ar-SA"/>
              </w:rPr>
              <w:t>3.3</w:t>
            </w:r>
          </w:p>
        </w:tc>
        <w:tc>
          <w:tcPr>
            <w:tcW w:w="453" w:type="pct"/>
            <w:noWrap w:val="0"/>
            <w:tcMar>
              <w:top w:w="0" w:type="dxa"/>
              <w:left w:w="0" w:type="dxa"/>
              <w:bottom w:w="0" w:type="dxa"/>
              <w:right w:w="0" w:type="dxa"/>
            </w:tcMar>
            <w:vAlign w:val="center"/>
          </w:tcPr>
          <w:p w14:paraId="2DEE9C04">
            <w:pPr>
              <w:keepNext w:val="0"/>
              <w:keepLines w:val="0"/>
              <w:pageBreakBefore w:val="0"/>
              <w:kinsoku/>
              <w:wordWrap/>
              <w:overflowPunct/>
              <w:topLinePunct w:val="0"/>
              <w:autoSpaceDE/>
              <w:autoSpaceDN/>
              <w:bidi w:val="0"/>
              <w:adjustRightInd w:val="0"/>
              <w:snapToGrid w:val="0"/>
              <w:jc w:val="center"/>
              <w:rPr>
                <w:bCs/>
                <w:snapToGrid w:val="0"/>
                <w:color w:val="auto"/>
                <w:kern w:val="21"/>
                <w:szCs w:val="21"/>
              </w:rPr>
            </w:pPr>
            <w:r>
              <w:rPr>
                <w:bCs/>
                <w:snapToGrid w:val="0"/>
                <w:color w:val="auto"/>
                <w:kern w:val="21"/>
                <w:szCs w:val="21"/>
              </w:rPr>
              <w:t>/</w:t>
            </w:r>
          </w:p>
        </w:tc>
        <w:tc>
          <w:tcPr>
            <w:tcW w:w="683" w:type="pct"/>
            <w:noWrap w:val="0"/>
            <w:tcMar>
              <w:top w:w="0" w:type="dxa"/>
              <w:left w:w="0" w:type="dxa"/>
              <w:bottom w:w="0" w:type="dxa"/>
              <w:right w:w="0" w:type="dxa"/>
            </w:tcMar>
            <w:vAlign w:val="center"/>
          </w:tcPr>
          <w:p w14:paraId="7152137D">
            <w:pPr>
              <w:keepNext w:val="0"/>
              <w:keepLines w:val="0"/>
              <w:pageBreakBefore w:val="0"/>
              <w:kinsoku/>
              <w:wordWrap/>
              <w:overflowPunct/>
              <w:topLinePunct w:val="0"/>
              <w:autoSpaceDE/>
              <w:autoSpaceDN/>
              <w:bidi w:val="0"/>
              <w:adjustRightInd w:val="0"/>
              <w:snapToGrid w:val="0"/>
              <w:jc w:val="center"/>
              <w:rPr>
                <w:bCs/>
                <w:snapToGrid w:val="0"/>
                <w:color w:val="auto"/>
                <w:kern w:val="21"/>
                <w:szCs w:val="21"/>
              </w:rPr>
            </w:pPr>
            <w:r>
              <w:rPr>
                <w:bCs/>
                <w:snapToGrid w:val="0"/>
                <w:color w:val="auto"/>
                <w:kern w:val="21"/>
                <w:szCs w:val="21"/>
              </w:rPr>
              <w:t>/</w:t>
            </w:r>
          </w:p>
        </w:tc>
        <w:tc>
          <w:tcPr>
            <w:tcW w:w="673" w:type="pct"/>
            <w:shd w:val="clear" w:color="auto" w:fill="auto"/>
            <w:noWrap w:val="0"/>
            <w:tcMar>
              <w:top w:w="0" w:type="dxa"/>
              <w:left w:w="0" w:type="dxa"/>
              <w:bottom w:w="0" w:type="dxa"/>
              <w:right w:w="0" w:type="dxa"/>
            </w:tcMar>
            <w:vAlign w:val="center"/>
          </w:tcPr>
          <w:p w14:paraId="48B7E8D4">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color w:val="auto"/>
                <w:kern w:val="18"/>
                <w:sz w:val="21"/>
                <w:szCs w:val="21"/>
                <w:lang w:val="en-US" w:eastAsia="zh-CN" w:bidi="ar-SA"/>
              </w:rPr>
            </w:pPr>
            <w:r>
              <w:rPr>
                <w:rFonts w:hint="eastAsia"/>
                <w:color w:val="auto"/>
                <w:lang w:val="en-US" w:eastAsia="zh-CN"/>
              </w:rPr>
              <w:t>0.9</w:t>
            </w:r>
          </w:p>
        </w:tc>
        <w:tc>
          <w:tcPr>
            <w:tcW w:w="520" w:type="pct"/>
            <w:noWrap w:val="0"/>
            <w:tcMar>
              <w:top w:w="0" w:type="dxa"/>
              <w:left w:w="0" w:type="dxa"/>
              <w:bottom w:w="0" w:type="dxa"/>
              <w:right w:w="0" w:type="dxa"/>
            </w:tcMar>
            <w:vAlign w:val="center"/>
          </w:tcPr>
          <w:p w14:paraId="0BA01437">
            <w:pPr>
              <w:keepNext w:val="0"/>
              <w:keepLines w:val="0"/>
              <w:pageBreakBefore w:val="0"/>
              <w:kinsoku/>
              <w:wordWrap/>
              <w:overflowPunct/>
              <w:topLinePunct w:val="0"/>
              <w:autoSpaceDE/>
              <w:autoSpaceDN/>
              <w:bidi w:val="0"/>
              <w:adjustRightInd w:val="0"/>
              <w:snapToGrid w:val="0"/>
              <w:jc w:val="center"/>
              <w:rPr>
                <w:color w:val="auto"/>
                <w:szCs w:val="21"/>
              </w:rPr>
            </w:pPr>
            <w:r>
              <w:rPr>
                <w:color w:val="auto"/>
                <w:szCs w:val="21"/>
              </w:rPr>
              <w:t>/</w:t>
            </w:r>
          </w:p>
        </w:tc>
        <w:tc>
          <w:tcPr>
            <w:tcW w:w="600" w:type="pct"/>
            <w:shd w:val="clear" w:color="auto" w:fill="auto"/>
            <w:noWrap w:val="0"/>
            <w:tcMar>
              <w:top w:w="0" w:type="dxa"/>
              <w:left w:w="0" w:type="dxa"/>
              <w:bottom w:w="0" w:type="dxa"/>
              <w:right w:w="0" w:type="dxa"/>
            </w:tcMar>
            <w:vAlign w:val="center"/>
          </w:tcPr>
          <w:p w14:paraId="71AE3CEA">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eastAsia" w:ascii="Times New Roman" w:hAnsi="Times New Roman" w:eastAsia="宋体" w:cs="Times New Roman"/>
                <w:color w:val="auto"/>
                <w:kern w:val="18"/>
                <w:sz w:val="21"/>
                <w:szCs w:val="21"/>
                <w:lang w:val="en-US" w:eastAsia="zh-CN" w:bidi="ar-SA"/>
              </w:rPr>
            </w:pPr>
            <w:r>
              <w:rPr>
                <w:rFonts w:hint="eastAsia"/>
                <w:color w:val="auto"/>
                <w:lang w:val="en-US" w:eastAsia="zh-CN"/>
              </w:rPr>
              <w:t>0.9</w:t>
            </w:r>
          </w:p>
        </w:tc>
        <w:tc>
          <w:tcPr>
            <w:tcW w:w="1379" w:type="dxa"/>
            <w:noWrap w:val="0"/>
            <w:tcMar>
              <w:top w:w="0" w:type="dxa"/>
              <w:left w:w="0" w:type="dxa"/>
              <w:bottom w:w="0" w:type="dxa"/>
              <w:right w:w="0" w:type="dxa"/>
            </w:tcMar>
            <w:vAlign w:val="center"/>
          </w:tcPr>
          <w:p w14:paraId="2B72B92B">
            <w:pPr>
              <w:pStyle w:val="55"/>
              <w:keepNext w:val="0"/>
              <w:keepLines w:val="0"/>
              <w:pageBreakBefore w:val="0"/>
              <w:widowControl w:val="0"/>
              <w:kinsoku/>
              <w:wordWrap/>
              <w:overflowPunct/>
              <w:topLinePunct w:val="0"/>
              <w:autoSpaceDE/>
              <w:autoSpaceDN/>
              <w:bidi w:val="0"/>
              <w:adjustRightInd w:val="0"/>
              <w:snapToGrid w:val="0"/>
              <w:ind w:left="0" w:leftChars="0" w:right="0" w:rightChars="0"/>
              <w:textAlignment w:val="auto"/>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-2.4</w:t>
            </w:r>
          </w:p>
        </w:tc>
      </w:tr>
    </w:tbl>
    <w:p w14:paraId="231BACC2">
      <w:pPr>
        <w:pStyle w:val="47"/>
        <w:spacing w:before="0" w:beforeLines="0" w:afterLines="0" w:line="260" w:lineRule="auto"/>
        <w:ind w:firstLine="420"/>
        <w:jc w:val="left"/>
        <w:rPr>
          <w:rFonts w:ascii="Times New Roman" w:hAnsi="Times New Roman" w:eastAsia="宋体"/>
          <w:b w:val="0"/>
          <w:bCs/>
          <w:snapToGrid w:val="0"/>
          <w:color w:val="auto"/>
          <w:spacing w:val="-6"/>
          <w:kern w:val="21"/>
          <w:sz w:val="21"/>
          <w:szCs w:val="18"/>
        </w:rPr>
      </w:pPr>
      <w:r>
        <w:rPr>
          <w:rFonts w:ascii="Times New Roman" w:hAnsi="Times New Roman" w:eastAsia="宋体"/>
          <w:b w:val="0"/>
          <w:bCs/>
          <w:snapToGrid w:val="0"/>
          <w:color w:val="auto"/>
          <w:kern w:val="21"/>
          <w:sz w:val="21"/>
          <w:szCs w:val="18"/>
        </w:rPr>
        <w:t>注：</w:t>
      </w:r>
      <w:r>
        <w:rPr>
          <w:rFonts w:ascii="Times New Roman" w:hAnsi="Times New Roman" w:eastAsia="宋体"/>
          <w:b w:val="0"/>
          <w:bCs/>
          <w:snapToGrid w:val="0"/>
          <w:color w:val="auto"/>
          <w:spacing w:val="-16"/>
          <w:kern w:val="21"/>
          <w:sz w:val="21"/>
          <w:szCs w:val="18"/>
        </w:rPr>
        <w:fldChar w:fldCharType="begin"/>
      </w:r>
      <w:r>
        <w:rPr>
          <w:rFonts w:ascii="Times New Roman" w:hAnsi="Times New Roman" w:eastAsia="宋体"/>
          <w:b w:val="0"/>
          <w:bCs/>
          <w:snapToGrid w:val="0"/>
          <w:color w:val="auto"/>
          <w:spacing w:val="-16"/>
          <w:kern w:val="21"/>
          <w:sz w:val="21"/>
          <w:szCs w:val="18"/>
        </w:rPr>
        <w:instrText xml:space="preserve"> = 6 \* GB3 \* MERGEFORMAT </w:instrText>
      </w:r>
      <w:r>
        <w:rPr>
          <w:rFonts w:ascii="Times New Roman" w:hAnsi="Times New Roman" w:eastAsia="宋体"/>
          <w:b w:val="0"/>
          <w:bCs/>
          <w:snapToGrid w:val="0"/>
          <w:color w:val="auto"/>
          <w:spacing w:val="-16"/>
          <w:kern w:val="21"/>
          <w:sz w:val="21"/>
          <w:szCs w:val="18"/>
        </w:rPr>
        <w:fldChar w:fldCharType="separate"/>
      </w:r>
      <w:r>
        <w:rPr>
          <w:rFonts w:ascii="Times New Roman" w:hAnsi="Times New Roman" w:eastAsia="宋体"/>
          <w:b w:val="0"/>
          <w:bCs/>
          <w:color w:val="auto"/>
          <w:sz w:val="21"/>
          <w:szCs w:val="18"/>
        </w:rPr>
        <w:t>⑥</w:t>
      </w:r>
      <w:r>
        <w:rPr>
          <w:rFonts w:ascii="Times New Roman" w:hAnsi="Times New Roman" w:eastAsia="宋体"/>
          <w:b w:val="0"/>
          <w:bCs/>
          <w:snapToGrid w:val="0"/>
          <w:color w:val="auto"/>
          <w:spacing w:val="-16"/>
          <w:kern w:val="21"/>
          <w:sz w:val="21"/>
          <w:szCs w:val="18"/>
        </w:rPr>
        <w:fldChar w:fldCharType="end"/>
      </w:r>
      <w:r>
        <w:rPr>
          <w:rFonts w:ascii="Times New Roman" w:hAnsi="Times New Roman" w:eastAsia="宋体"/>
          <w:b w:val="0"/>
          <w:bCs/>
          <w:snapToGrid w:val="0"/>
          <w:color w:val="auto"/>
          <w:spacing w:val="-16"/>
          <w:kern w:val="21"/>
          <w:sz w:val="21"/>
          <w:szCs w:val="18"/>
        </w:rPr>
        <w:t>=</w:t>
      </w:r>
      <w:r>
        <w:rPr>
          <w:rFonts w:ascii="Times New Roman" w:hAnsi="Times New Roman" w:eastAsia="宋体"/>
          <w:b w:val="0"/>
          <w:bCs/>
          <w:snapToGrid w:val="0"/>
          <w:color w:val="auto"/>
          <w:spacing w:val="-6"/>
          <w:kern w:val="21"/>
          <w:sz w:val="21"/>
          <w:szCs w:val="18"/>
        </w:rPr>
        <w:fldChar w:fldCharType="begin"/>
      </w:r>
      <w:r>
        <w:rPr>
          <w:rFonts w:ascii="Times New Roman" w:hAnsi="Times New Roman" w:eastAsia="宋体"/>
          <w:b w:val="0"/>
          <w:bCs/>
          <w:snapToGrid w:val="0"/>
          <w:color w:val="auto"/>
          <w:spacing w:val="-6"/>
          <w:kern w:val="21"/>
          <w:sz w:val="21"/>
          <w:szCs w:val="18"/>
        </w:rPr>
        <w:instrText xml:space="preserve"> = 1 \* GB3 \* MERGEFORMAT </w:instrText>
      </w:r>
      <w:r>
        <w:rPr>
          <w:rFonts w:ascii="Times New Roman" w:hAnsi="Times New Roman" w:eastAsia="宋体"/>
          <w:b w:val="0"/>
          <w:bCs/>
          <w:snapToGrid w:val="0"/>
          <w:color w:val="auto"/>
          <w:spacing w:val="-6"/>
          <w:kern w:val="21"/>
          <w:sz w:val="21"/>
          <w:szCs w:val="18"/>
        </w:rPr>
        <w:fldChar w:fldCharType="separate"/>
      </w:r>
      <w:r>
        <w:rPr>
          <w:rFonts w:ascii="Times New Roman" w:hAnsi="Times New Roman" w:eastAsia="宋体"/>
          <w:b w:val="0"/>
          <w:bCs/>
          <w:color w:val="auto"/>
          <w:sz w:val="21"/>
          <w:szCs w:val="18"/>
        </w:rPr>
        <w:t>①</w:t>
      </w:r>
      <w:r>
        <w:rPr>
          <w:rFonts w:ascii="Times New Roman" w:hAnsi="Times New Roman" w:eastAsia="宋体"/>
          <w:b w:val="0"/>
          <w:bCs/>
          <w:snapToGrid w:val="0"/>
          <w:color w:val="auto"/>
          <w:spacing w:val="-6"/>
          <w:kern w:val="21"/>
          <w:sz w:val="21"/>
          <w:szCs w:val="18"/>
        </w:rPr>
        <w:fldChar w:fldCharType="end"/>
      </w:r>
      <w:r>
        <w:rPr>
          <w:rFonts w:ascii="Times New Roman" w:hAnsi="Times New Roman" w:eastAsia="宋体"/>
          <w:b w:val="0"/>
          <w:bCs/>
          <w:snapToGrid w:val="0"/>
          <w:color w:val="auto"/>
          <w:spacing w:val="-6"/>
          <w:kern w:val="21"/>
          <w:sz w:val="21"/>
          <w:szCs w:val="18"/>
        </w:rPr>
        <w:t>+</w:t>
      </w:r>
      <w:r>
        <w:rPr>
          <w:rFonts w:ascii="Times New Roman" w:hAnsi="Times New Roman" w:eastAsia="宋体"/>
          <w:b w:val="0"/>
          <w:bCs/>
          <w:snapToGrid w:val="0"/>
          <w:color w:val="auto"/>
          <w:spacing w:val="-6"/>
          <w:kern w:val="21"/>
          <w:sz w:val="21"/>
          <w:szCs w:val="18"/>
        </w:rPr>
        <w:fldChar w:fldCharType="begin"/>
      </w:r>
      <w:r>
        <w:rPr>
          <w:rFonts w:ascii="Times New Roman" w:hAnsi="Times New Roman" w:eastAsia="宋体"/>
          <w:b w:val="0"/>
          <w:bCs/>
          <w:snapToGrid w:val="0"/>
          <w:color w:val="auto"/>
          <w:spacing w:val="-6"/>
          <w:kern w:val="21"/>
          <w:sz w:val="21"/>
          <w:szCs w:val="18"/>
        </w:rPr>
        <w:instrText xml:space="preserve"> = 3 \* GB3 \* MERGEFORMAT </w:instrText>
      </w:r>
      <w:r>
        <w:rPr>
          <w:rFonts w:ascii="Times New Roman" w:hAnsi="Times New Roman" w:eastAsia="宋体"/>
          <w:b w:val="0"/>
          <w:bCs/>
          <w:snapToGrid w:val="0"/>
          <w:color w:val="auto"/>
          <w:spacing w:val="-6"/>
          <w:kern w:val="21"/>
          <w:sz w:val="21"/>
          <w:szCs w:val="18"/>
        </w:rPr>
        <w:fldChar w:fldCharType="separate"/>
      </w:r>
      <w:r>
        <w:rPr>
          <w:rFonts w:ascii="Times New Roman" w:hAnsi="Times New Roman" w:eastAsia="宋体"/>
          <w:b w:val="0"/>
          <w:bCs/>
          <w:color w:val="auto"/>
          <w:sz w:val="21"/>
          <w:szCs w:val="18"/>
        </w:rPr>
        <w:t>③</w:t>
      </w:r>
      <w:r>
        <w:rPr>
          <w:rFonts w:ascii="Times New Roman" w:hAnsi="Times New Roman" w:eastAsia="宋体"/>
          <w:b w:val="0"/>
          <w:bCs/>
          <w:snapToGrid w:val="0"/>
          <w:color w:val="auto"/>
          <w:spacing w:val="-6"/>
          <w:kern w:val="21"/>
          <w:sz w:val="21"/>
          <w:szCs w:val="18"/>
        </w:rPr>
        <w:fldChar w:fldCharType="end"/>
      </w:r>
      <w:r>
        <w:rPr>
          <w:rFonts w:ascii="Times New Roman" w:hAnsi="Times New Roman" w:eastAsia="宋体"/>
          <w:b w:val="0"/>
          <w:bCs/>
          <w:snapToGrid w:val="0"/>
          <w:color w:val="auto"/>
          <w:spacing w:val="-6"/>
          <w:kern w:val="21"/>
          <w:sz w:val="21"/>
          <w:szCs w:val="18"/>
        </w:rPr>
        <w:t>+</w:t>
      </w:r>
      <w:r>
        <w:rPr>
          <w:rFonts w:ascii="Times New Roman" w:hAnsi="Times New Roman" w:eastAsia="宋体"/>
          <w:b w:val="0"/>
          <w:bCs/>
          <w:snapToGrid w:val="0"/>
          <w:color w:val="auto"/>
          <w:spacing w:val="-6"/>
          <w:kern w:val="21"/>
          <w:sz w:val="21"/>
          <w:szCs w:val="18"/>
        </w:rPr>
        <w:fldChar w:fldCharType="begin"/>
      </w:r>
      <w:r>
        <w:rPr>
          <w:rFonts w:ascii="Times New Roman" w:hAnsi="Times New Roman" w:eastAsia="宋体"/>
          <w:b w:val="0"/>
          <w:bCs/>
          <w:snapToGrid w:val="0"/>
          <w:color w:val="auto"/>
          <w:spacing w:val="-6"/>
          <w:kern w:val="21"/>
          <w:sz w:val="21"/>
          <w:szCs w:val="18"/>
        </w:rPr>
        <w:instrText xml:space="preserve"> = 4 \* GB3 \* MERGEFORMAT </w:instrText>
      </w:r>
      <w:r>
        <w:rPr>
          <w:rFonts w:ascii="Times New Roman" w:hAnsi="Times New Roman" w:eastAsia="宋体"/>
          <w:b w:val="0"/>
          <w:bCs/>
          <w:snapToGrid w:val="0"/>
          <w:color w:val="auto"/>
          <w:spacing w:val="-6"/>
          <w:kern w:val="21"/>
          <w:sz w:val="21"/>
          <w:szCs w:val="18"/>
        </w:rPr>
        <w:fldChar w:fldCharType="separate"/>
      </w:r>
      <w:r>
        <w:rPr>
          <w:rFonts w:ascii="Times New Roman" w:hAnsi="Times New Roman" w:eastAsia="宋体"/>
          <w:b w:val="0"/>
          <w:bCs/>
          <w:color w:val="auto"/>
          <w:sz w:val="21"/>
          <w:szCs w:val="18"/>
        </w:rPr>
        <w:t>④</w:t>
      </w:r>
      <w:r>
        <w:rPr>
          <w:rFonts w:ascii="Times New Roman" w:hAnsi="Times New Roman" w:eastAsia="宋体"/>
          <w:b w:val="0"/>
          <w:bCs/>
          <w:snapToGrid w:val="0"/>
          <w:color w:val="auto"/>
          <w:spacing w:val="-6"/>
          <w:kern w:val="21"/>
          <w:sz w:val="21"/>
          <w:szCs w:val="18"/>
        </w:rPr>
        <w:fldChar w:fldCharType="end"/>
      </w:r>
      <w:r>
        <w:rPr>
          <w:rFonts w:ascii="Times New Roman" w:hAnsi="Times New Roman" w:eastAsia="宋体"/>
          <w:b w:val="0"/>
          <w:bCs/>
          <w:snapToGrid w:val="0"/>
          <w:color w:val="auto"/>
          <w:spacing w:val="-6"/>
          <w:kern w:val="21"/>
          <w:sz w:val="21"/>
          <w:szCs w:val="18"/>
        </w:rPr>
        <w:t>-</w:t>
      </w:r>
      <w:r>
        <w:rPr>
          <w:rFonts w:ascii="Times New Roman" w:hAnsi="Times New Roman" w:eastAsia="宋体"/>
          <w:b w:val="0"/>
          <w:bCs/>
          <w:snapToGrid w:val="0"/>
          <w:color w:val="auto"/>
          <w:spacing w:val="-16"/>
          <w:kern w:val="21"/>
          <w:sz w:val="21"/>
          <w:szCs w:val="18"/>
        </w:rPr>
        <w:fldChar w:fldCharType="begin"/>
      </w:r>
      <w:r>
        <w:rPr>
          <w:rFonts w:ascii="Times New Roman" w:hAnsi="Times New Roman" w:eastAsia="宋体"/>
          <w:b w:val="0"/>
          <w:bCs/>
          <w:snapToGrid w:val="0"/>
          <w:color w:val="auto"/>
          <w:spacing w:val="-16"/>
          <w:kern w:val="21"/>
          <w:sz w:val="21"/>
          <w:szCs w:val="18"/>
        </w:rPr>
        <w:instrText xml:space="preserve"> = 5 \* GB3 \* MERGEFORMAT </w:instrText>
      </w:r>
      <w:r>
        <w:rPr>
          <w:rFonts w:ascii="Times New Roman" w:hAnsi="Times New Roman" w:eastAsia="宋体"/>
          <w:b w:val="0"/>
          <w:bCs/>
          <w:snapToGrid w:val="0"/>
          <w:color w:val="auto"/>
          <w:spacing w:val="-16"/>
          <w:kern w:val="21"/>
          <w:sz w:val="21"/>
          <w:szCs w:val="18"/>
        </w:rPr>
        <w:fldChar w:fldCharType="separate"/>
      </w:r>
      <w:r>
        <w:rPr>
          <w:rFonts w:ascii="Times New Roman" w:hAnsi="Times New Roman" w:eastAsia="宋体"/>
          <w:b w:val="0"/>
          <w:bCs/>
          <w:color w:val="auto"/>
          <w:sz w:val="21"/>
          <w:szCs w:val="18"/>
        </w:rPr>
        <w:t>⑤</w:t>
      </w:r>
      <w:r>
        <w:rPr>
          <w:rFonts w:ascii="Times New Roman" w:hAnsi="Times New Roman" w:eastAsia="宋体"/>
          <w:b w:val="0"/>
          <w:bCs/>
          <w:snapToGrid w:val="0"/>
          <w:color w:val="auto"/>
          <w:spacing w:val="-16"/>
          <w:kern w:val="21"/>
          <w:sz w:val="21"/>
          <w:szCs w:val="18"/>
        </w:rPr>
        <w:fldChar w:fldCharType="end"/>
      </w:r>
      <w:r>
        <w:rPr>
          <w:rFonts w:ascii="Times New Roman" w:hAnsi="Times New Roman" w:eastAsia="宋体"/>
          <w:b w:val="0"/>
          <w:bCs/>
          <w:snapToGrid w:val="0"/>
          <w:color w:val="auto"/>
          <w:spacing w:val="-16"/>
          <w:kern w:val="21"/>
          <w:sz w:val="21"/>
          <w:szCs w:val="18"/>
        </w:rPr>
        <w:t>；</w:t>
      </w:r>
      <w:r>
        <w:rPr>
          <w:rFonts w:ascii="Times New Roman" w:hAnsi="Times New Roman" w:eastAsia="宋体"/>
          <w:b w:val="0"/>
          <w:bCs/>
          <w:snapToGrid w:val="0"/>
          <w:color w:val="auto"/>
          <w:spacing w:val="-6"/>
          <w:kern w:val="21"/>
          <w:sz w:val="21"/>
          <w:szCs w:val="18"/>
        </w:rPr>
        <w:fldChar w:fldCharType="begin"/>
      </w:r>
      <w:r>
        <w:rPr>
          <w:rFonts w:ascii="Times New Roman" w:hAnsi="Times New Roman" w:eastAsia="宋体"/>
          <w:b w:val="0"/>
          <w:bCs/>
          <w:snapToGrid w:val="0"/>
          <w:color w:val="auto"/>
          <w:spacing w:val="-6"/>
          <w:kern w:val="21"/>
          <w:sz w:val="21"/>
          <w:szCs w:val="18"/>
        </w:rPr>
        <w:instrText xml:space="preserve"> = 7 \* GB3 \* MERGEFORMAT </w:instrText>
      </w:r>
      <w:r>
        <w:rPr>
          <w:rFonts w:ascii="Times New Roman" w:hAnsi="Times New Roman" w:eastAsia="宋体"/>
          <w:b w:val="0"/>
          <w:bCs/>
          <w:snapToGrid w:val="0"/>
          <w:color w:val="auto"/>
          <w:spacing w:val="-6"/>
          <w:kern w:val="21"/>
          <w:sz w:val="21"/>
          <w:szCs w:val="18"/>
        </w:rPr>
        <w:fldChar w:fldCharType="separate"/>
      </w:r>
      <w:r>
        <w:rPr>
          <w:rFonts w:ascii="Times New Roman" w:hAnsi="Times New Roman" w:eastAsia="宋体"/>
          <w:b w:val="0"/>
          <w:bCs/>
          <w:color w:val="auto"/>
          <w:sz w:val="21"/>
          <w:szCs w:val="18"/>
        </w:rPr>
        <w:t>⑦</w:t>
      </w:r>
      <w:r>
        <w:rPr>
          <w:rFonts w:ascii="Times New Roman" w:hAnsi="Times New Roman" w:eastAsia="宋体"/>
          <w:b w:val="0"/>
          <w:bCs/>
          <w:snapToGrid w:val="0"/>
          <w:color w:val="auto"/>
          <w:spacing w:val="-6"/>
          <w:kern w:val="21"/>
          <w:sz w:val="21"/>
          <w:szCs w:val="18"/>
        </w:rPr>
        <w:fldChar w:fldCharType="end"/>
      </w:r>
      <w:r>
        <w:rPr>
          <w:rFonts w:ascii="Times New Roman" w:hAnsi="Times New Roman" w:eastAsia="宋体"/>
          <w:b w:val="0"/>
          <w:bCs/>
          <w:snapToGrid w:val="0"/>
          <w:color w:val="auto"/>
          <w:spacing w:val="-6"/>
          <w:kern w:val="21"/>
          <w:sz w:val="21"/>
          <w:szCs w:val="18"/>
        </w:rPr>
        <w:t>=</w:t>
      </w:r>
      <w:r>
        <w:rPr>
          <w:rFonts w:ascii="Times New Roman" w:hAnsi="Times New Roman" w:eastAsia="宋体"/>
          <w:b w:val="0"/>
          <w:bCs/>
          <w:snapToGrid w:val="0"/>
          <w:color w:val="auto"/>
          <w:spacing w:val="-16"/>
          <w:kern w:val="21"/>
          <w:sz w:val="21"/>
          <w:szCs w:val="18"/>
        </w:rPr>
        <w:fldChar w:fldCharType="begin"/>
      </w:r>
      <w:r>
        <w:rPr>
          <w:rFonts w:ascii="Times New Roman" w:hAnsi="Times New Roman" w:eastAsia="宋体"/>
          <w:b w:val="0"/>
          <w:bCs/>
          <w:snapToGrid w:val="0"/>
          <w:color w:val="auto"/>
          <w:spacing w:val="-16"/>
          <w:kern w:val="21"/>
          <w:sz w:val="21"/>
          <w:szCs w:val="18"/>
        </w:rPr>
        <w:instrText xml:space="preserve"> = 6 \* GB3 \* MERGEFORMAT </w:instrText>
      </w:r>
      <w:r>
        <w:rPr>
          <w:rFonts w:ascii="Times New Roman" w:hAnsi="Times New Roman" w:eastAsia="宋体"/>
          <w:b w:val="0"/>
          <w:bCs/>
          <w:snapToGrid w:val="0"/>
          <w:color w:val="auto"/>
          <w:spacing w:val="-16"/>
          <w:kern w:val="21"/>
          <w:sz w:val="21"/>
          <w:szCs w:val="18"/>
        </w:rPr>
        <w:fldChar w:fldCharType="separate"/>
      </w:r>
      <w:r>
        <w:rPr>
          <w:rFonts w:ascii="Times New Roman" w:hAnsi="Times New Roman" w:eastAsia="宋体"/>
          <w:b w:val="0"/>
          <w:bCs/>
          <w:color w:val="auto"/>
          <w:sz w:val="21"/>
          <w:szCs w:val="18"/>
        </w:rPr>
        <w:t>⑥</w:t>
      </w:r>
      <w:r>
        <w:rPr>
          <w:rFonts w:ascii="Times New Roman" w:hAnsi="Times New Roman" w:eastAsia="宋体"/>
          <w:b w:val="0"/>
          <w:bCs/>
          <w:snapToGrid w:val="0"/>
          <w:color w:val="auto"/>
          <w:spacing w:val="-16"/>
          <w:kern w:val="21"/>
          <w:sz w:val="21"/>
          <w:szCs w:val="18"/>
        </w:rPr>
        <w:fldChar w:fldCharType="end"/>
      </w:r>
      <w:r>
        <w:rPr>
          <w:rFonts w:ascii="Times New Roman" w:hAnsi="Times New Roman" w:eastAsia="宋体"/>
          <w:b w:val="0"/>
          <w:bCs/>
          <w:snapToGrid w:val="0"/>
          <w:color w:val="auto"/>
          <w:spacing w:val="-16"/>
          <w:kern w:val="21"/>
          <w:sz w:val="21"/>
          <w:szCs w:val="18"/>
        </w:rPr>
        <w:t>-</w:t>
      </w:r>
      <w:r>
        <w:rPr>
          <w:rFonts w:ascii="Times New Roman" w:hAnsi="Times New Roman" w:eastAsia="宋体"/>
          <w:b w:val="0"/>
          <w:bCs/>
          <w:snapToGrid w:val="0"/>
          <w:color w:val="auto"/>
          <w:spacing w:val="-6"/>
          <w:kern w:val="21"/>
          <w:sz w:val="21"/>
          <w:szCs w:val="18"/>
        </w:rPr>
        <w:fldChar w:fldCharType="begin"/>
      </w:r>
      <w:r>
        <w:rPr>
          <w:rFonts w:ascii="Times New Roman" w:hAnsi="Times New Roman" w:eastAsia="宋体"/>
          <w:b w:val="0"/>
          <w:bCs/>
          <w:snapToGrid w:val="0"/>
          <w:color w:val="auto"/>
          <w:spacing w:val="-6"/>
          <w:kern w:val="21"/>
          <w:sz w:val="21"/>
          <w:szCs w:val="18"/>
        </w:rPr>
        <w:instrText xml:space="preserve"> = 1 \* GB3 \* MERGEFORMAT </w:instrText>
      </w:r>
      <w:r>
        <w:rPr>
          <w:rFonts w:ascii="Times New Roman" w:hAnsi="Times New Roman" w:eastAsia="宋体"/>
          <w:b w:val="0"/>
          <w:bCs/>
          <w:snapToGrid w:val="0"/>
          <w:color w:val="auto"/>
          <w:spacing w:val="-6"/>
          <w:kern w:val="21"/>
          <w:sz w:val="21"/>
          <w:szCs w:val="18"/>
        </w:rPr>
        <w:fldChar w:fldCharType="separate"/>
      </w:r>
      <w:r>
        <w:rPr>
          <w:rFonts w:ascii="Times New Roman" w:hAnsi="Times New Roman" w:eastAsia="宋体"/>
          <w:b w:val="0"/>
          <w:bCs/>
          <w:color w:val="auto"/>
          <w:sz w:val="21"/>
          <w:szCs w:val="18"/>
        </w:rPr>
        <w:t>①</w:t>
      </w:r>
      <w:r>
        <w:rPr>
          <w:rFonts w:ascii="Times New Roman" w:hAnsi="Times New Roman" w:eastAsia="宋体"/>
          <w:b w:val="0"/>
          <w:bCs/>
          <w:snapToGrid w:val="0"/>
          <w:color w:val="auto"/>
          <w:spacing w:val="-6"/>
          <w:kern w:val="21"/>
          <w:sz w:val="21"/>
          <w:szCs w:val="18"/>
        </w:rPr>
        <w:fldChar w:fldCharType="end"/>
      </w:r>
    </w:p>
    <w:sectPr>
      <w:footerReference r:id="rId6" w:type="default"/>
      <w:pgSz w:w="16838" w:h="11906" w:orient="landscape"/>
      <w:pgMar w:top="1531" w:right="1701" w:bottom="1531" w:left="1701" w:header="851" w:footer="851"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0D"/>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Arial Unicode MS">
    <w:panose1 w:val="020B0604020202020204"/>
    <w:charset w:val="86"/>
    <w:family w:val="swiss"/>
    <w:pitch w:val="default"/>
    <w:sig w:usb0="FFFFFFFF" w:usb1="E9FFFFFF" w:usb2="0000003F" w:usb3="00000000" w:csb0="603F01FF" w:csb1="FFFF0000"/>
  </w:font>
  <w:font w:name="仿宋体">
    <w:altName w:val="仿宋"/>
    <w:panose1 w:val="00000000000000000000"/>
    <w:charset w:val="86"/>
    <w:family w:val="roman"/>
    <w:pitch w:val="default"/>
    <w:sig w:usb0="00000000" w:usb1="00000000" w:usb2="00000010" w:usb3="00000000" w:csb0="00040000" w:csb1="00000000"/>
  </w:font>
  <w:font w:name="Arial Black">
    <w:panose1 w:val="020B0A04020102020204"/>
    <w:charset w:val="00"/>
    <w:family w:val="swiss"/>
    <w:pitch w:val="default"/>
    <w:sig w:usb0="A00002AF" w:usb1="400078FB" w:usb2="00000000" w:usb3="00000000" w:csb0="6000009F" w:csb1="DFD70000"/>
  </w:font>
  <w:font w:name="楷体_GB2312">
    <w:altName w:val="楷体"/>
    <w:panose1 w:val="00000000000000000000"/>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Wingdings 2">
    <w:panose1 w:val="05020102010507070707"/>
    <w:charset w:val="02"/>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D19E04">
    <w:pPr>
      <w:pStyle w:val="19"/>
      <w:framePr w:wrap="around" w:vAnchor="text" w:hAnchor="margin" w:xAlign="center" w:y="1"/>
      <w:rPr>
        <w:rStyle w:val="32"/>
      </w:rPr>
    </w:pPr>
    <w:r>
      <w:fldChar w:fldCharType="begin"/>
    </w:r>
    <w:r>
      <w:rPr>
        <w:rStyle w:val="32"/>
      </w:rPr>
      <w:instrText xml:space="preserve">PAGE  </w:instrText>
    </w:r>
    <w:r>
      <w:fldChar w:fldCharType="end"/>
    </w:r>
  </w:p>
  <w:p w14:paraId="792FB7B5">
    <w:pPr>
      <w:pStyle w:val="19"/>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4F8E97">
    <w:pPr>
      <w:pStyle w:val="19"/>
      <w:ind w:firstLine="420"/>
      <w:jc w:val="center"/>
      <w:rPr>
        <w:rFonts w:ascii="Times New Roman" w:hAnsi="Times New Roman"/>
        <w:sz w:val="21"/>
        <w:szCs w:val="21"/>
      </w:rPr>
    </w:pPr>
    <w:r>
      <w:rPr>
        <w:rFonts w:ascii="Times New Roman" w:hAnsi="Times New Roman"/>
        <w:sz w:val="21"/>
        <w:szCs w:val="21"/>
      </w:rPr>
      <w:fldChar w:fldCharType="begin"/>
    </w:r>
    <w:r>
      <w:rPr>
        <w:rFonts w:ascii="Times New Roman" w:hAnsi="Times New Roman"/>
        <w:sz w:val="21"/>
        <w:szCs w:val="21"/>
      </w:rPr>
      <w:instrText xml:space="preserve">PAGE   \* MERGEFORMAT</w:instrText>
    </w:r>
    <w:r>
      <w:rPr>
        <w:rFonts w:ascii="Times New Roman" w:hAnsi="Times New Roman"/>
        <w:sz w:val="21"/>
        <w:szCs w:val="21"/>
      </w:rPr>
      <w:fldChar w:fldCharType="separate"/>
    </w:r>
    <w:r>
      <w:rPr>
        <w:rFonts w:ascii="Times New Roman" w:hAnsi="Times New Roman"/>
        <w:sz w:val="21"/>
        <w:szCs w:val="21"/>
        <w:lang w:val="zh-CN"/>
      </w:rPr>
      <w:t>2</w:t>
    </w:r>
    <w:r>
      <w:rPr>
        <w:rFonts w:ascii="Times New Roman" w:hAnsi="Times New Roman"/>
        <w:sz w:val="21"/>
        <w:szCs w:val="21"/>
      </w:rPr>
      <w:fldChar w:fldCharType="end"/>
    </w:r>
  </w:p>
  <w:p w14:paraId="7C3136E8">
    <w:pPr>
      <w:pStyle w:val="19"/>
      <w:ind w:right="360" w:firstLine="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474517">
    <w:pPr>
      <w:pStyle w:val="19"/>
      <w:ind w:right="360" w:firstLine="360"/>
      <w:jc w:val="center"/>
      <w:rPr>
        <w:rFonts w:hint="default" w:eastAsia="等线"/>
        <w:lang w:val="en-US" w:eastAsia="zh-CN"/>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EB671FB">
                          <w:pPr>
                            <w:pStyle w:val="19"/>
                          </w:pPr>
                          <w:r>
                            <w:fldChar w:fldCharType="begin"/>
                          </w:r>
                          <w:r>
                            <w:instrText xml:space="preserve"> PAGE  \* MERGEFORMAT </w:instrText>
                          </w:r>
                          <w:r>
                            <w:fldChar w:fldCharType="separate"/>
                          </w:r>
                          <w:r>
                            <w:t>81</w:t>
                          </w:r>
                          <w:r>
                            <w:fldChar w:fldCharType="end"/>
                          </w:r>
                        </w:p>
                      </w:txbxContent>
                    </wps:txbx>
                    <wps:bodyPr vert="horz" wrap="none" lIns="0" tIns="0" rIns="0" bIns="0" anchor="t" anchorCtr="0" upright="0">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zql5uc8AAAAFAQAADwAAAAAAAAABACAA&#10;AAAiAAAAZHJzL2Rvd25yZXYueG1sUEsBAhQAFAAAAAgAh07iQFZoo9HdAQAAvwMAAA4AAAAAAAAA&#10;AQAgAAAAHgEAAGRycy9lMm9Eb2MueG1sUEsFBgAAAAAGAAYAWQEAAG0FAAAAAA==&#10;">
              <v:fill on="f" focussize="0,0"/>
              <v:stroke on="f"/>
              <v:imagedata o:title=""/>
              <o:lock v:ext="edit" aspectratio="f"/>
              <v:textbox inset="0mm,0mm,0mm,0mm" style="mso-fit-shape-to-text:t;">
                <w:txbxContent>
                  <w:p w14:paraId="4EB671FB">
                    <w:pPr>
                      <w:pStyle w:val="19"/>
                    </w:pPr>
                    <w:r>
                      <w:fldChar w:fldCharType="begin"/>
                    </w:r>
                    <w:r>
                      <w:instrText xml:space="preserve"> PAGE  \* MERGEFORMAT </w:instrText>
                    </w:r>
                    <w:r>
                      <w:fldChar w:fldCharType="separate"/>
                    </w:r>
                    <w:r>
                      <w:t>81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8783EB">
    <w:pPr>
      <w:pStyle w:val="19"/>
      <w:ind w:right="360" w:firstLine="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B00D895">
                          <w:pPr>
                            <w:pStyle w:val="19"/>
                          </w:pPr>
                          <w:r>
                            <w:fldChar w:fldCharType="begin"/>
                          </w:r>
                          <w:r>
                            <w:instrText xml:space="preserve"> PAGE  \* MERGEFORMAT </w:instrText>
                          </w:r>
                          <w:r>
                            <w:fldChar w:fldCharType="separate"/>
                          </w:r>
                          <w:r>
                            <w:t>2</w:t>
                          </w:r>
                          <w:r>
                            <w:fldChar w:fldCharType="end"/>
                          </w:r>
                        </w:p>
                      </w:txbxContent>
                    </wps:txbx>
                    <wps:bodyPr vert="horz" wrap="none" lIns="0" tIns="0" rIns="0" bIns="0" anchor="t" anchorCtr="0" upright="0">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6pebnPAAAABQEAAA8AAAAAAAAAAQAg&#10;AAAAIgAAAGRycy9kb3ducmV2LnhtbFBLAQIUABQAAAAIAIdO4kB5Ic3h3gEAAL8DAAAOAAAAAAAA&#10;AAEAIAAAAB4BAABkcnMvZTJvRG9jLnhtbFBLBQYAAAAABgAGAFkBAABuBQAAAAA=&#10;">
              <v:fill on="f" focussize="0,0"/>
              <v:stroke on="f"/>
              <v:imagedata o:title=""/>
              <o:lock v:ext="edit" aspectratio="f"/>
              <v:textbox inset="0mm,0mm,0mm,0mm" style="mso-fit-shape-to-text:t;">
                <w:txbxContent>
                  <w:p w14:paraId="0B00D895">
                    <w:pPr>
                      <w:pStyle w:val="19"/>
                    </w:pPr>
                    <w:r>
                      <w:fldChar w:fldCharType="begin"/>
                    </w:r>
                    <w:r>
                      <w:instrText xml:space="preserve"> PAGE  \* MERGEFORMAT </w:instrText>
                    </w:r>
                    <w:r>
                      <w:fldChar w:fldCharType="separate"/>
                    </w:r>
                    <w:r>
                      <w:t>2</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8479F3"/>
    <w:multiLevelType w:val="singleLevel"/>
    <w:tmpl w:val="8E8479F3"/>
    <w:lvl w:ilvl="0" w:tentative="0">
      <w:start w:val="1"/>
      <w:numFmt w:val="bullet"/>
      <w:pStyle w:val="3"/>
      <w:lvlText w:val=""/>
      <w:lvlJc w:val="left"/>
      <w:pPr>
        <w:tabs>
          <w:tab w:val="left" w:pos="2040"/>
        </w:tabs>
        <w:ind w:left="2040" w:hanging="360"/>
      </w:pPr>
      <w:rPr>
        <w:rFonts w:hint="default" w:ascii="Wingdings" w:hAnsi="Wingdings"/>
      </w:rPr>
    </w:lvl>
  </w:abstractNum>
  <w:abstractNum w:abstractNumId="1">
    <w:nsid w:val="B4A48816"/>
    <w:multiLevelType w:val="singleLevel"/>
    <w:tmpl w:val="B4A48816"/>
    <w:lvl w:ilvl="0" w:tentative="0">
      <w:start w:val="1"/>
      <w:numFmt w:val="bullet"/>
      <w:pStyle w:val="12"/>
      <w:lvlText w:val=""/>
      <w:lvlJc w:val="left"/>
      <w:pPr>
        <w:tabs>
          <w:tab w:val="left" w:pos="780"/>
        </w:tabs>
        <w:ind w:left="780" w:hanging="360"/>
      </w:pPr>
      <w:rPr>
        <w:rFonts w:hint="default" w:ascii="Wingdings" w:hAnsi="Wingdings"/>
      </w:rPr>
    </w:lvl>
  </w:abstractNum>
  <w:abstractNum w:abstractNumId="2">
    <w:nsid w:val="762E176F"/>
    <w:multiLevelType w:val="multilevel"/>
    <w:tmpl w:val="762E176F"/>
    <w:lvl w:ilvl="0" w:tentative="0">
      <w:start w:val="1"/>
      <w:numFmt w:val="decimal"/>
      <w:lvlText w:val="%1"/>
      <w:lvlJc w:val="left"/>
      <w:pPr>
        <w:tabs>
          <w:tab w:val="left" w:pos="432"/>
        </w:tabs>
        <w:ind w:left="432" w:hanging="432"/>
      </w:pPr>
      <w:rPr>
        <w:rFonts w:hint="eastAsia"/>
      </w:rPr>
    </w:lvl>
    <w:lvl w:ilvl="1" w:tentative="0">
      <w:start w:val="1"/>
      <w:numFmt w:val="decimal"/>
      <w:pStyle w:val="14"/>
      <w:lvlText w:val="%1.%2"/>
      <w:lvlJc w:val="left"/>
      <w:pPr>
        <w:tabs>
          <w:tab w:val="left" w:pos="576"/>
        </w:tabs>
        <w:ind w:left="576" w:hanging="576"/>
      </w:pPr>
      <w:rPr>
        <w:rFonts w:hint="eastAsia"/>
      </w:rPr>
    </w:lvl>
    <w:lvl w:ilvl="2" w:tentative="0">
      <w:start w:val="1"/>
      <w:numFmt w:val="decimal"/>
      <w:lvlText w:val="%1.%2.%3"/>
      <w:lvlJc w:val="left"/>
      <w:pPr>
        <w:tabs>
          <w:tab w:val="left" w:pos="720"/>
        </w:tabs>
        <w:ind w:left="720" w:hanging="720"/>
      </w:pPr>
      <w:rPr>
        <w:rFonts w:hint="eastAsia"/>
      </w:rPr>
    </w:lvl>
    <w:lvl w:ilvl="3" w:tentative="0">
      <w:start w:val="1"/>
      <w:numFmt w:val="decimal"/>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1"/>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NjNDViOTNmMTI2MDA5Yzc1OTgwZmM1M2U1MDg4M2IifQ=="/>
  </w:docVars>
  <w:rsids>
    <w:rsidRoot w:val="00172A27"/>
    <w:rsid w:val="00000273"/>
    <w:rsid w:val="00001185"/>
    <w:rsid w:val="00002367"/>
    <w:rsid w:val="00004900"/>
    <w:rsid w:val="00005810"/>
    <w:rsid w:val="00006B19"/>
    <w:rsid w:val="00007641"/>
    <w:rsid w:val="00011EF0"/>
    <w:rsid w:val="0001384F"/>
    <w:rsid w:val="000142B3"/>
    <w:rsid w:val="000156E4"/>
    <w:rsid w:val="00015F9A"/>
    <w:rsid w:val="000170FE"/>
    <w:rsid w:val="00021F6B"/>
    <w:rsid w:val="000235E2"/>
    <w:rsid w:val="0002732E"/>
    <w:rsid w:val="0002754D"/>
    <w:rsid w:val="00031A7B"/>
    <w:rsid w:val="00031B2F"/>
    <w:rsid w:val="0003288B"/>
    <w:rsid w:val="000344F7"/>
    <w:rsid w:val="00035993"/>
    <w:rsid w:val="00035B5A"/>
    <w:rsid w:val="000462CD"/>
    <w:rsid w:val="000532E6"/>
    <w:rsid w:val="00053BC2"/>
    <w:rsid w:val="00054071"/>
    <w:rsid w:val="00054FBD"/>
    <w:rsid w:val="00057457"/>
    <w:rsid w:val="000639D5"/>
    <w:rsid w:val="000663F3"/>
    <w:rsid w:val="00066D85"/>
    <w:rsid w:val="00071DB7"/>
    <w:rsid w:val="000730E3"/>
    <w:rsid w:val="0007521A"/>
    <w:rsid w:val="000778A5"/>
    <w:rsid w:val="00080BBB"/>
    <w:rsid w:val="00081527"/>
    <w:rsid w:val="00082655"/>
    <w:rsid w:val="0008314D"/>
    <w:rsid w:val="00083925"/>
    <w:rsid w:val="00093410"/>
    <w:rsid w:val="0009618D"/>
    <w:rsid w:val="00097C50"/>
    <w:rsid w:val="00097CC4"/>
    <w:rsid w:val="000A0F35"/>
    <w:rsid w:val="000A1C70"/>
    <w:rsid w:val="000B2945"/>
    <w:rsid w:val="000B2BEB"/>
    <w:rsid w:val="000B4091"/>
    <w:rsid w:val="000B53C4"/>
    <w:rsid w:val="000B6095"/>
    <w:rsid w:val="000C1EC9"/>
    <w:rsid w:val="000C300A"/>
    <w:rsid w:val="000C3CC9"/>
    <w:rsid w:val="000C3F4E"/>
    <w:rsid w:val="000C7A3A"/>
    <w:rsid w:val="000D29C1"/>
    <w:rsid w:val="000D3E4F"/>
    <w:rsid w:val="000D4AD8"/>
    <w:rsid w:val="000D52CA"/>
    <w:rsid w:val="000D57B4"/>
    <w:rsid w:val="000E2C31"/>
    <w:rsid w:val="000E56E9"/>
    <w:rsid w:val="000E7B9C"/>
    <w:rsid w:val="000F12F2"/>
    <w:rsid w:val="000F2552"/>
    <w:rsid w:val="000F31C5"/>
    <w:rsid w:val="000F3ECF"/>
    <w:rsid w:val="000F74BC"/>
    <w:rsid w:val="0010167D"/>
    <w:rsid w:val="00104051"/>
    <w:rsid w:val="00106CBB"/>
    <w:rsid w:val="00106FD2"/>
    <w:rsid w:val="0011017B"/>
    <w:rsid w:val="001154C6"/>
    <w:rsid w:val="00122C60"/>
    <w:rsid w:val="00126846"/>
    <w:rsid w:val="00127713"/>
    <w:rsid w:val="00134461"/>
    <w:rsid w:val="00137C35"/>
    <w:rsid w:val="00137D45"/>
    <w:rsid w:val="00141ADB"/>
    <w:rsid w:val="00146FFC"/>
    <w:rsid w:val="00152D7E"/>
    <w:rsid w:val="001547F8"/>
    <w:rsid w:val="0015519D"/>
    <w:rsid w:val="00157628"/>
    <w:rsid w:val="0015768A"/>
    <w:rsid w:val="00164C26"/>
    <w:rsid w:val="001650B8"/>
    <w:rsid w:val="001678A7"/>
    <w:rsid w:val="00170BB0"/>
    <w:rsid w:val="00171282"/>
    <w:rsid w:val="00173631"/>
    <w:rsid w:val="00173DB9"/>
    <w:rsid w:val="0018179D"/>
    <w:rsid w:val="00181938"/>
    <w:rsid w:val="00185267"/>
    <w:rsid w:val="001861F8"/>
    <w:rsid w:val="001874F3"/>
    <w:rsid w:val="001912AF"/>
    <w:rsid w:val="001925BA"/>
    <w:rsid w:val="001935D9"/>
    <w:rsid w:val="001A2B6E"/>
    <w:rsid w:val="001A2CF7"/>
    <w:rsid w:val="001A5FFD"/>
    <w:rsid w:val="001B1148"/>
    <w:rsid w:val="001B1C1A"/>
    <w:rsid w:val="001B223C"/>
    <w:rsid w:val="001B2C59"/>
    <w:rsid w:val="001B415D"/>
    <w:rsid w:val="001C1BB5"/>
    <w:rsid w:val="001C28E0"/>
    <w:rsid w:val="001D7AD4"/>
    <w:rsid w:val="001E636F"/>
    <w:rsid w:val="001F2DCD"/>
    <w:rsid w:val="001F53C0"/>
    <w:rsid w:val="001F632B"/>
    <w:rsid w:val="00203598"/>
    <w:rsid w:val="0021451F"/>
    <w:rsid w:val="002156FA"/>
    <w:rsid w:val="00215730"/>
    <w:rsid w:val="00215A3F"/>
    <w:rsid w:val="00223674"/>
    <w:rsid w:val="00224A65"/>
    <w:rsid w:val="002306FF"/>
    <w:rsid w:val="002308D2"/>
    <w:rsid w:val="00235BE4"/>
    <w:rsid w:val="00237A6F"/>
    <w:rsid w:val="00240BCD"/>
    <w:rsid w:val="002413C8"/>
    <w:rsid w:val="00244488"/>
    <w:rsid w:val="002448A8"/>
    <w:rsid w:val="00246E95"/>
    <w:rsid w:val="00247391"/>
    <w:rsid w:val="002508F5"/>
    <w:rsid w:val="00252BA8"/>
    <w:rsid w:val="0025588F"/>
    <w:rsid w:val="00256DD6"/>
    <w:rsid w:val="0025708A"/>
    <w:rsid w:val="00257B9F"/>
    <w:rsid w:val="00263DD5"/>
    <w:rsid w:val="00271687"/>
    <w:rsid w:val="00275E0B"/>
    <w:rsid w:val="0027664F"/>
    <w:rsid w:val="0028207D"/>
    <w:rsid w:val="00282425"/>
    <w:rsid w:val="0028564B"/>
    <w:rsid w:val="002865A5"/>
    <w:rsid w:val="00297B8B"/>
    <w:rsid w:val="002A01C6"/>
    <w:rsid w:val="002A258D"/>
    <w:rsid w:val="002A453E"/>
    <w:rsid w:val="002B1A23"/>
    <w:rsid w:val="002B2241"/>
    <w:rsid w:val="002B3EB7"/>
    <w:rsid w:val="002B4BE2"/>
    <w:rsid w:val="002B4F8E"/>
    <w:rsid w:val="002B5A7C"/>
    <w:rsid w:val="002B674A"/>
    <w:rsid w:val="002B7360"/>
    <w:rsid w:val="002C2535"/>
    <w:rsid w:val="002D5FEB"/>
    <w:rsid w:val="002D686E"/>
    <w:rsid w:val="002E0829"/>
    <w:rsid w:val="002E1587"/>
    <w:rsid w:val="002E5A7C"/>
    <w:rsid w:val="002E66B1"/>
    <w:rsid w:val="002E787A"/>
    <w:rsid w:val="002F38B2"/>
    <w:rsid w:val="002F4EDC"/>
    <w:rsid w:val="002F727B"/>
    <w:rsid w:val="00304130"/>
    <w:rsid w:val="0030446D"/>
    <w:rsid w:val="0030784D"/>
    <w:rsid w:val="00311836"/>
    <w:rsid w:val="00312A6E"/>
    <w:rsid w:val="0031465F"/>
    <w:rsid w:val="00315A2B"/>
    <w:rsid w:val="00315A56"/>
    <w:rsid w:val="003203A1"/>
    <w:rsid w:val="0032441D"/>
    <w:rsid w:val="00325D14"/>
    <w:rsid w:val="00326676"/>
    <w:rsid w:val="00331402"/>
    <w:rsid w:val="00332D57"/>
    <w:rsid w:val="00336942"/>
    <w:rsid w:val="0034052B"/>
    <w:rsid w:val="003416B9"/>
    <w:rsid w:val="00350692"/>
    <w:rsid w:val="003545A1"/>
    <w:rsid w:val="0035520D"/>
    <w:rsid w:val="00360DB9"/>
    <w:rsid w:val="00361E88"/>
    <w:rsid w:val="00361EE7"/>
    <w:rsid w:val="0036259A"/>
    <w:rsid w:val="00362AE9"/>
    <w:rsid w:val="00362C74"/>
    <w:rsid w:val="003664C9"/>
    <w:rsid w:val="0036794F"/>
    <w:rsid w:val="00367FDC"/>
    <w:rsid w:val="003715FA"/>
    <w:rsid w:val="00371AAA"/>
    <w:rsid w:val="0037323A"/>
    <w:rsid w:val="00376923"/>
    <w:rsid w:val="00380422"/>
    <w:rsid w:val="003822B3"/>
    <w:rsid w:val="00382D91"/>
    <w:rsid w:val="0038475E"/>
    <w:rsid w:val="00390FB4"/>
    <w:rsid w:val="00394C34"/>
    <w:rsid w:val="003952C5"/>
    <w:rsid w:val="003952F7"/>
    <w:rsid w:val="00396F54"/>
    <w:rsid w:val="00397872"/>
    <w:rsid w:val="003A1B47"/>
    <w:rsid w:val="003A53A9"/>
    <w:rsid w:val="003A560D"/>
    <w:rsid w:val="003B018C"/>
    <w:rsid w:val="003B0971"/>
    <w:rsid w:val="003B2E10"/>
    <w:rsid w:val="003B7F08"/>
    <w:rsid w:val="003C0269"/>
    <w:rsid w:val="003C28DE"/>
    <w:rsid w:val="003C4181"/>
    <w:rsid w:val="003C4B5B"/>
    <w:rsid w:val="003C4EBA"/>
    <w:rsid w:val="003C7585"/>
    <w:rsid w:val="003E0C8F"/>
    <w:rsid w:val="003E2A7B"/>
    <w:rsid w:val="003E6140"/>
    <w:rsid w:val="003E7DB8"/>
    <w:rsid w:val="003F24ED"/>
    <w:rsid w:val="003F2661"/>
    <w:rsid w:val="003F284C"/>
    <w:rsid w:val="003F4B1B"/>
    <w:rsid w:val="003F5056"/>
    <w:rsid w:val="004008F4"/>
    <w:rsid w:val="00402017"/>
    <w:rsid w:val="00402795"/>
    <w:rsid w:val="00405868"/>
    <w:rsid w:val="00406742"/>
    <w:rsid w:val="0041017A"/>
    <w:rsid w:val="0041358F"/>
    <w:rsid w:val="0041373C"/>
    <w:rsid w:val="00414804"/>
    <w:rsid w:val="00417682"/>
    <w:rsid w:val="00421730"/>
    <w:rsid w:val="00423C6D"/>
    <w:rsid w:val="00436367"/>
    <w:rsid w:val="00440E59"/>
    <w:rsid w:val="004523CF"/>
    <w:rsid w:val="004568D3"/>
    <w:rsid w:val="00460533"/>
    <w:rsid w:val="00462C78"/>
    <w:rsid w:val="004674A0"/>
    <w:rsid w:val="00473445"/>
    <w:rsid w:val="00473880"/>
    <w:rsid w:val="004776C6"/>
    <w:rsid w:val="00477D1E"/>
    <w:rsid w:val="00480D0A"/>
    <w:rsid w:val="00486088"/>
    <w:rsid w:val="00490059"/>
    <w:rsid w:val="0049262C"/>
    <w:rsid w:val="00492DD3"/>
    <w:rsid w:val="00492EA0"/>
    <w:rsid w:val="00493282"/>
    <w:rsid w:val="00494D02"/>
    <w:rsid w:val="004A0724"/>
    <w:rsid w:val="004A2B46"/>
    <w:rsid w:val="004A470F"/>
    <w:rsid w:val="004A663E"/>
    <w:rsid w:val="004A69FD"/>
    <w:rsid w:val="004A7585"/>
    <w:rsid w:val="004A7B29"/>
    <w:rsid w:val="004B04F1"/>
    <w:rsid w:val="004B127B"/>
    <w:rsid w:val="004B16F1"/>
    <w:rsid w:val="004B4819"/>
    <w:rsid w:val="004C18D8"/>
    <w:rsid w:val="004D7A03"/>
    <w:rsid w:val="004F015F"/>
    <w:rsid w:val="004F36E5"/>
    <w:rsid w:val="004F6C36"/>
    <w:rsid w:val="005029C9"/>
    <w:rsid w:val="00504D6C"/>
    <w:rsid w:val="00512816"/>
    <w:rsid w:val="00513FBE"/>
    <w:rsid w:val="00521260"/>
    <w:rsid w:val="0052127F"/>
    <w:rsid w:val="005225A7"/>
    <w:rsid w:val="00524C5C"/>
    <w:rsid w:val="0053319B"/>
    <w:rsid w:val="00535D0B"/>
    <w:rsid w:val="00537EB0"/>
    <w:rsid w:val="00542490"/>
    <w:rsid w:val="00542F00"/>
    <w:rsid w:val="005503AC"/>
    <w:rsid w:val="00552558"/>
    <w:rsid w:val="005532FE"/>
    <w:rsid w:val="00556CA9"/>
    <w:rsid w:val="00561D77"/>
    <w:rsid w:val="00565597"/>
    <w:rsid w:val="0056734D"/>
    <w:rsid w:val="00567FC4"/>
    <w:rsid w:val="00570C13"/>
    <w:rsid w:val="00573B1C"/>
    <w:rsid w:val="005746E5"/>
    <w:rsid w:val="00576B2B"/>
    <w:rsid w:val="00577662"/>
    <w:rsid w:val="00580876"/>
    <w:rsid w:val="005808E1"/>
    <w:rsid w:val="00580C2C"/>
    <w:rsid w:val="005826AC"/>
    <w:rsid w:val="005873BA"/>
    <w:rsid w:val="00587828"/>
    <w:rsid w:val="00590222"/>
    <w:rsid w:val="00591898"/>
    <w:rsid w:val="00595298"/>
    <w:rsid w:val="005A1B1E"/>
    <w:rsid w:val="005A298B"/>
    <w:rsid w:val="005A449B"/>
    <w:rsid w:val="005A5EC8"/>
    <w:rsid w:val="005A7141"/>
    <w:rsid w:val="005B1461"/>
    <w:rsid w:val="005B44EF"/>
    <w:rsid w:val="005B6746"/>
    <w:rsid w:val="005C3763"/>
    <w:rsid w:val="005C428F"/>
    <w:rsid w:val="005C65F8"/>
    <w:rsid w:val="005D10ED"/>
    <w:rsid w:val="005D278A"/>
    <w:rsid w:val="005D5266"/>
    <w:rsid w:val="005E0871"/>
    <w:rsid w:val="005E0BA7"/>
    <w:rsid w:val="005E10AF"/>
    <w:rsid w:val="005E2063"/>
    <w:rsid w:val="005E2612"/>
    <w:rsid w:val="005E2A1C"/>
    <w:rsid w:val="005E453C"/>
    <w:rsid w:val="005E6143"/>
    <w:rsid w:val="005E69C4"/>
    <w:rsid w:val="005F027E"/>
    <w:rsid w:val="005F23ED"/>
    <w:rsid w:val="005F5050"/>
    <w:rsid w:val="00601BA1"/>
    <w:rsid w:val="00604CEE"/>
    <w:rsid w:val="0060546E"/>
    <w:rsid w:val="006104B4"/>
    <w:rsid w:val="006158C2"/>
    <w:rsid w:val="00617BDD"/>
    <w:rsid w:val="00623E5F"/>
    <w:rsid w:val="00624110"/>
    <w:rsid w:val="0063340B"/>
    <w:rsid w:val="0063447B"/>
    <w:rsid w:val="00637A8F"/>
    <w:rsid w:val="00640064"/>
    <w:rsid w:val="0064108D"/>
    <w:rsid w:val="006418F8"/>
    <w:rsid w:val="00642408"/>
    <w:rsid w:val="00643BB6"/>
    <w:rsid w:val="00647FB9"/>
    <w:rsid w:val="00654616"/>
    <w:rsid w:val="006569FC"/>
    <w:rsid w:val="006637A5"/>
    <w:rsid w:val="006651F3"/>
    <w:rsid w:val="00666263"/>
    <w:rsid w:val="00667410"/>
    <w:rsid w:val="00672F5D"/>
    <w:rsid w:val="006741FD"/>
    <w:rsid w:val="00674BEB"/>
    <w:rsid w:val="00674F1D"/>
    <w:rsid w:val="00675481"/>
    <w:rsid w:val="00675930"/>
    <w:rsid w:val="00675CDD"/>
    <w:rsid w:val="00676CF4"/>
    <w:rsid w:val="00676D84"/>
    <w:rsid w:val="0068224E"/>
    <w:rsid w:val="006824CE"/>
    <w:rsid w:val="0068598A"/>
    <w:rsid w:val="00687158"/>
    <w:rsid w:val="006874B0"/>
    <w:rsid w:val="00687794"/>
    <w:rsid w:val="006908C1"/>
    <w:rsid w:val="0069407B"/>
    <w:rsid w:val="00695827"/>
    <w:rsid w:val="006A1047"/>
    <w:rsid w:val="006A3431"/>
    <w:rsid w:val="006A56B9"/>
    <w:rsid w:val="006A6B93"/>
    <w:rsid w:val="006A7254"/>
    <w:rsid w:val="006A7F8F"/>
    <w:rsid w:val="006B1C15"/>
    <w:rsid w:val="006B710B"/>
    <w:rsid w:val="006C015B"/>
    <w:rsid w:val="006C419C"/>
    <w:rsid w:val="006C5283"/>
    <w:rsid w:val="006D406A"/>
    <w:rsid w:val="006E4AE4"/>
    <w:rsid w:val="006E7CC5"/>
    <w:rsid w:val="006F09C1"/>
    <w:rsid w:val="006F1361"/>
    <w:rsid w:val="006F1F62"/>
    <w:rsid w:val="006F22CE"/>
    <w:rsid w:val="006F2303"/>
    <w:rsid w:val="006F2990"/>
    <w:rsid w:val="006F41EF"/>
    <w:rsid w:val="006F44FD"/>
    <w:rsid w:val="006F63ED"/>
    <w:rsid w:val="0070008C"/>
    <w:rsid w:val="00706E49"/>
    <w:rsid w:val="0071473B"/>
    <w:rsid w:val="0071518C"/>
    <w:rsid w:val="00721E57"/>
    <w:rsid w:val="00723229"/>
    <w:rsid w:val="00724F7A"/>
    <w:rsid w:val="00733699"/>
    <w:rsid w:val="00740251"/>
    <w:rsid w:val="00742593"/>
    <w:rsid w:val="00742F27"/>
    <w:rsid w:val="00743735"/>
    <w:rsid w:val="00744F19"/>
    <w:rsid w:val="0074699B"/>
    <w:rsid w:val="00750161"/>
    <w:rsid w:val="00754226"/>
    <w:rsid w:val="007563DA"/>
    <w:rsid w:val="00756542"/>
    <w:rsid w:val="00757573"/>
    <w:rsid w:val="00761873"/>
    <w:rsid w:val="00762B18"/>
    <w:rsid w:val="00763D7D"/>
    <w:rsid w:val="00765635"/>
    <w:rsid w:val="0077346F"/>
    <w:rsid w:val="00775403"/>
    <w:rsid w:val="00776541"/>
    <w:rsid w:val="00777F73"/>
    <w:rsid w:val="00780058"/>
    <w:rsid w:val="007829A4"/>
    <w:rsid w:val="00782FD8"/>
    <w:rsid w:val="00786EA8"/>
    <w:rsid w:val="00791D93"/>
    <w:rsid w:val="00795517"/>
    <w:rsid w:val="00795975"/>
    <w:rsid w:val="0079667B"/>
    <w:rsid w:val="007A2962"/>
    <w:rsid w:val="007A3889"/>
    <w:rsid w:val="007A5B57"/>
    <w:rsid w:val="007A7A53"/>
    <w:rsid w:val="007A7B4F"/>
    <w:rsid w:val="007A7E4F"/>
    <w:rsid w:val="007B28EB"/>
    <w:rsid w:val="007B2F58"/>
    <w:rsid w:val="007B64D2"/>
    <w:rsid w:val="007C035D"/>
    <w:rsid w:val="007C20CB"/>
    <w:rsid w:val="007C2474"/>
    <w:rsid w:val="007C3E2F"/>
    <w:rsid w:val="007C4CBE"/>
    <w:rsid w:val="007C54F4"/>
    <w:rsid w:val="007C5C66"/>
    <w:rsid w:val="007D3764"/>
    <w:rsid w:val="007D7EB7"/>
    <w:rsid w:val="007E47B7"/>
    <w:rsid w:val="007E5E93"/>
    <w:rsid w:val="007E6451"/>
    <w:rsid w:val="007E6A17"/>
    <w:rsid w:val="007F0539"/>
    <w:rsid w:val="007F0F2D"/>
    <w:rsid w:val="007F6D20"/>
    <w:rsid w:val="007F7E2F"/>
    <w:rsid w:val="0080439B"/>
    <w:rsid w:val="00804C13"/>
    <w:rsid w:val="00806F0B"/>
    <w:rsid w:val="00810190"/>
    <w:rsid w:val="00814298"/>
    <w:rsid w:val="00815A30"/>
    <w:rsid w:val="00817494"/>
    <w:rsid w:val="00831328"/>
    <w:rsid w:val="00832035"/>
    <w:rsid w:val="00833193"/>
    <w:rsid w:val="00840942"/>
    <w:rsid w:val="008421A4"/>
    <w:rsid w:val="00844458"/>
    <w:rsid w:val="00852B20"/>
    <w:rsid w:val="00861352"/>
    <w:rsid w:val="00861978"/>
    <w:rsid w:val="00861F08"/>
    <w:rsid w:val="00862C83"/>
    <w:rsid w:val="00864C31"/>
    <w:rsid w:val="00865F84"/>
    <w:rsid w:val="00866B42"/>
    <w:rsid w:val="008704B0"/>
    <w:rsid w:val="008707F7"/>
    <w:rsid w:val="008762AA"/>
    <w:rsid w:val="00877E3D"/>
    <w:rsid w:val="0089383B"/>
    <w:rsid w:val="00894F50"/>
    <w:rsid w:val="008970F0"/>
    <w:rsid w:val="00897D56"/>
    <w:rsid w:val="008A066E"/>
    <w:rsid w:val="008A071E"/>
    <w:rsid w:val="008A1EC1"/>
    <w:rsid w:val="008A2A3A"/>
    <w:rsid w:val="008A2BE3"/>
    <w:rsid w:val="008A3D48"/>
    <w:rsid w:val="008B1290"/>
    <w:rsid w:val="008B44F6"/>
    <w:rsid w:val="008B57C2"/>
    <w:rsid w:val="008C4DC0"/>
    <w:rsid w:val="008C5904"/>
    <w:rsid w:val="008C6484"/>
    <w:rsid w:val="008C754C"/>
    <w:rsid w:val="008C7B0E"/>
    <w:rsid w:val="008D7F08"/>
    <w:rsid w:val="008E581B"/>
    <w:rsid w:val="008E6640"/>
    <w:rsid w:val="008E736E"/>
    <w:rsid w:val="008F1A42"/>
    <w:rsid w:val="008F26E0"/>
    <w:rsid w:val="008F2D03"/>
    <w:rsid w:val="008F367E"/>
    <w:rsid w:val="008F3B50"/>
    <w:rsid w:val="008F4B77"/>
    <w:rsid w:val="009015E6"/>
    <w:rsid w:val="00903746"/>
    <w:rsid w:val="0090412E"/>
    <w:rsid w:val="0091211A"/>
    <w:rsid w:val="00912E03"/>
    <w:rsid w:val="0091763C"/>
    <w:rsid w:val="00920E55"/>
    <w:rsid w:val="00921E0B"/>
    <w:rsid w:val="009238E0"/>
    <w:rsid w:val="0092638B"/>
    <w:rsid w:val="00926397"/>
    <w:rsid w:val="00927706"/>
    <w:rsid w:val="00927D0E"/>
    <w:rsid w:val="009301C9"/>
    <w:rsid w:val="009311D3"/>
    <w:rsid w:val="00933C67"/>
    <w:rsid w:val="00935EF6"/>
    <w:rsid w:val="00940F06"/>
    <w:rsid w:val="009414EF"/>
    <w:rsid w:val="0094321F"/>
    <w:rsid w:val="00946C5C"/>
    <w:rsid w:val="00947941"/>
    <w:rsid w:val="009504CD"/>
    <w:rsid w:val="00950AB0"/>
    <w:rsid w:val="00951DA4"/>
    <w:rsid w:val="00953531"/>
    <w:rsid w:val="0095377F"/>
    <w:rsid w:val="009545F4"/>
    <w:rsid w:val="00955B09"/>
    <w:rsid w:val="00960751"/>
    <w:rsid w:val="00965EFF"/>
    <w:rsid w:val="00967156"/>
    <w:rsid w:val="00967703"/>
    <w:rsid w:val="009700B4"/>
    <w:rsid w:val="009724E8"/>
    <w:rsid w:val="00974548"/>
    <w:rsid w:val="00981B17"/>
    <w:rsid w:val="009826DE"/>
    <w:rsid w:val="0098338E"/>
    <w:rsid w:val="0098579A"/>
    <w:rsid w:val="009870E6"/>
    <w:rsid w:val="0099124C"/>
    <w:rsid w:val="009935B0"/>
    <w:rsid w:val="009965D4"/>
    <w:rsid w:val="009A0232"/>
    <w:rsid w:val="009A04B5"/>
    <w:rsid w:val="009A10DF"/>
    <w:rsid w:val="009A2AC1"/>
    <w:rsid w:val="009A36FE"/>
    <w:rsid w:val="009A54EB"/>
    <w:rsid w:val="009B2A8A"/>
    <w:rsid w:val="009B4ADC"/>
    <w:rsid w:val="009B6E4F"/>
    <w:rsid w:val="009C1F9A"/>
    <w:rsid w:val="009C6A10"/>
    <w:rsid w:val="009D249B"/>
    <w:rsid w:val="009D2628"/>
    <w:rsid w:val="009E1A0F"/>
    <w:rsid w:val="009E1BE6"/>
    <w:rsid w:val="009E308B"/>
    <w:rsid w:val="009E5349"/>
    <w:rsid w:val="009F4DC3"/>
    <w:rsid w:val="009F5537"/>
    <w:rsid w:val="009F5BEB"/>
    <w:rsid w:val="009F684A"/>
    <w:rsid w:val="009F7841"/>
    <w:rsid w:val="00A0057A"/>
    <w:rsid w:val="00A023C8"/>
    <w:rsid w:val="00A03DAB"/>
    <w:rsid w:val="00A04267"/>
    <w:rsid w:val="00A11A7D"/>
    <w:rsid w:val="00A12ED7"/>
    <w:rsid w:val="00A13D59"/>
    <w:rsid w:val="00A16DB3"/>
    <w:rsid w:val="00A20AE1"/>
    <w:rsid w:val="00A22B95"/>
    <w:rsid w:val="00A22BE5"/>
    <w:rsid w:val="00A23FD3"/>
    <w:rsid w:val="00A24912"/>
    <w:rsid w:val="00A253F0"/>
    <w:rsid w:val="00A2659C"/>
    <w:rsid w:val="00A2680A"/>
    <w:rsid w:val="00A305EE"/>
    <w:rsid w:val="00A3324A"/>
    <w:rsid w:val="00A34C84"/>
    <w:rsid w:val="00A3586F"/>
    <w:rsid w:val="00A36C67"/>
    <w:rsid w:val="00A37F5B"/>
    <w:rsid w:val="00A401AB"/>
    <w:rsid w:val="00A43DC0"/>
    <w:rsid w:val="00A4442B"/>
    <w:rsid w:val="00A4487B"/>
    <w:rsid w:val="00A44CBD"/>
    <w:rsid w:val="00A538A4"/>
    <w:rsid w:val="00A53F0E"/>
    <w:rsid w:val="00A57EC6"/>
    <w:rsid w:val="00A605B9"/>
    <w:rsid w:val="00A61ABE"/>
    <w:rsid w:val="00A61FC6"/>
    <w:rsid w:val="00A63194"/>
    <w:rsid w:val="00A6337F"/>
    <w:rsid w:val="00A664FD"/>
    <w:rsid w:val="00A676A1"/>
    <w:rsid w:val="00A701AA"/>
    <w:rsid w:val="00A7186C"/>
    <w:rsid w:val="00A71A83"/>
    <w:rsid w:val="00A7213A"/>
    <w:rsid w:val="00A72E3D"/>
    <w:rsid w:val="00A73E2C"/>
    <w:rsid w:val="00A74970"/>
    <w:rsid w:val="00A82995"/>
    <w:rsid w:val="00A82EFF"/>
    <w:rsid w:val="00A9250B"/>
    <w:rsid w:val="00A95C87"/>
    <w:rsid w:val="00A97520"/>
    <w:rsid w:val="00A97B78"/>
    <w:rsid w:val="00AA0122"/>
    <w:rsid w:val="00AA2221"/>
    <w:rsid w:val="00AA267D"/>
    <w:rsid w:val="00AA3D30"/>
    <w:rsid w:val="00AA47C4"/>
    <w:rsid w:val="00AA598D"/>
    <w:rsid w:val="00AB05BF"/>
    <w:rsid w:val="00AB0D9D"/>
    <w:rsid w:val="00AB1D39"/>
    <w:rsid w:val="00AB1D87"/>
    <w:rsid w:val="00AB1FD6"/>
    <w:rsid w:val="00AB2EA5"/>
    <w:rsid w:val="00AB4CA6"/>
    <w:rsid w:val="00AB551D"/>
    <w:rsid w:val="00AB6DD6"/>
    <w:rsid w:val="00AC1DAD"/>
    <w:rsid w:val="00AC2143"/>
    <w:rsid w:val="00AC33B5"/>
    <w:rsid w:val="00AC449E"/>
    <w:rsid w:val="00AC543D"/>
    <w:rsid w:val="00AC7015"/>
    <w:rsid w:val="00AD7596"/>
    <w:rsid w:val="00AE0A75"/>
    <w:rsid w:val="00AE18CC"/>
    <w:rsid w:val="00AE40DB"/>
    <w:rsid w:val="00AE75ED"/>
    <w:rsid w:val="00AF249D"/>
    <w:rsid w:val="00B022B8"/>
    <w:rsid w:val="00B02C6B"/>
    <w:rsid w:val="00B06AE3"/>
    <w:rsid w:val="00B0710E"/>
    <w:rsid w:val="00B07392"/>
    <w:rsid w:val="00B110CF"/>
    <w:rsid w:val="00B121D4"/>
    <w:rsid w:val="00B12DAD"/>
    <w:rsid w:val="00B13AC0"/>
    <w:rsid w:val="00B16766"/>
    <w:rsid w:val="00B167E8"/>
    <w:rsid w:val="00B21021"/>
    <w:rsid w:val="00B2442B"/>
    <w:rsid w:val="00B337BC"/>
    <w:rsid w:val="00B33A9A"/>
    <w:rsid w:val="00B374ED"/>
    <w:rsid w:val="00B40ADB"/>
    <w:rsid w:val="00B43B5F"/>
    <w:rsid w:val="00B44AF7"/>
    <w:rsid w:val="00B45A99"/>
    <w:rsid w:val="00B50E5A"/>
    <w:rsid w:val="00B51ED2"/>
    <w:rsid w:val="00B52812"/>
    <w:rsid w:val="00B54A3E"/>
    <w:rsid w:val="00B55F90"/>
    <w:rsid w:val="00B60044"/>
    <w:rsid w:val="00B60B9F"/>
    <w:rsid w:val="00B645AA"/>
    <w:rsid w:val="00B65153"/>
    <w:rsid w:val="00B6784E"/>
    <w:rsid w:val="00B73150"/>
    <w:rsid w:val="00B76823"/>
    <w:rsid w:val="00B809A7"/>
    <w:rsid w:val="00B80C1C"/>
    <w:rsid w:val="00B81E21"/>
    <w:rsid w:val="00B82BC3"/>
    <w:rsid w:val="00B83E1E"/>
    <w:rsid w:val="00B845B6"/>
    <w:rsid w:val="00B8498D"/>
    <w:rsid w:val="00B92441"/>
    <w:rsid w:val="00B94F0D"/>
    <w:rsid w:val="00B9683F"/>
    <w:rsid w:val="00BA3210"/>
    <w:rsid w:val="00BA36E0"/>
    <w:rsid w:val="00BB08D5"/>
    <w:rsid w:val="00BB4DC4"/>
    <w:rsid w:val="00BB6D00"/>
    <w:rsid w:val="00BC7C31"/>
    <w:rsid w:val="00BD0D36"/>
    <w:rsid w:val="00BD5C45"/>
    <w:rsid w:val="00BD5E69"/>
    <w:rsid w:val="00BD7F35"/>
    <w:rsid w:val="00BE14CE"/>
    <w:rsid w:val="00BE4249"/>
    <w:rsid w:val="00BE4C68"/>
    <w:rsid w:val="00BE501B"/>
    <w:rsid w:val="00BE6B09"/>
    <w:rsid w:val="00BF03B9"/>
    <w:rsid w:val="00BF4E2D"/>
    <w:rsid w:val="00BF6C52"/>
    <w:rsid w:val="00BF7856"/>
    <w:rsid w:val="00C03FEF"/>
    <w:rsid w:val="00C053D1"/>
    <w:rsid w:val="00C11BFD"/>
    <w:rsid w:val="00C1396B"/>
    <w:rsid w:val="00C203BA"/>
    <w:rsid w:val="00C20F5A"/>
    <w:rsid w:val="00C21BB6"/>
    <w:rsid w:val="00C227F8"/>
    <w:rsid w:val="00C233AA"/>
    <w:rsid w:val="00C24311"/>
    <w:rsid w:val="00C25617"/>
    <w:rsid w:val="00C34A02"/>
    <w:rsid w:val="00C34F47"/>
    <w:rsid w:val="00C35C20"/>
    <w:rsid w:val="00C402F9"/>
    <w:rsid w:val="00C42E85"/>
    <w:rsid w:val="00C470F6"/>
    <w:rsid w:val="00C545AD"/>
    <w:rsid w:val="00C55791"/>
    <w:rsid w:val="00C55DA3"/>
    <w:rsid w:val="00C55E47"/>
    <w:rsid w:val="00C57C63"/>
    <w:rsid w:val="00C65E45"/>
    <w:rsid w:val="00C67A3E"/>
    <w:rsid w:val="00C67A86"/>
    <w:rsid w:val="00C70748"/>
    <w:rsid w:val="00C71AB6"/>
    <w:rsid w:val="00C77D36"/>
    <w:rsid w:val="00C81156"/>
    <w:rsid w:val="00C8229C"/>
    <w:rsid w:val="00C901F1"/>
    <w:rsid w:val="00C90270"/>
    <w:rsid w:val="00C910EF"/>
    <w:rsid w:val="00C96F18"/>
    <w:rsid w:val="00C97796"/>
    <w:rsid w:val="00CA114A"/>
    <w:rsid w:val="00CA4BA6"/>
    <w:rsid w:val="00CA6470"/>
    <w:rsid w:val="00CB2066"/>
    <w:rsid w:val="00CC27FA"/>
    <w:rsid w:val="00CC44AD"/>
    <w:rsid w:val="00CC5EF3"/>
    <w:rsid w:val="00CC7C86"/>
    <w:rsid w:val="00CD6AD8"/>
    <w:rsid w:val="00CE1BD7"/>
    <w:rsid w:val="00CE3608"/>
    <w:rsid w:val="00CE3717"/>
    <w:rsid w:val="00CE7BB4"/>
    <w:rsid w:val="00CF39D9"/>
    <w:rsid w:val="00CF510E"/>
    <w:rsid w:val="00D004F0"/>
    <w:rsid w:val="00D02E6E"/>
    <w:rsid w:val="00D03DC2"/>
    <w:rsid w:val="00D05028"/>
    <w:rsid w:val="00D0562B"/>
    <w:rsid w:val="00D066D9"/>
    <w:rsid w:val="00D11D3C"/>
    <w:rsid w:val="00D14FDF"/>
    <w:rsid w:val="00D16543"/>
    <w:rsid w:val="00D165E8"/>
    <w:rsid w:val="00D1660C"/>
    <w:rsid w:val="00D16E34"/>
    <w:rsid w:val="00D176AF"/>
    <w:rsid w:val="00D17F21"/>
    <w:rsid w:val="00D2050A"/>
    <w:rsid w:val="00D20F64"/>
    <w:rsid w:val="00D238C2"/>
    <w:rsid w:val="00D25B3E"/>
    <w:rsid w:val="00D26227"/>
    <w:rsid w:val="00D3075A"/>
    <w:rsid w:val="00D35AA4"/>
    <w:rsid w:val="00D42B17"/>
    <w:rsid w:val="00D448B8"/>
    <w:rsid w:val="00D46F9C"/>
    <w:rsid w:val="00D471D8"/>
    <w:rsid w:val="00D47F00"/>
    <w:rsid w:val="00D513EC"/>
    <w:rsid w:val="00D544CD"/>
    <w:rsid w:val="00D55025"/>
    <w:rsid w:val="00D57EFD"/>
    <w:rsid w:val="00D611EE"/>
    <w:rsid w:val="00D61318"/>
    <w:rsid w:val="00D61A85"/>
    <w:rsid w:val="00D641FC"/>
    <w:rsid w:val="00D65BB6"/>
    <w:rsid w:val="00D67821"/>
    <w:rsid w:val="00D70E3F"/>
    <w:rsid w:val="00D7280F"/>
    <w:rsid w:val="00D73470"/>
    <w:rsid w:val="00D73576"/>
    <w:rsid w:val="00D81F50"/>
    <w:rsid w:val="00D84150"/>
    <w:rsid w:val="00D9010D"/>
    <w:rsid w:val="00D90545"/>
    <w:rsid w:val="00D940E7"/>
    <w:rsid w:val="00D968B1"/>
    <w:rsid w:val="00DA0755"/>
    <w:rsid w:val="00DA0B56"/>
    <w:rsid w:val="00DA5B7A"/>
    <w:rsid w:val="00DA7C78"/>
    <w:rsid w:val="00DC4065"/>
    <w:rsid w:val="00DC540F"/>
    <w:rsid w:val="00DD36DB"/>
    <w:rsid w:val="00DD514F"/>
    <w:rsid w:val="00DD54C9"/>
    <w:rsid w:val="00DD5A3E"/>
    <w:rsid w:val="00DD5A77"/>
    <w:rsid w:val="00DE1160"/>
    <w:rsid w:val="00DE280F"/>
    <w:rsid w:val="00DE36A4"/>
    <w:rsid w:val="00DE3A16"/>
    <w:rsid w:val="00DF0B25"/>
    <w:rsid w:val="00DF1050"/>
    <w:rsid w:val="00DF128F"/>
    <w:rsid w:val="00DF5F68"/>
    <w:rsid w:val="00DF7E74"/>
    <w:rsid w:val="00E027A7"/>
    <w:rsid w:val="00E03976"/>
    <w:rsid w:val="00E056A9"/>
    <w:rsid w:val="00E06E2B"/>
    <w:rsid w:val="00E104F1"/>
    <w:rsid w:val="00E12C90"/>
    <w:rsid w:val="00E16C5B"/>
    <w:rsid w:val="00E17844"/>
    <w:rsid w:val="00E213DD"/>
    <w:rsid w:val="00E243E4"/>
    <w:rsid w:val="00E25624"/>
    <w:rsid w:val="00E268BB"/>
    <w:rsid w:val="00E30FC3"/>
    <w:rsid w:val="00E310D7"/>
    <w:rsid w:val="00E32FAD"/>
    <w:rsid w:val="00E36575"/>
    <w:rsid w:val="00E37325"/>
    <w:rsid w:val="00E401B8"/>
    <w:rsid w:val="00E40E15"/>
    <w:rsid w:val="00E41E9E"/>
    <w:rsid w:val="00E431CB"/>
    <w:rsid w:val="00E43C36"/>
    <w:rsid w:val="00E45DCA"/>
    <w:rsid w:val="00E4621F"/>
    <w:rsid w:val="00E510B6"/>
    <w:rsid w:val="00E51759"/>
    <w:rsid w:val="00E53571"/>
    <w:rsid w:val="00E54158"/>
    <w:rsid w:val="00E555BD"/>
    <w:rsid w:val="00E555EB"/>
    <w:rsid w:val="00E619E6"/>
    <w:rsid w:val="00E62F06"/>
    <w:rsid w:val="00E654C8"/>
    <w:rsid w:val="00E67517"/>
    <w:rsid w:val="00E70DC2"/>
    <w:rsid w:val="00E752CD"/>
    <w:rsid w:val="00E76E78"/>
    <w:rsid w:val="00E77278"/>
    <w:rsid w:val="00E77529"/>
    <w:rsid w:val="00E81E6A"/>
    <w:rsid w:val="00E83C96"/>
    <w:rsid w:val="00E86C55"/>
    <w:rsid w:val="00E8730D"/>
    <w:rsid w:val="00E908DC"/>
    <w:rsid w:val="00E91A96"/>
    <w:rsid w:val="00E93F50"/>
    <w:rsid w:val="00E944F9"/>
    <w:rsid w:val="00E94C23"/>
    <w:rsid w:val="00E96436"/>
    <w:rsid w:val="00E97B7B"/>
    <w:rsid w:val="00E97FB0"/>
    <w:rsid w:val="00EA0B8A"/>
    <w:rsid w:val="00EA2553"/>
    <w:rsid w:val="00EA29E6"/>
    <w:rsid w:val="00EB40AC"/>
    <w:rsid w:val="00EB626A"/>
    <w:rsid w:val="00EC0DEA"/>
    <w:rsid w:val="00EC2391"/>
    <w:rsid w:val="00EC2586"/>
    <w:rsid w:val="00EC3F70"/>
    <w:rsid w:val="00EC7B39"/>
    <w:rsid w:val="00ED0250"/>
    <w:rsid w:val="00ED188F"/>
    <w:rsid w:val="00EE0418"/>
    <w:rsid w:val="00EE2277"/>
    <w:rsid w:val="00EE22CC"/>
    <w:rsid w:val="00EE4A7E"/>
    <w:rsid w:val="00EE7FC9"/>
    <w:rsid w:val="00EF0A46"/>
    <w:rsid w:val="00EF13A4"/>
    <w:rsid w:val="00EF3C49"/>
    <w:rsid w:val="00EF55CE"/>
    <w:rsid w:val="00EF74B0"/>
    <w:rsid w:val="00F04981"/>
    <w:rsid w:val="00F04C1E"/>
    <w:rsid w:val="00F06C44"/>
    <w:rsid w:val="00F079D5"/>
    <w:rsid w:val="00F110D4"/>
    <w:rsid w:val="00F12224"/>
    <w:rsid w:val="00F1386C"/>
    <w:rsid w:val="00F166D8"/>
    <w:rsid w:val="00F16F49"/>
    <w:rsid w:val="00F22761"/>
    <w:rsid w:val="00F22A3D"/>
    <w:rsid w:val="00F252AC"/>
    <w:rsid w:val="00F264C4"/>
    <w:rsid w:val="00F26AB3"/>
    <w:rsid w:val="00F26DE0"/>
    <w:rsid w:val="00F26EB2"/>
    <w:rsid w:val="00F3154B"/>
    <w:rsid w:val="00F32D13"/>
    <w:rsid w:val="00F34887"/>
    <w:rsid w:val="00F42125"/>
    <w:rsid w:val="00F43E4C"/>
    <w:rsid w:val="00F51B83"/>
    <w:rsid w:val="00F5423D"/>
    <w:rsid w:val="00F60031"/>
    <w:rsid w:val="00F600DE"/>
    <w:rsid w:val="00F608E7"/>
    <w:rsid w:val="00F623A2"/>
    <w:rsid w:val="00F63BE8"/>
    <w:rsid w:val="00F663C4"/>
    <w:rsid w:val="00F6645D"/>
    <w:rsid w:val="00F67B59"/>
    <w:rsid w:val="00F7421E"/>
    <w:rsid w:val="00F7701A"/>
    <w:rsid w:val="00F84DFE"/>
    <w:rsid w:val="00F87DF3"/>
    <w:rsid w:val="00F925BE"/>
    <w:rsid w:val="00F932F6"/>
    <w:rsid w:val="00FA098E"/>
    <w:rsid w:val="00FA1C98"/>
    <w:rsid w:val="00FA2741"/>
    <w:rsid w:val="00FB1A47"/>
    <w:rsid w:val="00FB32B8"/>
    <w:rsid w:val="00FB36F0"/>
    <w:rsid w:val="00FC2BAA"/>
    <w:rsid w:val="00FC2BD5"/>
    <w:rsid w:val="00FC3288"/>
    <w:rsid w:val="00FC4E57"/>
    <w:rsid w:val="00FC5B88"/>
    <w:rsid w:val="00FC6C93"/>
    <w:rsid w:val="00FD22B2"/>
    <w:rsid w:val="00FD2589"/>
    <w:rsid w:val="00FE6762"/>
    <w:rsid w:val="00FF436D"/>
    <w:rsid w:val="00FF636C"/>
    <w:rsid w:val="010D520E"/>
    <w:rsid w:val="011B6997"/>
    <w:rsid w:val="01290FAF"/>
    <w:rsid w:val="0135185E"/>
    <w:rsid w:val="015123B9"/>
    <w:rsid w:val="015B4FE6"/>
    <w:rsid w:val="015C48BA"/>
    <w:rsid w:val="016A5229"/>
    <w:rsid w:val="018502B5"/>
    <w:rsid w:val="01861726"/>
    <w:rsid w:val="019A3271"/>
    <w:rsid w:val="019C3329"/>
    <w:rsid w:val="01DC76FE"/>
    <w:rsid w:val="01F42D45"/>
    <w:rsid w:val="020C746E"/>
    <w:rsid w:val="020C74BE"/>
    <w:rsid w:val="021A09FD"/>
    <w:rsid w:val="02213A8C"/>
    <w:rsid w:val="024E06A7"/>
    <w:rsid w:val="025263E9"/>
    <w:rsid w:val="025739FF"/>
    <w:rsid w:val="02587777"/>
    <w:rsid w:val="026B3007"/>
    <w:rsid w:val="026F7E90"/>
    <w:rsid w:val="027323B1"/>
    <w:rsid w:val="027D71DE"/>
    <w:rsid w:val="027F1500"/>
    <w:rsid w:val="028B36A9"/>
    <w:rsid w:val="029D518A"/>
    <w:rsid w:val="02AD1871"/>
    <w:rsid w:val="02C924C2"/>
    <w:rsid w:val="02DA4630"/>
    <w:rsid w:val="02E110AF"/>
    <w:rsid w:val="02E5725D"/>
    <w:rsid w:val="02F32FFC"/>
    <w:rsid w:val="02F3589D"/>
    <w:rsid w:val="0313544C"/>
    <w:rsid w:val="03183962"/>
    <w:rsid w:val="0340565D"/>
    <w:rsid w:val="0343163D"/>
    <w:rsid w:val="034A5312"/>
    <w:rsid w:val="035E4919"/>
    <w:rsid w:val="03800D34"/>
    <w:rsid w:val="038F71C9"/>
    <w:rsid w:val="039667A9"/>
    <w:rsid w:val="03A34A22"/>
    <w:rsid w:val="03B629A7"/>
    <w:rsid w:val="04041965"/>
    <w:rsid w:val="04090D29"/>
    <w:rsid w:val="04117261"/>
    <w:rsid w:val="0430275A"/>
    <w:rsid w:val="04333C79"/>
    <w:rsid w:val="04447FB3"/>
    <w:rsid w:val="04503ABF"/>
    <w:rsid w:val="0455426B"/>
    <w:rsid w:val="04673CA2"/>
    <w:rsid w:val="046F5C20"/>
    <w:rsid w:val="04877EA0"/>
    <w:rsid w:val="04BE235F"/>
    <w:rsid w:val="04D70E27"/>
    <w:rsid w:val="04D74983"/>
    <w:rsid w:val="04FD0162"/>
    <w:rsid w:val="05017C52"/>
    <w:rsid w:val="050414F1"/>
    <w:rsid w:val="05290F57"/>
    <w:rsid w:val="05322502"/>
    <w:rsid w:val="05340028"/>
    <w:rsid w:val="053F077B"/>
    <w:rsid w:val="053F32F8"/>
    <w:rsid w:val="05412D52"/>
    <w:rsid w:val="05595CE0"/>
    <w:rsid w:val="05736D39"/>
    <w:rsid w:val="05A607FA"/>
    <w:rsid w:val="05A83628"/>
    <w:rsid w:val="05B41169"/>
    <w:rsid w:val="05B64EE1"/>
    <w:rsid w:val="05D15877"/>
    <w:rsid w:val="05FE23E4"/>
    <w:rsid w:val="06020126"/>
    <w:rsid w:val="060317A8"/>
    <w:rsid w:val="060519C4"/>
    <w:rsid w:val="060F2843"/>
    <w:rsid w:val="06147E59"/>
    <w:rsid w:val="061D2296"/>
    <w:rsid w:val="062074D5"/>
    <w:rsid w:val="06303D23"/>
    <w:rsid w:val="06325F60"/>
    <w:rsid w:val="064222D0"/>
    <w:rsid w:val="064F2C3F"/>
    <w:rsid w:val="065B4D2A"/>
    <w:rsid w:val="066E30C6"/>
    <w:rsid w:val="067A7CBC"/>
    <w:rsid w:val="067B3A34"/>
    <w:rsid w:val="068943A3"/>
    <w:rsid w:val="069F3BC7"/>
    <w:rsid w:val="06DB44D3"/>
    <w:rsid w:val="06E15F8D"/>
    <w:rsid w:val="070267DE"/>
    <w:rsid w:val="070677A2"/>
    <w:rsid w:val="0719339D"/>
    <w:rsid w:val="07247C28"/>
    <w:rsid w:val="073836D3"/>
    <w:rsid w:val="073F4A62"/>
    <w:rsid w:val="07465DF0"/>
    <w:rsid w:val="0749768F"/>
    <w:rsid w:val="07936146"/>
    <w:rsid w:val="07A333E6"/>
    <w:rsid w:val="07B0680C"/>
    <w:rsid w:val="07D01B5E"/>
    <w:rsid w:val="07D03CEC"/>
    <w:rsid w:val="07DE071F"/>
    <w:rsid w:val="07EF46DA"/>
    <w:rsid w:val="07F649BF"/>
    <w:rsid w:val="08055CAB"/>
    <w:rsid w:val="0817778D"/>
    <w:rsid w:val="082A74C0"/>
    <w:rsid w:val="082D0D5E"/>
    <w:rsid w:val="08406CE4"/>
    <w:rsid w:val="086329D2"/>
    <w:rsid w:val="086331D8"/>
    <w:rsid w:val="087C5A63"/>
    <w:rsid w:val="088C3CD7"/>
    <w:rsid w:val="089555FD"/>
    <w:rsid w:val="08A65B8C"/>
    <w:rsid w:val="08A7425D"/>
    <w:rsid w:val="08AE633A"/>
    <w:rsid w:val="08C571E9"/>
    <w:rsid w:val="08C6543B"/>
    <w:rsid w:val="08DA1266"/>
    <w:rsid w:val="08E45EE9"/>
    <w:rsid w:val="091066B6"/>
    <w:rsid w:val="091C32AD"/>
    <w:rsid w:val="091E0A77"/>
    <w:rsid w:val="09246605"/>
    <w:rsid w:val="092D5890"/>
    <w:rsid w:val="0935611C"/>
    <w:rsid w:val="093B7794"/>
    <w:rsid w:val="09410F65"/>
    <w:rsid w:val="096506FA"/>
    <w:rsid w:val="096802A0"/>
    <w:rsid w:val="0975698E"/>
    <w:rsid w:val="097C1F9D"/>
    <w:rsid w:val="0992356F"/>
    <w:rsid w:val="09A432A2"/>
    <w:rsid w:val="09AE4489"/>
    <w:rsid w:val="09B47989"/>
    <w:rsid w:val="09E0077E"/>
    <w:rsid w:val="09E71B0D"/>
    <w:rsid w:val="09F935EE"/>
    <w:rsid w:val="0A2C751F"/>
    <w:rsid w:val="0A2F7010"/>
    <w:rsid w:val="0A652A31"/>
    <w:rsid w:val="0A73514E"/>
    <w:rsid w:val="0A740EC6"/>
    <w:rsid w:val="0A8E73B6"/>
    <w:rsid w:val="0A913826"/>
    <w:rsid w:val="0A93759F"/>
    <w:rsid w:val="0AD16319"/>
    <w:rsid w:val="0AE918B4"/>
    <w:rsid w:val="0AEA2667"/>
    <w:rsid w:val="0B09160F"/>
    <w:rsid w:val="0B0A5387"/>
    <w:rsid w:val="0B183F48"/>
    <w:rsid w:val="0B185CF6"/>
    <w:rsid w:val="0B247576"/>
    <w:rsid w:val="0B4C599F"/>
    <w:rsid w:val="0B4E0D82"/>
    <w:rsid w:val="0B941820"/>
    <w:rsid w:val="0BA167DD"/>
    <w:rsid w:val="0BAE0408"/>
    <w:rsid w:val="0BB05F2E"/>
    <w:rsid w:val="0BBF6171"/>
    <w:rsid w:val="0BC1013B"/>
    <w:rsid w:val="0BEB51B8"/>
    <w:rsid w:val="0BF95B27"/>
    <w:rsid w:val="0BFE0DCD"/>
    <w:rsid w:val="0C0D0A99"/>
    <w:rsid w:val="0C13009B"/>
    <w:rsid w:val="0C1956DF"/>
    <w:rsid w:val="0C6602C8"/>
    <w:rsid w:val="0C7358DA"/>
    <w:rsid w:val="0C7C4EA7"/>
    <w:rsid w:val="0C814046"/>
    <w:rsid w:val="0C8F023A"/>
    <w:rsid w:val="0C9910B8"/>
    <w:rsid w:val="0CA667AF"/>
    <w:rsid w:val="0CBE2352"/>
    <w:rsid w:val="0CCD6A6E"/>
    <w:rsid w:val="0CDE6ACB"/>
    <w:rsid w:val="0CF84031"/>
    <w:rsid w:val="0CF956B3"/>
    <w:rsid w:val="0D086977"/>
    <w:rsid w:val="0D0C53E6"/>
    <w:rsid w:val="0D1349C7"/>
    <w:rsid w:val="0D352B8F"/>
    <w:rsid w:val="0D3748EF"/>
    <w:rsid w:val="0D4508F8"/>
    <w:rsid w:val="0D4B44F4"/>
    <w:rsid w:val="0D6276FC"/>
    <w:rsid w:val="0D63026D"/>
    <w:rsid w:val="0D904269"/>
    <w:rsid w:val="0DA05D59"/>
    <w:rsid w:val="0DA47D15"/>
    <w:rsid w:val="0DA675E9"/>
    <w:rsid w:val="0DAE2941"/>
    <w:rsid w:val="0DB241E0"/>
    <w:rsid w:val="0DB53CD0"/>
    <w:rsid w:val="0DBE2B84"/>
    <w:rsid w:val="0DBF06AB"/>
    <w:rsid w:val="0DCD2DC7"/>
    <w:rsid w:val="0DDF6F9F"/>
    <w:rsid w:val="0DEE2D3E"/>
    <w:rsid w:val="0E042561"/>
    <w:rsid w:val="0E0A401C"/>
    <w:rsid w:val="0E0F33E0"/>
    <w:rsid w:val="0E1C5AFD"/>
    <w:rsid w:val="0E1E3623"/>
    <w:rsid w:val="0E3876B0"/>
    <w:rsid w:val="0E4868F2"/>
    <w:rsid w:val="0E66596F"/>
    <w:rsid w:val="0E796AAB"/>
    <w:rsid w:val="0E8A2A67"/>
    <w:rsid w:val="0E903DF5"/>
    <w:rsid w:val="0E985449"/>
    <w:rsid w:val="0EAE2E4E"/>
    <w:rsid w:val="0EDD34DE"/>
    <w:rsid w:val="0EDD528C"/>
    <w:rsid w:val="0F046CBD"/>
    <w:rsid w:val="0F050C58"/>
    <w:rsid w:val="0F10777B"/>
    <w:rsid w:val="0F19203C"/>
    <w:rsid w:val="0F371914"/>
    <w:rsid w:val="0F386966"/>
    <w:rsid w:val="0F405BCB"/>
    <w:rsid w:val="0F63186A"/>
    <w:rsid w:val="0F6E4136"/>
    <w:rsid w:val="0F7B6853"/>
    <w:rsid w:val="0F824086"/>
    <w:rsid w:val="0F847DFE"/>
    <w:rsid w:val="0F9067A2"/>
    <w:rsid w:val="0F931DEF"/>
    <w:rsid w:val="0F9C6EF5"/>
    <w:rsid w:val="0FC832BC"/>
    <w:rsid w:val="0FE57FCF"/>
    <w:rsid w:val="0FF54A4C"/>
    <w:rsid w:val="100B407B"/>
    <w:rsid w:val="100E1475"/>
    <w:rsid w:val="10156CA8"/>
    <w:rsid w:val="101A2510"/>
    <w:rsid w:val="102D2243"/>
    <w:rsid w:val="10347723"/>
    <w:rsid w:val="10533CEF"/>
    <w:rsid w:val="10635C65"/>
    <w:rsid w:val="106A0CA2"/>
    <w:rsid w:val="107109EF"/>
    <w:rsid w:val="10741F9D"/>
    <w:rsid w:val="10846EA3"/>
    <w:rsid w:val="10A041D1"/>
    <w:rsid w:val="10AF39FC"/>
    <w:rsid w:val="10B244F7"/>
    <w:rsid w:val="10C20BDE"/>
    <w:rsid w:val="10D423B5"/>
    <w:rsid w:val="10F863AD"/>
    <w:rsid w:val="10FE773C"/>
    <w:rsid w:val="11082369"/>
    <w:rsid w:val="111E7CC0"/>
    <w:rsid w:val="11401B02"/>
    <w:rsid w:val="114F7F97"/>
    <w:rsid w:val="11520E64"/>
    <w:rsid w:val="115A374C"/>
    <w:rsid w:val="11603AEB"/>
    <w:rsid w:val="11716160"/>
    <w:rsid w:val="117D2D56"/>
    <w:rsid w:val="11A96ECF"/>
    <w:rsid w:val="11B60016"/>
    <w:rsid w:val="11B81E1C"/>
    <w:rsid w:val="11BB615E"/>
    <w:rsid w:val="11DA1F57"/>
    <w:rsid w:val="11DA5AB3"/>
    <w:rsid w:val="11DD37F5"/>
    <w:rsid w:val="11E3705D"/>
    <w:rsid w:val="11E701D0"/>
    <w:rsid w:val="11E94A65"/>
    <w:rsid w:val="11FF5458"/>
    <w:rsid w:val="12124AB5"/>
    <w:rsid w:val="123D6042"/>
    <w:rsid w:val="125F2ADB"/>
    <w:rsid w:val="126D2DCB"/>
    <w:rsid w:val="12753A2E"/>
    <w:rsid w:val="128F2D41"/>
    <w:rsid w:val="12934CCE"/>
    <w:rsid w:val="129C0FBA"/>
    <w:rsid w:val="12A367ED"/>
    <w:rsid w:val="12A54266"/>
    <w:rsid w:val="12B24C82"/>
    <w:rsid w:val="12C10A21"/>
    <w:rsid w:val="12C549B5"/>
    <w:rsid w:val="12CC7AF2"/>
    <w:rsid w:val="12E87739"/>
    <w:rsid w:val="12FE1C75"/>
    <w:rsid w:val="130A686C"/>
    <w:rsid w:val="132B1B4E"/>
    <w:rsid w:val="13433B2C"/>
    <w:rsid w:val="135242B3"/>
    <w:rsid w:val="13563DA0"/>
    <w:rsid w:val="137942D3"/>
    <w:rsid w:val="137A57A0"/>
    <w:rsid w:val="13904FC3"/>
    <w:rsid w:val="13906769"/>
    <w:rsid w:val="13963C5C"/>
    <w:rsid w:val="139D2D1B"/>
    <w:rsid w:val="13A179F5"/>
    <w:rsid w:val="13B16CE7"/>
    <w:rsid w:val="13C62793"/>
    <w:rsid w:val="13C67682"/>
    <w:rsid w:val="13CE1647"/>
    <w:rsid w:val="13CF4E34"/>
    <w:rsid w:val="13D84274"/>
    <w:rsid w:val="13FE29E5"/>
    <w:rsid w:val="14076907"/>
    <w:rsid w:val="14172F0F"/>
    <w:rsid w:val="141B23B3"/>
    <w:rsid w:val="14276FAA"/>
    <w:rsid w:val="14312E7A"/>
    <w:rsid w:val="14415121"/>
    <w:rsid w:val="146D70B2"/>
    <w:rsid w:val="14706BA3"/>
    <w:rsid w:val="14847F58"/>
    <w:rsid w:val="1487549A"/>
    <w:rsid w:val="14983A03"/>
    <w:rsid w:val="14AA10DA"/>
    <w:rsid w:val="14BC5944"/>
    <w:rsid w:val="14C02123"/>
    <w:rsid w:val="14EB6229"/>
    <w:rsid w:val="15190FE8"/>
    <w:rsid w:val="151B42E8"/>
    <w:rsid w:val="152F4368"/>
    <w:rsid w:val="15406575"/>
    <w:rsid w:val="15657D89"/>
    <w:rsid w:val="1568787A"/>
    <w:rsid w:val="157306F8"/>
    <w:rsid w:val="15875F52"/>
    <w:rsid w:val="15897F1C"/>
    <w:rsid w:val="15901985"/>
    <w:rsid w:val="15A9411A"/>
    <w:rsid w:val="15C251DC"/>
    <w:rsid w:val="15C54CCC"/>
    <w:rsid w:val="15E038B4"/>
    <w:rsid w:val="160C0E17"/>
    <w:rsid w:val="163D0D06"/>
    <w:rsid w:val="16443E43"/>
    <w:rsid w:val="16452C82"/>
    <w:rsid w:val="16783AEC"/>
    <w:rsid w:val="168B0377"/>
    <w:rsid w:val="169F376F"/>
    <w:rsid w:val="16A668AC"/>
    <w:rsid w:val="16B26FFE"/>
    <w:rsid w:val="16B8213B"/>
    <w:rsid w:val="16D60FE9"/>
    <w:rsid w:val="16E573D4"/>
    <w:rsid w:val="16F21AF1"/>
    <w:rsid w:val="171C091C"/>
    <w:rsid w:val="171C4DC0"/>
    <w:rsid w:val="173B3498"/>
    <w:rsid w:val="17410382"/>
    <w:rsid w:val="175E2CE2"/>
    <w:rsid w:val="175E3B47"/>
    <w:rsid w:val="17723284"/>
    <w:rsid w:val="17770649"/>
    <w:rsid w:val="17A42597"/>
    <w:rsid w:val="17A56B63"/>
    <w:rsid w:val="17B61287"/>
    <w:rsid w:val="17C74D2B"/>
    <w:rsid w:val="17CC0594"/>
    <w:rsid w:val="17DA045B"/>
    <w:rsid w:val="17F11DA8"/>
    <w:rsid w:val="18055854"/>
    <w:rsid w:val="18075128"/>
    <w:rsid w:val="181B6E25"/>
    <w:rsid w:val="18383533"/>
    <w:rsid w:val="187A7FF0"/>
    <w:rsid w:val="188B5D59"/>
    <w:rsid w:val="188D5821"/>
    <w:rsid w:val="18B42547"/>
    <w:rsid w:val="18C748B7"/>
    <w:rsid w:val="18D37020"/>
    <w:rsid w:val="18DA101A"/>
    <w:rsid w:val="18DA6CE0"/>
    <w:rsid w:val="18E90CD1"/>
    <w:rsid w:val="19142F19"/>
    <w:rsid w:val="192B4E46"/>
    <w:rsid w:val="193E62A3"/>
    <w:rsid w:val="19467ED2"/>
    <w:rsid w:val="19744A3F"/>
    <w:rsid w:val="19A52E4A"/>
    <w:rsid w:val="19E75211"/>
    <w:rsid w:val="1A064B42"/>
    <w:rsid w:val="1A1850AB"/>
    <w:rsid w:val="1A1A55E6"/>
    <w:rsid w:val="1A404921"/>
    <w:rsid w:val="1A4460D1"/>
    <w:rsid w:val="1A46462D"/>
    <w:rsid w:val="1A6037F3"/>
    <w:rsid w:val="1A642D06"/>
    <w:rsid w:val="1A732F49"/>
    <w:rsid w:val="1A7A4280"/>
    <w:rsid w:val="1A864A2A"/>
    <w:rsid w:val="1A974E89"/>
    <w:rsid w:val="1AA3640E"/>
    <w:rsid w:val="1ABD41C4"/>
    <w:rsid w:val="1AC63078"/>
    <w:rsid w:val="1AE31E7C"/>
    <w:rsid w:val="1B116E10"/>
    <w:rsid w:val="1B1C713C"/>
    <w:rsid w:val="1B2D5467"/>
    <w:rsid w:val="1B375D24"/>
    <w:rsid w:val="1B430B6D"/>
    <w:rsid w:val="1B5B5EB7"/>
    <w:rsid w:val="1B7E34D8"/>
    <w:rsid w:val="1B8625AA"/>
    <w:rsid w:val="1B882D19"/>
    <w:rsid w:val="1B8F3DB2"/>
    <w:rsid w:val="1B9211AC"/>
    <w:rsid w:val="1B9A2898"/>
    <w:rsid w:val="1BA50EE0"/>
    <w:rsid w:val="1BA535D6"/>
    <w:rsid w:val="1BA84E74"/>
    <w:rsid w:val="1BB13D28"/>
    <w:rsid w:val="1BB4378E"/>
    <w:rsid w:val="1BC25F36"/>
    <w:rsid w:val="1BE539D2"/>
    <w:rsid w:val="1C0C0F5F"/>
    <w:rsid w:val="1C2362A8"/>
    <w:rsid w:val="1C247557"/>
    <w:rsid w:val="1C284F2A"/>
    <w:rsid w:val="1C3109C5"/>
    <w:rsid w:val="1C362480"/>
    <w:rsid w:val="1C395ACC"/>
    <w:rsid w:val="1C427076"/>
    <w:rsid w:val="1C4F23C2"/>
    <w:rsid w:val="1C9F6277"/>
    <w:rsid w:val="1CA23671"/>
    <w:rsid w:val="1CA473E9"/>
    <w:rsid w:val="1CBF5FD1"/>
    <w:rsid w:val="1CC950A2"/>
    <w:rsid w:val="1CD37CCF"/>
    <w:rsid w:val="1CDB6B83"/>
    <w:rsid w:val="1CE75528"/>
    <w:rsid w:val="1D0B1216"/>
    <w:rsid w:val="1D350385"/>
    <w:rsid w:val="1D350989"/>
    <w:rsid w:val="1D3706A1"/>
    <w:rsid w:val="1D4666F2"/>
    <w:rsid w:val="1D58360A"/>
    <w:rsid w:val="1D70551D"/>
    <w:rsid w:val="1D7F5428"/>
    <w:rsid w:val="1D845AC7"/>
    <w:rsid w:val="1D9A07EC"/>
    <w:rsid w:val="1DA022A7"/>
    <w:rsid w:val="1DA11B7B"/>
    <w:rsid w:val="1DC6338F"/>
    <w:rsid w:val="1DC85359"/>
    <w:rsid w:val="1DCF0496"/>
    <w:rsid w:val="1DF26B32"/>
    <w:rsid w:val="1E254FEA"/>
    <w:rsid w:val="1E34479D"/>
    <w:rsid w:val="1E364920"/>
    <w:rsid w:val="1E4470F9"/>
    <w:rsid w:val="1E5F1D13"/>
    <w:rsid w:val="1E627640"/>
    <w:rsid w:val="1E6A63B2"/>
    <w:rsid w:val="1E8C45D9"/>
    <w:rsid w:val="1E911A51"/>
    <w:rsid w:val="1E990AA4"/>
    <w:rsid w:val="1EB53B30"/>
    <w:rsid w:val="1EBA1146"/>
    <w:rsid w:val="1EBF6C8A"/>
    <w:rsid w:val="1EC11CD6"/>
    <w:rsid w:val="1ECC70CB"/>
    <w:rsid w:val="1ED146E2"/>
    <w:rsid w:val="1EDB1EBE"/>
    <w:rsid w:val="1EE73050"/>
    <w:rsid w:val="1EF26B32"/>
    <w:rsid w:val="1F1A3993"/>
    <w:rsid w:val="1F32168E"/>
    <w:rsid w:val="1F3C68BB"/>
    <w:rsid w:val="1F443106"/>
    <w:rsid w:val="1F537A25"/>
    <w:rsid w:val="1F7E6617"/>
    <w:rsid w:val="1F85146F"/>
    <w:rsid w:val="1FA06880"/>
    <w:rsid w:val="1FB1462D"/>
    <w:rsid w:val="1FC3227C"/>
    <w:rsid w:val="1FC9758F"/>
    <w:rsid w:val="201605FE"/>
    <w:rsid w:val="201C198C"/>
    <w:rsid w:val="201E5705"/>
    <w:rsid w:val="202F7685"/>
    <w:rsid w:val="203211B0"/>
    <w:rsid w:val="2039253E"/>
    <w:rsid w:val="204F1D62"/>
    <w:rsid w:val="205C7FDB"/>
    <w:rsid w:val="209E23A2"/>
    <w:rsid w:val="20BE2A44"/>
    <w:rsid w:val="21007ECF"/>
    <w:rsid w:val="210406C9"/>
    <w:rsid w:val="210C39A1"/>
    <w:rsid w:val="211127C9"/>
    <w:rsid w:val="21231593"/>
    <w:rsid w:val="21313216"/>
    <w:rsid w:val="213435FE"/>
    <w:rsid w:val="213571AA"/>
    <w:rsid w:val="213A031C"/>
    <w:rsid w:val="215D225D"/>
    <w:rsid w:val="216215D5"/>
    <w:rsid w:val="21751354"/>
    <w:rsid w:val="219043E0"/>
    <w:rsid w:val="219C4B33"/>
    <w:rsid w:val="21A63C04"/>
    <w:rsid w:val="21B31E7D"/>
    <w:rsid w:val="21E14C3C"/>
    <w:rsid w:val="220426D8"/>
    <w:rsid w:val="22131A27"/>
    <w:rsid w:val="22145011"/>
    <w:rsid w:val="222039B6"/>
    <w:rsid w:val="22364F87"/>
    <w:rsid w:val="223D622C"/>
    <w:rsid w:val="223F3CA5"/>
    <w:rsid w:val="22443B73"/>
    <w:rsid w:val="22484CBB"/>
    <w:rsid w:val="225549DB"/>
    <w:rsid w:val="225C42C2"/>
    <w:rsid w:val="225E003A"/>
    <w:rsid w:val="225E628C"/>
    <w:rsid w:val="226715E5"/>
    <w:rsid w:val="226F30E0"/>
    <w:rsid w:val="22853CD1"/>
    <w:rsid w:val="228E4DC3"/>
    <w:rsid w:val="22B01A03"/>
    <w:rsid w:val="22CD6F6E"/>
    <w:rsid w:val="22F072B3"/>
    <w:rsid w:val="22F67E08"/>
    <w:rsid w:val="230230BC"/>
    <w:rsid w:val="23136956"/>
    <w:rsid w:val="23290648"/>
    <w:rsid w:val="232C638A"/>
    <w:rsid w:val="232E5C5F"/>
    <w:rsid w:val="23315B4C"/>
    <w:rsid w:val="23642C35"/>
    <w:rsid w:val="23735D67"/>
    <w:rsid w:val="238C1D6C"/>
    <w:rsid w:val="23953F30"/>
    <w:rsid w:val="23957A8C"/>
    <w:rsid w:val="239C52BE"/>
    <w:rsid w:val="23A55BBB"/>
    <w:rsid w:val="23B51EDC"/>
    <w:rsid w:val="240112F7"/>
    <w:rsid w:val="2409047A"/>
    <w:rsid w:val="241A2687"/>
    <w:rsid w:val="242351CD"/>
    <w:rsid w:val="242C7FB3"/>
    <w:rsid w:val="24336833"/>
    <w:rsid w:val="243674C1"/>
    <w:rsid w:val="243F3E9B"/>
    <w:rsid w:val="244B6A0D"/>
    <w:rsid w:val="24561911"/>
    <w:rsid w:val="245C4A4D"/>
    <w:rsid w:val="24830289"/>
    <w:rsid w:val="2483647E"/>
    <w:rsid w:val="249146F7"/>
    <w:rsid w:val="249B2D2E"/>
    <w:rsid w:val="24A87C93"/>
    <w:rsid w:val="24D6035C"/>
    <w:rsid w:val="24D63B35"/>
    <w:rsid w:val="24E66691"/>
    <w:rsid w:val="24ED53DF"/>
    <w:rsid w:val="24F22BF6"/>
    <w:rsid w:val="25331C52"/>
    <w:rsid w:val="253634F0"/>
    <w:rsid w:val="25877A21"/>
    <w:rsid w:val="25983863"/>
    <w:rsid w:val="25B40565"/>
    <w:rsid w:val="25B576E2"/>
    <w:rsid w:val="25BD32CA"/>
    <w:rsid w:val="25D47FFB"/>
    <w:rsid w:val="25DE1BBE"/>
    <w:rsid w:val="25FC0B65"/>
    <w:rsid w:val="260929B3"/>
    <w:rsid w:val="26176E7E"/>
    <w:rsid w:val="262670C1"/>
    <w:rsid w:val="26327B15"/>
    <w:rsid w:val="26373AC4"/>
    <w:rsid w:val="263A0DBE"/>
    <w:rsid w:val="26413489"/>
    <w:rsid w:val="265C7C7F"/>
    <w:rsid w:val="26647BE9"/>
    <w:rsid w:val="26A06E73"/>
    <w:rsid w:val="26B11081"/>
    <w:rsid w:val="26C16DEA"/>
    <w:rsid w:val="26CA3EF0"/>
    <w:rsid w:val="26CD318B"/>
    <w:rsid w:val="26CF1BC9"/>
    <w:rsid w:val="26D1527F"/>
    <w:rsid w:val="27027B2E"/>
    <w:rsid w:val="27037402"/>
    <w:rsid w:val="27127645"/>
    <w:rsid w:val="274276F5"/>
    <w:rsid w:val="27455C6D"/>
    <w:rsid w:val="275163C0"/>
    <w:rsid w:val="275D499B"/>
    <w:rsid w:val="27606603"/>
    <w:rsid w:val="276E2ACE"/>
    <w:rsid w:val="2778394C"/>
    <w:rsid w:val="27787DF0"/>
    <w:rsid w:val="277B168E"/>
    <w:rsid w:val="2787769B"/>
    <w:rsid w:val="278C73F8"/>
    <w:rsid w:val="279D432C"/>
    <w:rsid w:val="27A40BE5"/>
    <w:rsid w:val="27A961FC"/>
    <w:rsid w:val="27B54BA0"/>
    <w:rsid w:val="27DF1C1D"/>
    <w:rsid w:val="27EC60E8"/>
    <w:rsid w:val="27FC27CF"/>
    <w:rsid w:val="280653FC"/>
    <w:rsid w:val="28355CE1"/>
    <w:rsid w:val="284657F9"/>
    <w:rsid w:val="28474A17"/>
    <w:rsid w:val="284E28FF"/>
    <w:rsid w:val="285C501C"/>
    <w:rsid w:val="288F529D"/>
    <w:rsid w:val="289B24FF"/>
    <w:rsid w:val="28B70E3C"/>
    <w:rsid w:val="28FE60D3"/>
    <w:rsid w:val="290D6316"/>
    <w:rsid w:val="29183639"/>
    <w:rsid w:val="291E0523"/>
    <w:rsid w:val="294206B6"/>
    <w:rsid w:val="29606D8E"/>
    <w:rsid w:val="29684535"/>
    <w:rsid w:val="296C128F"/>
    <w:rsid w:val="298365D8"/>
    <w:rsid w:val="29915199"/>
    <w:rsid w:val="299B1B74"/>
    <w:rsid w:val="29A749BD"/>
    <w:rsid w:val="29B50E88"/>
    <w:rsid w:val="29B9008A"/>
    <w:rsid w:val="29C404B3"/>
    <w:rsid w:val="29CC4423"/>
    <w:rsid w:val="29E67293"/>
    <w:rsid w:val="2A1831C5"/>
    <w:rsid w:val="2A1B2343"/>
    <w:rsid w:val="2A25606C"/>
    <w:rsid w:val="2A263B34"/>
    <w:rsid w:val="2A3004CC"/>
    <w:rsid w:val="2A3F69A3"/>
    <w:rsid w:val="2A61691A"/>
    <w:rsid w:val="2A675314"/>
    <w:rsid w:val="2A6C52BE"/>
    <w:rsid w:val="2A8500A4"/>
    <w:rsid w:val="2AA15195"/>
    <w:rsid w:val="2AD66FC3"/>
    <w:rsid w:val="2AE646DC"/>
    <w:rsid w:val="2B002F9A"/>
    <w:rsid w:val="2B231E21"/>
    <w:rsid w:val="2B2D7144"/>
    <w:rsid w:val="2B4104F9"/>
    <w:rsid w:val="2B46721E"/>
    <w:rsid w:val="2B4D50F0"/>
    <w:rsid w:val="2B54647E"/>
    <w:rsid w:val="2B6D7540"/>
    <w:rsid w:val="2B876854"/>
    <w:rsid w:val="2B994592"/>
    <w:rsid w:val="2BAE54D4"/>
    <w:rsid w:val="2BB90BAA"/>
    <w:rsid w:val="2BCA4992"/>
    <w:rsid w:val="2BE21CDC"/>
    <w:rsid w:val="2BF51A0F"/>
    <w:rsid w:val="2BFC0126"/>
    <w:rsid w:val="2BFF288E"/>
    <w:rsid w:val="2C0734F1"/>
    <w:rsid w:val="2C0B2FE1"/>
    <w:rsid w:val="2C11611D"/>
    <w:rsid w:val="2C160513"/>
    <w:rsid w:val="2C3D6F12"/>
    <w:rsid w:val="2C4E7372"/>
    <w:rsid w:val="2C4F5233"/>
    <w:rsid w:val="2C9254B0"/>
    <w:rsid w:val="2C9A6CCB"/>
    <w:rsid w:val="2CA451E4"/>
    <w:rsid w:val="2CBA0563"/>
    <w:rsid w:val="2CDC2BCF"/>
    <w:rsid w:val="2D0619FA"/>
    <w:rsid w:val="2D0637A8"/>
    <w:rsid w:val="2D241E80"/>
    <w:rsid w:val="2D652BC5"/>
    <w:rsid w:val="2D681962"/>
    <w:rsid w:val="2D7E652C"/>
    <w:rsid w:val="2D8A362C"/>
    <w:rsid w:val="2DA74F8B"/>
    <w:rsid w:val="2DC55411"/>
    <w:rsid w:val="2DEB3CB8"/>
    <w:rsid w:val="2DF950BB"/>
    <w:rsid w:val="2DFF6B75"/>
    <w:rsid w:val="2E070A94"/>
    <w:rsid w:val="2E156399"/>
    <w:rsid w:val="2E160FC6"/>
    <w:rsid w:val="2E20089A"/>
    <w:rsid w:val="2E220AB6"/>
    <w:rsid w:val="2E440A2C"/>
    <w:rsid w:val="2E57138B"/>
    <w:rsid w:val="2E5A1FFE"/>
    <w:rsid w:val="2E625F31"/>
    <w:rsid w:val="2E71124B"/>
    <w:rsid w:val="2E7A444E"/>
    <w:rsid w:val="2E8A6761"/>
    <w:rsid w:val="2E8E614B"/>
    <w:rsid w:val="2E9D638E"/>
    <w:rsid w:val="2EA27501"/>
    <w:rsid w:val="2EA63495"/>
    <w:rsid w:val="2EC35DF5"/>
    <w:rsid w:val="2ED36EE3"/>
    <w:rsid w:val="2ED6233B"/>
    <w:rsid w:val="2EE06C20"/>
    <w:rsid w:val="2EFF26C9"/>
    <w:rsid w:val="2F104DB2"/>
    <w:rsid w:val="2F1403FE"/>
    <w:rsid w:val="2F1523C9"/>
    <w:rsid w:val="2F293003"/>
    <w:rsid w:val="2F2F5238"/>
    <w:rsid w:val="2F430CE4"/>
    <w:rsid w:val="2F6A39B6"/>
    <w:rsid w:val="2F6A7776"/>
    <w:rsid w:val="2F745341"/>
    <w:rsid w:val="2F8C6941"/>
    <w:rsid w:val="2FD63906"/>
    <w:rsid w:val="2FE34275"/>
    <w:rsid w:val="2FE43AE5"/>
    <w:rsid w:val="2FF95846"/>
    <w:rsid w:val="301F1542"/>
    <w:rsid w:val="30234671"/>
    <w:rsid w:val="305667F5"/>
    <w:rsid w:val="305D4027"/>
    <w:rsid w:val="30656A38"/>
    <w:rsid w:val="306C6018"/>
    <w:rsid w:val="30735E7E"/>
    <w:rsid w:val="307F5D4C"/>
    <w:rsid w:val="309F1F4A"/>
    <w:rsid w:val="30B654E5"/>
    <w:rsid w:val="30BC33F3"/>
    <w:rsid w:val="30D836AE"/>
    <w:rsid w:val="30F524B2"/>
    <w:rsid w:val="311741D6"/>
    <w:rsid w:val="316B62D0"/>
    <w:rsid w:val="317964EE"/>
    <w:rsid w:val="318A49A8"/>
    <w:rsid w:val="31A97596"/>
    <w:rsid w:val="31BA3FEF"/>
    <w:rsid w:val="31BB7257"/>
    <w:rsid w:val="31BB775A"/>
    <w:rsid w:val="31CF4418"/>
    <w:rsid w:val="31EB11BF"/>
    <w:rsid w:val="31FE7144"/>
    <w:rsid w:val="32056724"/>
    <w:rsid w:val="320A5AE9"/>
    <w:rsid w:val="3220530C"/>
    <w:rsid w:val="3227129A"/>
    <w:rsid w:val="322A29A5"/>
    <w:rsid w:val="323112C7"/>
    <w:rsid w:val="32364B30"/>
    <w:rsid w:val="324240FA"/>
    <w:rsid w:val="324A3C73"/>
    <w:rsid w:val="325D030E"/>
    <w:rsid w:val="32711601"/>
    <w:rsid w:val="32715B68"/>
    <w:rsid w:val="3274634B"/>
    <w:rsid w:val="32747406"/>
    <w:rsid w:val="32785148"/>
    <w:rsid w:val="3291620A"/>
    <w:rsid w:val="32BA7A2D"/>
    <w:rsid w:val="32CF23FC"/>
    <w:rsid w:val="32EC7980"/>
    <w:rsid w:val="330C763F"/>
    <w:rsid w:val="330E785B"/>
    <w:rsid w:val="3317207A"/>
    <w:rsid w:val="331D7A9E"/>
    <w:rsid w:val="332E5807"/>
    <w:rsid w:val="334212B2"/>
    <w:rsid w:val="33423060"/>
    <w:rsid w:val="3345572B"/>
    <w:rsid w:val="335002C3"/>
    <w:rsid w:val="33680D19"/>
    <w:rsid w:val="337D02CD"/>
    <w:rsid w:val="338C4B2C"/>
    <w:rsid w:val="3392275C"/>
    <w:rsid w:val="33923261"/>
    <w:rsid w:val="33A45AC9"/>
    <w:rsid w:val="33C10429"/>
    <w:rsid w:val="33C817B8"/>
    <w:rsid w:val="33CC1490"/>
    <w:rsid w:val="33D12D62"/>
    <w:rsid w:val="33DF6B01"/>
    <w:rsid w:val="34062D50"/>
    <w:rsid w:val="34120C85"/>
    <w:rsid w:val="341E3ACD"/>
    <w:rsid w:val="342D3D10"/>
    <w:rsid w:val="34394463"/>
    <w:rsid w:val="343D03F7"/>
    <w:rsid w:val="34496D9C"/>
    <w:rsid w:val="3456420D"/>
    <w:rsid w:val="34800882"/>
    <w:rsid w:val="34A915E9"/>
    <w:rsid w:val="34B5692E"/>
    <w:rsid w:val="34B8182C"/>
    <w:rsid w:val="34CA155F"/>
    <w:rsid w:val="34DF325D"/>
    <w:rsid w:val="34E26D79"/>
    <w:rsid w:val="34F860CC"/>
    <w:rsid w:val="35020CF9"/>
    <w:rsid w:val="3515264E"/>
    <w:rsid w:val="351A6043"/>
    <w:rsid w:val="352F72D7"/>
    <w:rsid w:val="35466E38"/>
    <w:rsid w:val="35531555"/>
    <w:rsid w:val="3555351F"/>
    <w:rsid w:val="35645510"/>
    <w:rsid w:val="35812566"/>
    <w:rsid w:val="35BF6575"/>
    <w:rsid w:val="35C275C5"/>
    <w:rsid w:val="35E93C67"/>
    <w:rsid w:val="35EA010B"/>
    <w:rsid w:val="35EF127D"/>
    <w:rsid w:val="36483084"/>
    <w:rsid w:val="366C4FC4"/>
    <w:rsid w:val="366D4898"/>
    <w:rsid w:val="3679148F"/>
    <w:rsid w:val="36936127"/>
    <w:rsid w:val="36AC53C0"/>
    <w:rsid w:val="36AF4EB1"/>
    <w:rsid w:val="36B349A1"/>
    <w:rsid w:val="36C90732"/>
    <w:rsid w:val="36CA5847"/>
    <w:rsid w:val="36CE3589"/>
    <w:rsid w:val="36CE4008"/>
    <w:rsid w:val="3710594F"/>
    <w:rsid w:val="3715740A"/>
    <w:rsid w:val="372853CE"/>
    <w:rsid w:val="372B09DB"/>
    <w:rsid w:val="37320780"/>
    <w:rsid w:val="37603906"/>
    <w:rsid w:val="376A1F36"/>
    <w:rsid w:val="377B58C6"/>
    <w:rsid w:val="377C2FE5"/>
    <w:rsid w:val="378B3228"/>
    <w:rsid w:val="379C5435"/>
    <w:rsid w:val="37A63768"/>
    <w:rsid w:val="37D868D0"/>
    <w:rsid w:val="380E5E63"/>
    <w:rsid w:val="380F0453"/>
    <w:rsid w:val="382F62A9"/>
    <w:rsid w:val="386121DB"/>
    <w:rsid w:val="386A5533"/>
    <w:rsid w:val="38844359"/>
    <w:rsid w:val="38A345A1"/>
    <w:rsid w:val="38A65E3F"/>
    <w:rsid w:val="38AA6EBD"/>
    <w:rsid w:val="391A0D07"/>
    <w:rsid w:val="391E1E7A"/>
    <w:rsid w:val="391F1011"/>
    <w:rsid w:val="394B7113"/>
    <w:rsid w:val="3960603E"/>
    <w:rsid w:val="39616936"/>
    <w:rsid w:val="39A44A75"/>
    <w:rsid w:val="39A86851"/>
    <w:rsid w:val="39A93E39"/>
    <w:rsid w:val="39F03816"/>
    <w:rsid w:val="3A125E82"/>
    <w:rsid w:val="3A1C0AAF"/>
    <w:rsid w:val="3A306308"/>
    <w:rsid w:val="3A370BEB"/>
    <w:rsid w:val="3A377697"/>
    <w:rsid w:val="3A3E4582"/>
    <w:rsid w:val="3A830B2E"/>
    <w:rsid w:val="3A856654"/>
    <w:rsid w:val="3A8E4E7C"/>
    <w:rsid w:val="3AA0348E"/>
    <w:rsid w:val="3AA80595"/>
    <w:rsid w:val="3B023801"/>
    <w:rsid w:val="3B1A42B0"/>
    <w:rsid w:val="3B1C4C6D"/>
    <w:rsid w:val="3B1F0857"/>
    <w:rsid w:val="3B202309"/>
    <w:rsid w:val="3B3B31B7"/>
    <w:rsid w:val="3B6C15C2"/>
    <w:rsid w:val="3B712735"/>
    <w:rsid w:val="3BBC42F8"/>
    <w:rsid w:val="3BC83AD9"/>
    <w:rsid w:val="3BD056AD"/>
    <w:rsid w:val="3BD50F16"/>
    <w:rsid w:val="3BD74C8E"/>
    <w:rsid w:val="3BDD45F6"/>
    <w:rsid w:val="3BE05C2A"/>
    <w:rsid w:val="3BE86E9B"/>
    <w:rsid w:val="3BF910A8"/>
    <w:rsid w:val="3BFA6BCE"/>
    <w:rsid w:val="3C183FA4"/>
    <w:rsid w:val="3C187054"/>
    <w:rsid w:val="3C4147FD"/>
    <w:rsid w:val="3C4F6F1A"/>
    <w:rsid w:val="3C6978B0"/>
    <w:rsid w:val="3C7329EE"/>
    <w:rsid w:val="3C7A4A24"/>
    <w:rsid w:val="3C8A1D00"/>
    <w:rsid w:val="3C8D359E"/>
    <w:rsid w:val="3C94492D"/>
    <w:rsid w:val="3CA37266"/>
    <w:rsid w:val="3CC66AB0"/>
    <w:rsid w:val="3CD22403"/>
    <w:rsid w:val="3CD967E3"/>
    <w:rsid w:val="3CDF226A"/>
    <w:rsid w:val="3D053A7C"/>
    <w:rsid w:val="3D257C7B"/>
    <w:rsid w:val="3D385C00"/>
    <w:rsid w:val="3D4F2F4A"/>
    <w:rsid w:val="3D5D5787"/>
    <w:rsid w:val="3D600CB3"/>
    <w:rsid w:val="3D604047"/>
    <w:rsid w:val="3D7E738B"/>
    <w:rsid w:val="3D8250CD"/>
    <w:rsid w:val="3D8726E3"/>
    <w:rsid w:val="3DA46DF1"/>
    <w:rsid w:val="3DAB73A3"/>
    <w:rsid w:val="3DB039E8"/>
    <w:rsid w:val="3DB37034"/>
    <w:rsid w:val="3DBC20CC"/>
    <w:rsid w:val="3DC2196F"/>
    <w:rsid w:val="3DC92CFC"/>
    <w:rsid w:val="3DCB6A74"/>
    <w:rsid w:val="3DFF671E"/>
    <w:rsid w:val="3E015FF2"/>
    <w:rsid w:val="3E0876A4"/>
    <w:rsid w:val="3E104487"/>
    <w:rsid w:val="3E261EFC"/>
    <w:rsid w:val="3E2B7513"/>
    <w:rsid w:val="3E34631D"/>
    <w:rsid w:val="3E3A7756"/>
    <w:rsid w:val="3E3E7246"/>
    <w:rsid w:val="3E467EA9"/>
    <w:rsid w:val="3E495C54"/>
    <w:rsid w:val="3E4B54BF"/>
    <w:rsid w:val="3E5008A7"/>
    <w:rsid w:val="3E7A3FF6"/>
    <w:rsid w:val="3E854E75"/>
    <w:rsid w:val="3EB5502E"/>
    <w:rsid w:val="3EC3774B"/>
    <w:rsid w:val="3EC86B10"/>
    <w:rsid w:val="3ED03C16"/>
    <w:rsid w:val="3EE73740"/>
    <w:rsid w:val="3F073ADC"/>
    <w:rsid w:val="3F0B4C4E"/>
    <w:rsid w:val="3F1735F3"/>
    <w:rsid w:val="3F276D78"/>
    <w:rsid w:val="3F3348D1"/>
    <w:rsid w:val="3F373C95"/>
    <w:rsid w:val="3F3917BB"/>
    <w:rsid w:val="3F4F55CD"/>
    <w:rsid w:val="3F744EE9"/>
    <w:rsid w:val="3F870779"/>
    <w:rsid w:val="3F964E60"/>
    <w:rsid w:val="3F9814A3"/>
    <w:rsid w:val="3F9E43BE"/>
    <w:rsid w:val="3F9E5AC2"/>
    <w:rsid w:val="3FDB06A4"/>
    <w:rsid w:val="3FFA53EF"/>
    <w:rsid w:val="400E5D55"/>
    <w:rsid w:val="40285254"/>
    <w:rsid w:val="402A616E"/>
    <w:rsid w:val="40326E47"/>
    <w:rsid w:val="40550877"/>
    <w:rsid w:val="405F5252"/>
    <w:rsid w:val="406805AA"/>
    <w:rsid w:val="406956AD"/>
    <w:rsid w:val="406D5BC1"/>
    <w:rsid w:val="40786313"/>
    <w:rsid w:val="407D392A"/>
    <w:rsid w:val="409B5688"/>
    <w:rsid w:val="409E221E"/>
    <w:rsid w:val="40A00055"/>
    <w:rsid w:val="40A92971"/>
    <w:rsid w:val="40C1415E"/>
    <w:rsid w:val="40C33A32"/>
    <w:rsid w:val="40C862F3"/>
    <w:rsid w:val="40CC649B"/>
    <w:rsid w:val="40E4515D"/>
    <w:rsid w:val="40F63E08"/>
    <w:rsid w:val="41140732"/>
    <w:rsid w:val="412344D1"/>
    <w:rsid w:val="413C4512"/>
    <w:rsid w:val="413E130B"/>
    <w:rsid w:val="41720FB5"/>
    <w:rsid w:val="41935D17"/>
    <w:rsid w:val="41CA2F47"/>
    <w:rsid w:val="41CE08E1"/>
    <w:rsid w:val="41D91034"/>
    <w:rsid w:val="41DE77CD"/>
    <w:rsid w:val="41E2613A"/>
    <w:rsid w:val="41E9571B"/>
    <w:rsid w:val="41EF2605"/>
    <w:rsid w:val="41F06AA9"/>
    <w:rsid w:val="41F36599"/>
    <w:rsid w:val="41F565AE"/>
    <w:rsid w:val="42073DF3"/>
    <w:rsid w:val="42181B5C"/>
    <w:rsid w:val="42195687"/>
    <w:rsid w:val="422D323D"/>
    <w:rsid w:val="42660B19"/>
    <w:rsid w:val="42670F18"/>
    <w:rsid w:val="42750D5C"/>
    <w:rsid w:val="428C5AEB"/>
    <w:rsid w:val="42935686"/>
    <w:rsid w:val="42A41642"/>
    <w:rsid w:val="42DD541E"/>
    <w:rsid w:val="42E44134"/>
    <w:rsid w:val="42EC25C1"/>
    <w:rsid w:val="42F04887"/>
    <w:rsid w:val="42FF4ACA"/>
    <w:rsid w:val="430622FC"/>
    <w:rsid w:val="430976F7"/>
    <w:rsid w:val="43100A85"/>
    <w:rsid w:val="43144A19"/>
    <w:rsid w:val="43252782"/>
    <w:rsid w:val="432B1381"/>
    <w:rsid w:val="432E11B2"/>
    <w:rsid w:val="435D75DD"/>
    <w:rsid w:val="436778AC"/>
    <w:rsid w:val="4369674C"/>
    <w:rsid w:val="43704A8C"/>
    <w:rsid w:val="43741014"/>
    <w:rsid w:val="43790D20"/>
    <w:rsid w:val="437B05F4"/>
    <w:rsid w:val="437C3A77"/>
    <w:rsid w:val="438A6A89"/>
    <w:rsid w:val="438C2802"/>
    <w:rsid w:val="43911BC6"/>
    <w:rsid w:val="4393159F"/>
    <w:rsid w:val="43CE2E1A"/>
    <w:rsid w:val="43CF26EE"/>
    <w:rsid w:val="43CF6D75"/>
    <w:rsid w:val="43E3619A"/>
    <w:rsid w:val="43E427E5"/>
    <w:rsid w:val="44056110"/>
    <w:rsid w:val="44064C0B"/>
    <w:rsid w:val="440C3942"/>
    <w:rsid w:val="440F51E1"/>
    <w:rsid w:val="441D16AC"/>
    <w:rsid w:val="442962A2"/>
    <w:rsid w:val="44381729"/>
    <w:rsid w:val="444B446B"/>
    <w:rsid w:val="44555252"/>
    <w:rsid w:val="445D31E2"/>
    <w:rsid w:val="447137A5"/>
    <w:rsid w:val="44986F84"/>
    <w:rsid w:val="449C6A74"/>
    <w:rsid w:val="44C75ABC"/>
    <w:rsid w:val="44E1092B"/>
    <w:rsid w:val="44F63826"/>
    <w:rsid w:val="44FA7C3F"/>
    <w:rsid w:val="44FF0DB1"/>
    <w:rsid w:val="450E5498"/>
    <w:rsid w:val="45260A34"/>
    <w:rsid w:val="452D591E"/>
    <w:rsid w:val="453E18DA"/>
    <w:rsid w:val="45423D34"/>
    <w:rsid w:val="455336A1"/>
    <w:rsid w:val="45570BED"/>
    <w:rsid w:val="456A4DC4"/>
    <w:rsid w:val="45717F01"/>
    <w:rsid w:val="45765517"/>
    <w:rsid w:val="45A300F9"/>
    <w:rsid w:val="45A55412"/>
    <w:rsid w:val="45C41B5E"/>
    <w:rsid w:val="45C67B21"/>
    <w:rsid w:val="45EF0E26"/>
    <w:rsid w:val="45F428E0"/>
    <w:rsid w:val="461162B5"/>
    <w:rsid w:val="462912CF"/>
    <w:rsid w:val="46526A69"/>
    <w:rsid w:val="465332FA"/>
    <w:rsid w:val="465C3C1D"/>
    <w:rsid w:val="46690BD8"/>
    <w:rsid w:val="46C40504"/>
    <w:rsid w:val="46DA3F91"/>
    <w:rsid w:val="46F54B62"/>
    <w:rsid w:val="471C20EE"/>
    <w:rsid w:val="4734568A"/>
    <w:rsid w:val="475A2C17"/>
    <w:rsid w:val="477A6E15"/>
    <w:rsid w:val="477E30E1"/>
    <w:rsid w:val="47863A0C"/>
    <w:rsid w:val="478B48B9"/>
    <w:rsid w:val="479003E6"/>
    <w:rsid w:val="47B02837"/>
    <w:rsid w:val="47B16CDB"/>
    <w:rsid w:val="47CD163B"/>
    <w:rsid w:val="47F15C37"/>
    <w:rsid w:val="47F22E4F"/>
    <w:rsid w:val="48052B82"/>
    <w:rsid w:val="482C6022"/>
    <w:rsid w:val="48311BC9"/>
    <w:rsid w:val="483737B3"/>
    <w:rsid w:val="483D0855"/>
    <w:rsid w:val="484511D1"/>
    <w:rsid w:val="484D62D8"/>
    <w:rsid w:val="485E2293"/>
    <w:rsid w:val="48986E1F"/>
    <w:rsid w:val="48C20B07"/>
    <w:rsid w:val="48E56510"/>
    <w:rsid w:val="48FC3F85"/>
    <w:rsid w:val="48FF5824"/>
    <w:rsid w:val="490378C0"/>
    <w:rsid w:val="49060960"/>
    <w:rsid w:val="490B41C9"/>
    <w:rsid w:val="491C4628"/>
    <w:rsid w:val="49255DFC"/>
    <w:rsid w:val="4929448E"/>
    <w:rsid w:val="493059DD"/>
    <w:rsid w:val="49325BF9"/>
    <w:rsid w:val="494002FA"/>
    <w:rsid w:val="495C2C76"/>
    <w:rsid w:val="497B106A"/>
    <w:rsid w:val="49830DF9"/>
    <w:rsid w:val="49951CE4"/>
    <w:rsid w:val="499F2B63"/>
    <w:rsid w:val="49C30F7B"/>
    <w:rsid w:val="49C34AA3"/>
    <w:rsid w:val="49D24B7F"/>
    <w:rsid w:val="49E35145"/>
    <w:rsid w:val="49E371FA"/>
    <w:rsid w:val="49E862B8"/>
    <w:rsid w:val="49F72DAD"/>
    <w:rsid w:val="4A280728"/>
    <w:rsid w:val="4A2F038B"/>
    <w:rsid w:val="4A560B67"/>
    <w:rsid w:val="4A57092F"/>
    <w:rsid w:val="4A58168F"/>
    <w:rsid w:val="4A66609A"/>
    <w:rsid w:val="4A730277"/>
    <w:rsid w:val="4A783AE0"/>
    <w:rsid w:val="4AA27D62"/>
    <w:rsid w:val="4ABD5996"/>
    <w:rsid w:val="4B306168"/>
    <w:rsid w:val="4B4A723F"/>
    <w:rsid w:val="4B5127D6"/>
    <w:rsid w:val="4B58121B"/>
    <w:rsid w:val="4B6E4EE3"/>
    <w:rsid w:val="4B730D05"/>
    <w:rsid w:val="4B7A3887"/>
    <w:rsid w:val="4B8A1D1C"/>
    <w:rsid w:val="4BA03D6D"/>
    <w:rsid w:val="4BA34B8C"/>
    <w:rsid w:val="4BAB1C93"/>
    <w:rsid w:val="4BB01057"/>
    <w:rsid w:val="4BC1265B"/>
    <w:rsid w:val="4BF4363A"/>
    <w:rsid w:val="4C134EA5"/>
    <w:rsid w:val="4C18256C"/>
    <w:rsid w:val="4C2E37C9"/>
    <w:rsid w:val="4C3E48B5"/>
    <w:rsid w:val="4C4738F6"/>
    <w:rsid w:val="4C840CDA"/>
    <w:rsid w:val="4C8C73CE"/>
    <w:rsid w:val="4C90097D"/>
    <w:rsid w:val="4C991AEB"/>
    <w:rsid w:val="4CBD7ED0"/>
    <w:rsid w:val="4CC052CA"/>
    <w:rsid w:val="4CD6689C"/>
    <w:rsid w:val="4CE30FB8"/>
    <w:rsid w:val="4CFD207A"/>
    <w:rsid w:val="4CFE06FF"/>
    <w:rsid w:val="4D111FCA"/>
    <w:rsid w:val="4D185106"/>
    <w:rsid w:val="4D1A3400"/>
    <w:rsid w:val="4D21045F"/>
    <w:rsid w:val="4D2A1371"/>
    <w:rsid w:val="4D2B55C7"/>
    <w:rsid w:val="4D52686A"/>
    <w:rsid w:val="4D57624D"/>
    <w:rsid w:val="4D636C8B"/>
    <w:rsid w:val="4D7A7B6F"/>
    <w:rsid w:val="4D8C1650"/>
    <w:rsid w:val="4D9C7C8B"/>
    <w:rsid w:val="4DA60964"/>
    <w:rsid w:val="4DAD1397"/>
    <w:rsid w:val="4DBA61BD"/>
    <w:rsid w:val="4DBC1F35"/>
    <w:rsid w:val="4DD565AE"/>
    <w:rsid w:val="4E042C1E"/>
    <w:rsid w:val="4E0833CC"/>
    <w:rsid w:val="4E092CA1"/>
    <w:rsid w:val="4E1F24C4"/>
    <w:rsid w:val="4E2A3343"/>
    <w:rsid w:val="4E37780E"/>
    <w:rsid w:val="4E5C54DD"/>
    <w:rsid w:val="4E6C395B"/>
    <w:rsid w:val="4E6D1482"/>
    <w:rsid w:val="4E6D76D3"/>
    <w:rsid w:val="4E702289"/>
    <w:rsid w:val="4E9133C2"/>
    <w:rsid w:val="4EB1136E"/>
    <w:rsid w:val="4EB66985"/>
    <w:rsid w:val="4EC015B1"/>
    <w:rsid w:val="4EC512BE"/>
    <w:rsid w:val="4ECD1F20"/>
    <w:rsid w:val="4ED62CFF"/>
    <w:rsid w:val="4EFE20DA"/>
    <w:rsid w:val="4F062131"/>
    <w:rsid w:val="4F1441D3"/>
    <w:rsid w:val="4F2272E3"/>
    <w:rsid w:val="4F583EE0"/>
    <w:rsid w:val="4F827930"/>
    <w:rsid w:val="4F8E7901"/>
    <w:rsid w:val="4F9F3039"/>
    <w:rsid w:val="4FA063E8"/>
    <w:rsid w:val="4FBA4253"/>
    <w:rsid w:val="4FBB7FCB"/>
    <w:rsid w:val="4FC82E13"/>
    <w:rsid w:val="4FD61764"/>
    <w:rsid w:val="4FD74E04"/>
    <w:rsid w:val="50011E81"/>
    <w:rsid w:val="50137E07"/>
    <w:rsid w:val="504F52E3"/>
    <w:rsid w:val="506B19F1"/>
    <w:rsid w:val="507765E7"/>
    <w:rsid w:val="5079410E"/>
    <w:rsid w:val="50940F47"/>
    <w:rsid w:val="50B138A7"/>
    <w:rsid w:val="50CC06E1"/>
    <w:rsid w:val="50D15F70"/>
    <w:rsid w:val="50D92DFE"/>
    <w:rsid w:val="50DB6B76"/>
    <w:rsid w:val="50DC644B"/>
    <w:rsid w:val="50DD197E"/>
    <w:rsid w:val="50E3434F"/>
    <w:rsid w:val="511D0F3D"/>
    <w:rsid w:val="51204589"/>
    <w:rsid w:val="512D6CA6"/>
    <w:rsid w:val="51330760"/>
    <w:rsid w:val="514E10F6"/>
    <w:rsid w:val="514E559A"/>
    <w:rsid w:val="51750D79"/>
    <w:rsid w:val="51782617"/>
    <w:rsid w:val="51B86EB8"/>
    <w:rsid w:val="51EB103B"/>
    <w:rsid w:val="520619D1"/>
    <w:rsid w:val="52104F22"/>
    <w:rsid w:val="52176F00"/>
    <w:rsid w:val="521E703D"/>
    <w:rsid w:val="5238328E"/>
    <w:rsid w:val="52636A33"/>
    <w:rsid w:val="527252B8"/>
    <w:rsid w:val="528172AA"/>
    <w:rsid w:val="52A86F2C"/>
    <w:rsid w:val="52B21366"/>
    <w:rsid w:val="52BA5878"/>
    <w:rsid w:val="52CD0741"/>
    <w:rsid w:val="52D90E94"/>
    <w:rsid w:val="52DF3998"/>
    <w:rsid w:val="52E8323C"/>
    <w:rsid w:val="52EE7277"/>
    <w:rsid w:val="52FB14A6"/>
    <w:rsid w:val="52FC00CF"/>
    <w:rsid w:val="52FE4D9E"/>
    <w:rsid w:val="53053951"/>
    <w:rsid w:val="531243A6"/>
    <w:rsid w:val="53126132"/>
    <w:rsid w:val="53334A48"/>
    <w:rsid w:val="535520A9"/>
    <w:rsid w:val="53584D46"/>
    <w:rsid w:val="538E5AD6"/>
    <w:rsid w:val="53B8319F"/>
    <w:rsid w:val="53BF0089"/>
    <w:rsid w:val="53D6017A"/>
    <w:rsid w:val="53E67D0C"/>
    <w:rsid w:val="54042421"/>
    <w:rsid w:val="540939FA"/>
    <w:rsid w:val="540E7263"/>
    <w:rsid w:val="54243246"/>
    <w:rsid w:val="54352A41"/>
    <w:rsid w:val="543C3EA2"/>
    <w:rsid w:val="54442C85"/>
    <w:rsid w:val="5455279C"/>
    <w:rsid w:val="54583191"/>
    <w:rsid w:val="546B6463"/>
    <w:rsid w:val="546E1AAF"/>
    <w:rsid w:val="548B440F"/>
    <w:rsid w:val="54A379AB"/>
    <w:rsid w:val="54AA6F8B"/>
    <w:rsid w:val="54D72FD2"/>
    <w:rsid w:val="54EA718B"/>
    <w:rsid w:val="550171E7"/>
    <w:rsid w:val="5516017D"/>
    <w:rsid w:val="551663CF"/>
    <w:rsid w:val="551D59AF"/>
    <w:rsid w:val="55236D3E"/>
    <w:rsid w:val="55342CF9"/>
    <w:rsid w:val="55452810"/>
    <w:rsid w:val="555321A3"/>
    <w:rsid w:val="557D5056"/>
    <w:rsid w:val="55913CA7"/>
    <w:rsid w:val="55CA0F67"/>
    <w:rsid w:val="55CD30D2"/>
    <w:rsid w:val="55D10548"/>
    <w:rsid w:val="5612303A"/>
    <w:rsid w:val="561A5A4B"/>
    <w:rsid w:val="562C39D0"/>
    <w:rsid w:val="56327239"/>
    <w:rsid w:val="563665FD"/>
    <w:rsid w:val="56470FD4"/>
    <w:rsid w:val="564927D4"/>
    <w:rsid w:val="56551179"/>
    <w:rsid w:val="565A053D"/>
    <w:rsid w:val="56755377"/>
    <w:rsid w:val="567A298E"/>
    <w:rsid w:val="567E6272"/>
    <w:rsid w:val="568B4B9B"/>
    <w:rsid w:val="569A4DDE"/>
    <w:rsid w:val="569E48CE"/>
    <w:rsid w:val="56E66275"/>
    <w:rsid w:val="56EE0C86"/>
    <w:rsid w:val="573E1A49"/>
    <w:rsid w:val="574511ED"/>
    <w:rsid w:val="57631674"/>
    <w:rsid w:val="5789732C"/>
    <w:rsid w:val="57925AB5"/>
    <w:rsid w:val="57AB03F4"/>
    <w:rsid w:val="57BA2016"/>
    <w:rsid w:val="57D63BF4"/>
    <w:rsid w:val="57D936E4"/>
    <w:rsid w:val="57F16C7F"/>
    <w:rsid w:val="57F93083"/>
    <w:rsid w:val="58006811"/>
    <w:rsid w:val="580A7D41"/>
    <w:rsid w:val="5816663A"/>
    <w:rsid w:val="58337298"/>
    <w:rsid w:val="58706602"/>
    <w:rsid w:val="5886386C"/>
    <w:rsid w:val="588B70D4"/>
    <w:rsid w:val="589104ED"/>
    <w:rsid w:val="58A91308"/>
    <w:rsid w:val="58C53379"/>
    <w:rsid w:val="59015C8D"/>
    <w:rsid w:val="590E257A"/>
    <w:rsid w:val="59162E41"/>
    <w:rsid w:val="59172716"/>
    <w:rsid w:val="591946E0"/>
    <w:rsid w:val="591F7797"/>
    <w:rsid w:val="594D25DB"/>
    <w:rsid w:val="59575208"/>
    <w:rsid w:val="595E6596"/>
    <w:rsid w:val="595F29D9"/>
    <w:rsid w:val="59605E6B"/>
    <w:rsid w:val="596C250B"/>
    <w:rsid w:val="599E153A"/>
    <w:rsid w:val="599E65D0"/>
    <w:rsid w:val="59A541C5"/>
    <w:rsid w:val="59AC5554"/>
    <w:rsid w:val="59B241EC"/>
    <w:rsid w:val="59D800F7"/>
    <w:rsid w:val="59DC5B97"/>
    <w:rsid w:val="59E52814"/>
    <w:rsid w:val="59EF5441"/>
    <w:rsid w:val="59FE7432"/>
    <w:rsid w:val="5A0452A7"/>
    <w:rsid w:val="5A0E1D6B"/>
    <w:rsid w:val="5A2055FA"/>
    <w:rsid w:val="5A492DA3"/>
    <w:rsid w:val="5A4B2B58"/>
    <w:rsid w:val="5A6E6AA8"/>
    <w:rsid w:val="5A751DEA"/>
    <w:rsid w:val="5A7F67C4"/>
    <w:rsid w:val="5A952256"/>
    <w:rsid w:val="5AA224B3"/>
    <w:rsid w:val="5AAF7F15"/>
    <w:rsid w:val="5AC1421A"/>
    <w:rsid w:val="5AC71F19"/>
    <w:rsid w:val="5AD01D2B"/>
    <w:rsid w:val="5AD84127"/>
    <w:rsid w:val="5AF745AD"/>
    <w:rsid w:val="5B172EA1"/>
    <w:rsid w:val="5B275CC0"/>
    <w:rsid w:val="5B2D7FCE"/>
    <w:rsid w:val="5B2F1F99"/>
    <w:rsid w:val="5B4A6DD2"/>
    <w:rsid w:val="5B4F3334"/>
    <w:rsid w:val="5B8147BE"/>
    <w:rsid w:val="5B865931"/>
    <w:rsid w:val="5BA83AF9"/>
    <w:rsid w:val="5BA858A7"/>
    <w:rsid w:val="5BB10BFF"/>
    <w:rsid w:val="5BBB1A7E"/>
    <w:rsid w:val="5BBB508A"/>
    <w:rsid w:val="5BC56459"/>
    <w:rsid w:val="5BDB1283"/>
    <w:rsid w:val="5BDD1065"/>
    <w:rsid w:val="5BEC60DC"/>
    <w:rsid w:val="5BED59B0"/>
    <w:rsid w:val="5BEF2C47"/>
    <w:rsid w:val="5C07273B"/>
    <w:rsid w:val="5C0827EA"/>
    <w:rsid w:val="5C0C66EE"/>
    <w:rsid w:val="5C133668"/>
    <w:rsid w:val="5C1B076F"/>
    <w:rsid w:val="5C237623"/>
    <w:rsid w:val="5C2C0286"/>
    <w:rsid w:val="5C4053A2"/>
    <w:rsid w:val="5C5D6E1A"/>
    <w:rsid w:val="5C653416"/>
    <w:rsid w:val="5C6E2094"/>
    <w:rsid w:val="5C7644F2"/>
    <w:rsid w:val="5C86031F"/>
    <w:rsid w:val="5C98591B"/>
    <w:rsid w:val="5CA2679A"/>
    <w:rsid w:val="5CC20BEA"/>
    <w:rsid w:val="5CD1707F"/>
    <w:rsid w:val="5CEE7C31"/>
    <w:rsid w:val="5D0336DD"/>
    <w:rsid w:val="5D1E0517"/>
    <w:rsid w:val="5D327B1E"/>
    <w:rsid w:val="5D417D61"/>
    <w:rsid w:val="5D445AA3"/>
    <w:rsid w:val="5D4F09FD"/>
    <w:rsid w:val="5D4F6922"/>
    <w:rsid w:val="5D593B9B"/>
    <w:rsid w:val="5D681792"/>
    <w:rsid w:val="5D6879E4"/>
    <w:rsid w:val="5D8B20DF"/>
    <w:rsid w:val="5D9407D9"/>
    <w:rsid w:val="5D941DBC"/>
    <w:rsid w:val="5D9E1657"/>
    <w:rsid w:val="5DA44EE4"/>
    <w:rsid w:val="5DA64068"/>
    <w:rsid w:val="5DC6470A"/>
    <w:rsid w:val="5DCA5FA9"/>
    <w:rsid w:val="5DDF554B"/>
    <w:rsid w:val="5DFA4B8C"/>
    <w:rsid w:val="5E0A0A9B"/>
    <w:rsid w:val="5E135BA1"/>
    <w:rsid w:val="5E1C0622"/>
    <w:rsid w:val="5E31427A"/>
    <w:rsid w:val="5E4E4E2C"/>
    <w:rsid w:val="5E4F4700"/>
    <w:rsid w:val="5E5B4E53"/>
    <w:rsid w:val="5E5F7277"/>
    <w:rsid w:val="5E68756F"/>
    <w:rsid w:val="5E6E2DD8"/>
    <w:rsid w:val="5E736640"/>
    <w:rsid w:val="5E7C09F8"/>
    <w:rsid w:val="5EA81761"/>
    <w:rsid w:val="5EA93E10"/>
    <w:rsid w:val="5EDD7F5D"/>
    <w:rsid w:val="5EF62DCD"/>
    <w:rsid w:val="5EF7101F"/>
    <w:rsid w:val="5EFC6636"/>
    <w:rsid w:val="5F28567D"/>
    <w:rsid w:val="5F3D06FD"/>
    <w:rsid w:val="5F630463"/>
    <w:rsid w:val="5F645F89"/>
    <w:rsid w:val="5F702B80"/>
    <w:rsid w:val="5F772160"/>
    <w:rsid w:val="5F7C1524"/>
    <w:rsid w:val="5F8B7223"/>
    <w:rsid w:val="5FAF18FA"/>
    <w:rsid w:val="5FB707AE"/>
    <w:rsid w:val="5FBC6771"/>
    <w:rsid w:val="5FCD0473"/>
    <w:rsid w:val="5FD255E8"/>
    <w:rsid w:val="5FD451CA"/>
    <w:rsid w:val="5FD50C35"/>
    <w:rsid w:val="5FF923DA"/>
    <w:rsid w:val="5FFF5CB2"/>
    <w:rsid w:val="600F0F55"/>
    <w:rsid w:val="601E438A"/>
    <w:rsid w:val="602120CC"/>
    <w:rsid w:val="6037488B"/>
    <w:rsid w:val="60885CA7"/>
    <w:rsid w:val="6089214B"/>
    <w:rsid w:val="60911000"/>
    <w:rsid w:val="60BF556F"/>
    <w:rsid w:val="60C03693"/>
    <w:rsid w:val="60C2565D"/>
    <w:rsid w:val="60C2740B"/>
    <w:rsid w:val="60D26CB0"/>
    <w:rsid w:val="60E84AB8"/>
    <w:rsid w:val="60FC0FD2"/>
    <w:rsid w:val="610F0176"/>
    <w:rsid w:val="612B1454"/>
    <w:rsid w:val="612B2A73"/>
    <w:rsid w:val="612C6F7A"/>
    <w:rsid w:val="61406582"/>
    <w:rsid w:val="614E5143"/>
    <w:rsid w:val="615D260A"/>
    <w:rsid w:val="617F52FC"/>
    <w:rsid w:val="61970898"/>
    <w:rsid w:val="619863BE"/>
    <w:rsid w:val="619D39D4"/>
    <w:rsid w:val="61AB7E9F"/>
    <w:rsid w:val="61B775A5"/>
    <w:rsid w:val="61C176C2"/>
    <w:rsid w:val="61D70C94"/>
    <w:rsid w:val="61E41603"/>
    <w:rsid w:val="61E635CD"/>
    <w:rsid w:val="625C563D"/>
    <w:rsid w:val="626A7D5A"/>
    <w:rsid w:val="62764951"/>
    <w:rsid w:val="628030DA"/>
    <w:rsid w:val="628A1536"/>
    <w:rsid w:val="6291178B"/>
    <w:rsid w:val="62953F06"/>
    <w:rsid w:val="62A0377C"/>
    <w:rsid w:val="62A274F4"/>
    <w:rsid w:val="62A462AD"/>
    <w:rsid w:val="62B03C86"/>
    <w:rsid w:val="62B92A90"/>
    <w:rsid w:val="62BB05B6"/>
    <w:rsid w:val="62E91AF8"/>
    <w:rsid w:val="62EB2CE3"/>
    <w:rsid w:val="62EF3E31"/>
    <w:rsid w:val="62FB4E56"/>
    <w:rsid w:val="63091321"/>
    <w:rsid w:val="631F41C5"/>
    <w:rsid w:val="63493E13"/>
    <w:rsid w:val="63495BC1"/>
    <w:rsid w:val="63536A40"/>
    <w:rsid w:val="63556314"/>
    <w:rsid w:val="63612F0B"/>
    <w:rsid w:val="638B7F88"/>
    <w:rsid w:val="638E2A6E"/>
    <w:rsid w:val="638E5CCA"/>
    <w:rsid w:val="63B03E93"/>
    <w:rsid w:val="63B23767"/>
    <w:rsid w:val="63B374DF"/>
    <w:rsid w:val="63C11BFC"/>
    <w:rsid w:val="63D11FD6"/>
    <w:rsid w:val="63DF02D4"/>
    <w:rsid w:val="63E820BD"/>
    <w:rsid w:val="63F55D49"/>
    <w:rsid w:val="63FD00F7"/>
    <w:rsid w:val="640C5915"/>
    <w:rsid w:val="64502F80"/>
    <w:rsid w:val="64561826"/>
    <w:rsid w:val="64617DE7"/>
    <w:rsid w:val="646E0010"/>
    <w:rsid w:val="64721148"/>
    <w:rsid w:val="64787908"/>
    <w:rsid w:val="648A0240"/>
    <w:rsid w:val="6497295D"/>
    <w:rsid w:val="64A01811"/>
    <w:rsid w:val="64AF1596"/>
    <w:rsid w:val="64B50653"/>
    <w:rsid w:val="64E50545"/>
    <w:rsid w:val="64F25DE5"/>
    <w:rsid w:val="64FE6027"/>
    <w:rsid w:val="650224CC"/>
    <w:rsid w:val="65150451"/>
    <w:rsid w:val="6534451A"/>
    <w:rsid w:val="654806C1"/>
    <w:rsid w:val="65B8702E"/>
    <w:rsid w:val="65CC6636"/>
    <w:rsid w:val="65CE0600"/>
    <w:rsid w:val="65D77DB5"/>
    <w:rsid w:val="65DF280D"/>
    <w:rsid w:val="65F07B20"/>
    <w:rsid w:val="65F71905"/>
    <w:rsid w:val="663F32AC"/>
    <w:rsid w:val="664A237C"/>
    <w:rsid w:val="66680A54"/>
    <w:rsid w:val="66A44487"/>
    <w:rsid w:val="66BB6DD6"/>
    <w:rsid w:val="66C22463"/>
    <w:rsid w:val="66D47E80"/>
    <w:rsid w:val="67075E3B"/>
    <w:rsid w:val="6758164A"/>
    <w:rsid w:val="675B4115"/>
    <w:rsid w:val="67672ABA"/>
    <w:rsid w:val="678C0773"/>
    <w:rsid w:val="67957627"/>
    <w:rsid w:val="67A1421E"/>
    <w:rsid w:val="67AE2497"/>
    <w:rsid w:val="67B101D9"/>
    <w:rsid w:val="67BF46A4"/>
    <w:rsid w:val="67DC4D02"/>
    <w:rsid w:val="67E009E2"/>
    <w:rsid w:val="67F27CE8"/>
    <w:rsid w:val="67FD44DC"/>
    <w:rsid w:val="68073211"/>
    <w:rsid w:val="684150B9"/>
    <w:rsid w:val="6853303E"/>
    <w:rsid w:val="685400D7"/>
    <w:rsid w:val="68617509"/>
    <w:rsid w:val="68654F6B"/>
    <w:rsid w:val="68703BF0"/>
    <w:rsid w:val="687A5CD7"/>
    <w:rsid w:val="687D0256"/>
    <w:rsid w:val="687E00BB"/>
    <w:rsid w:val="687E630D"/>
    <w:rsid w:val="688F22C8"/>
    <w:rsid w:val="68A67612"/>
    <w:rsid w:val="68FD701E"/>
    <w:rsid w:val="69053166"/>
    <w:rsid w:val="69194288"/>
    <w:rsid w:val="691E2357"/>
    <w:rsid w:val="69291EFB"/>
    <w:rsid w:val="693E35B7"/>
    <w:rsid w:val="694A61EF"/>
    <w:rsid w:val="694D7A8E"/>
    <w:rsid w:val="695B21AB"/>
    <w:rsid w:val="695B664F"/>
    <w:rsid w:val="696A448C"/>
    <w:rsid w:val="696C260A"/>
    <w:rsid w:val="69765236"/>
    <w:rsid w:val="69915AAA"/>
    <w:rsid w:val="69967687"/>
    <w:rsid w:val="69A61A98"/>
    <w:rsid w:val="69BD4C13"/>
    <w:rsid w:val="69BE2739"/>
    <w:rsid w:val="69CE0BCF"/>
    <w:rsid w:val="69D63F27"/>
    <w:rsid w:val="6A266C5C"/>
    <w:rsid w:val="6A2904FB"/>
    <w:rsid w:val="6A301889"/>
    <w:rsid w:val="6A4C59A8"/>
    <w:rsid w:val="6A773014"/>
    <w:rsid w:val="6A8E65B0"/>
    <w:rsid w:val="6A8F61F9"/>
    <w:rsid w:val="6AAB1ED1"/>
    <w:rsid w:val="6AB778B5"/>
    <w:rsid w:val="6ACA3A8C"/>
    <w:rsid w:val="6ACD0E86"/>
    <w:rsid w:val="6AD20E4B"/>
    <w:rsid w:val="6AD23C69"/>
    <w:rsid w:val="6AE57762"/>
    <w:rsid w:val="6AE6019A"/>
    <w:rsid w:val="6AEA051B"/>
    <w:rsid w:val="6AFF54B5"/>
    <w:rsid w:val="6B040620"/>
    <w:rsid w:val="6B15282D"/>
    <w:rsid w:val="6B166CD1"/>
    <w:rsid w:val="6B482C03"/>
    <w:rsid w:val="6B5B0B88"/>
    <w:rsid w:val="6B6D237F"/>
    <w:rsid w:val="6B8549B8"/>
    <w:rsid w:val="6B8A4FC9"/>
    <w:rsid w:val="6B9145AA"/>
    <w:rsid w:val="6B9320D0"/>
    <w:rsid w:val="6B9D4CFC"/>
    <w:rsid w:val="6BEA3CBA"/>
    <w:rsid w:val="6BEA5A68"/>
    <w:rsid w:val="6BEF307E"/>
    <w:rsid w:val="6BFF1513"/>
    <w:rsid w:val="6C327B3B"/>
    <w:rsid w:val="6C384A25"/>
    <w:rsid w:val="6C5B2B4E"/>
    <w:rsid w:val="6C946C79"/>
    <w:rsid w:val="6CA25845"/>
    <w:rsid w:val="6CC87B57"/>
    <w:rsid w:val="6CC9166F"/>
    <w:rsid w:val="6CD04C5E"/>
    <w:rsid w:val="6CD40BF2"/>
    <w:rsid w:val="6D060641"/>
    <w:rsid w:val="6D100CE9"/>
    <w:rsid w:val="6D1B5C76"/>
    <w:rsid w:val="6D5E495F"/>
    <w:rsid w:val="6D7529A6"/>
    <w:rsid w:val="6DCF760B"/>
    <w:rsid w:val="6DE05ACE"/>
    <w:rsid w:val="6DF40A31"/>
    <w:rsid w:val="6DF57072"/>
    <w:rsid w:val="6E0E18AD"/>
    <w:rsid w:val="6E2C05BA"/>
    <w:rsid w:val="6E7C1007"/>
    <w:rsid w:val="6E7E6E37"/>
    <w:rsid w:val="6EB20ABF"/>
    <w:rsid w:val="6ECD58F9"/>
    <w:rsid w:val="6ED86B95"/>
    <w:rsid w:val="6EDA1ED2"/>
    <w:rsid w:val="6EF410D7"/>
    <w:rsid w:val="6F0D3F47"/>
    <w:rsid w:val="6F146E66"/>
    <w:rsid w:val="6F176B74"/>
    <w:rsid w:val="6F235519"/>
    <w:rsid w:val="6F241291"/>
    <w:rsid w:val="6F280D81"/>
    <w:rsid w:val="6F2D2FDE"/>
    <w:rsid w:val="6F6A3147"/>
    <w:rsid w:val="6F906926"/>
    <w:rsid w:val="6F970AF7"/>
    <w:rsid w:val="6FAF14A2"/>
    <w:rsid w:val="6FF000D3"/>
    <w:rsid w:val="70143B2C"/>
    <w:rsid w:val="70157BEC"/>
    <w:rsid w:val="70222BFF"/>
    <w:rsid w:val="7027728A"/>
    <w:rsid w:val="702C48A1"/>
    <w:rsid w:val="703B7727"/>
    <w:rsid w:val="70426DA6"/>
    <w:rsid w:val="70447F3B"/>
    <w:rsid w:val="705C33D8"/>
    <w:rsid w:val="705F4C76"/>
    <w:rsid w:val="7060454A"/>
    <w:rsid w:val="706758D9"/>
    <w:rsid w:val="70782982"/>
    <w:rsid w:val="70926DFA"/>
    <w:rsid w:val="70B52AE8"/>
    <w:rsid w:val="70BE677E"/>
    <w:rsid w:val="70FA674D"/>
    <w:rsid w:val="7105765A"/>
    <w:rsid w:val="711D0E88"/>
    <w:rsid w:val="714D0F73"/>
    <w:rsid w:val="715D46EB"/>
    <w:rsid w:val="716B404A"/>
    <w:rsid w:val="71B7463E"/>
    <w:rsid w:val="71CF1988"/>
    <w:rsid w:val="71D13952"/>
    <w:rsid w:val="71D64AC4"/>
    <w:rsid w:val="71D76A8E"/>
    <w:rsid w:val="71E511AB"/>
    <w:rsid w:val="7214383E"/>
    <w:rsid w:val="721D6B97"/>
    <w:rsid w:val="722577FA"/>
    <w:rsid w:val="722D66AE"/>
    <w:rsid w:val="7267248B"/>
    <w:rsid w:val="72872262"/>
    <w:rsid w:val="72A11576"/>
    <w:rsid w:val="72C41BF8"/>
    <w:rsid w:val="72CB1B21"/>
    <w:rsid w:val="72E15E16"/>
    <w:rsid w:val="72FA0C86"/>
    <w:rsid w:val="73025D8D"/>
    <w:rsid w:val="730D09BA"/>
    <w:rsid w:val="730E64E0"/>
    <w:rsid w:val="73261A7B"/>
    <w:rsid w:val="73363C8E"/>
    <w:rsid w:val="73C0167E"/>
    <w:rsid w:val="73C179F6"/>
    <w:rsid w:val="73ED2599"/>
    <w:rsid w:val="73F43887"/>
    <w:rsid w:val="74035919"/>
    <w:rsid w:val="742A559B"/>
    <w:rsid w:val="74807710"/>
    <w:rsid w:val="7489258C"/>
    <w:rsid w:val="748A7DE8"/>
    <w:rsid w:val="74982D23"/>
    <w:rsid w:val="749B6D49"/>
    <w:rsid w:val="74AA048A"/>
    <w:rsid w:val="74C01A5C"/>
    <w:rsid w:val="74C94DB4"/>
    <w:rsid w:val="74D07EF1"/>
    <w:rsid w:val="74E44346"/>
    <w:rsid w:val="74E67714"/>
    <w:rsid w:val="74EE5B42"/>
    <w:rsid w:val="74F160B9"/>
    <w:rsid w:val="75263FB5"/>
    <w:rsid w:val="7531363C"/>
    <w:rsid w:val="7534466A"/>
    <w:rsid w:val="75371D1E"/>
    <w:rsid w:val="753D4E5A"/>
    <w:rsid w:val="75554EB7"/>
    <w:rsid w:val="75575F1C"/>
    <w:rsid w:val="7561323F"/>
    <w:rsid w:val="757F36C5"/>
    <w:rsid w:val="75864A53"/>
    <w:rsid w:val="758B02BC"/>
    <w:rsid w:val="7592164A"/>
    <w:rsid w:val="75CF63FA"/>
    <w:rsid w:val="75E874BC"/>
    <w:rsid w:val="75F53B5E"/>
    <w:rsid w:val="76143A7C"/>
    <w:rsid w:val="76165DD7"/>
    <w:rsid w:val="761C0F14"/>
    <w:rsid w:val="762D67F3"/>
    <w:rsid w:val="76326989"/>
    <w:rsid w:val="76373F9F"/>
    <w:rsid w:val="763B75EC"/>
    <w:rsid w:val="76404C02"/>
    <w:rsid w:val="764F3097"/>
    <w:rsid w:val="76640494"/>
    <w:rsid w:val="76742AFE"/>
    <w:rsid w:val="76784B5F"/>
    <w:rsid w:val="76A2766B"/>
    <w:rsid w:val="76B64EC4"/>
    <w:rsid w:val="76B949B4"/>
    <w:rsid w:val="76E00193"/>
    <w:rsid w:val="76EF6628"/>
    <w:rsid w:val="76FC438A"/>
    <w:rsid w:val="77060275"/>
    <w:rsid w:val="7711659E"/>
    <w:rsid w:val="7712735A"/>
    <w:rsid w:val="772633A6"/>
    <w:rsid w:val="772E0EFE"/>
    <w:rsid w:val="77483121"/>
    <w:rsid w:val="77512B7E"/>
    <w:rsid w:val="77530ACC"/>
    <w:rsid w:val="77822FF8"/>
    <w:rsid w:val="77882D05"/>
    <w:rsid w:val="779F5A31"/>
    <w:rsid w:val="77A17922"/>
    <w:rsid w:val="77B538BA"/>
    <w:rsid w:val="77BC616A"/>
    <w:rsid w:val="77C67389"/>
    <w:rsid w:val="78065D9D"/>
    <w:rsid w:val="7814332A"/>
    <w:rsid w:val="781F6A99"/>
    <w:rsid w:val="78253603"/>
    <w:rsid w:val="782930FB"/>
    <w:rsid w:val="78462278"/>
    <w:rsid w:val="78564BB1"/>
    <w:rsid w:val="785B21C7"/>
    <w:rsid w:val="7864184C"/>
    <w:rsid w:val="78715547"/>
    <w:rsid w:val="7879264D"/>
    <w:rsid w:val="788D60F9"/>
    <w:rsid w:val="788E73C7"/>
    <w:rsid w:val="789F4C85"/>
    <w:rsid w:val="78C310E0"/>
    <w:rsid w:val="78D14A6A"/>
    <w:rsid w:val="78EC72C3"/>
    <w:rsid w:val="78F10436"/>
    <w:rsid w:val="79172BFD"/>
    <w:rsid w:val="79295E21"/>
    <w:rsid w:val="7984408C"/>
    <w:rsid w:val="79905EA0"/>
    <w:rsid w:val="79982FA7"/>
    <w:rsid w:val="799A1440"/>
    <w:rsid w:val="799D0BD2"/>
    <w:rsid w:val="79B7342D"/>
    <w:rsid w:val="79E81839"/>
    <w:rsid w:val="7A0572C5"/>
    <w:rsid w:val="7A0B19CB"/>
    <w:rsid w:val="7A0E5017"/>
    <w:rsid w:val="7A0F14BB"/>
    <w:rsid w:val="7A2B0650"/>
    <w:rsid w:val="7A364CA1"/>
    <w:rsid w:val="7A3F48BC"/>
    <w:rsid w:val="7A574C10"/>
    <w:rsid w:val="7A6510DB"/>
    <w:rsid w:val="7A733C63"/>
    <w:rsid w:val="7A756E44"/>
    <w:rsid w:val="7A7C4677"/>
    <w:rsid w:val="7A820CA8"/>
    <w:rsid w:val="7A8D060F"/>
    <w:rsid w:val="7AA940B9"/>
    <w:rsid w:val="7ABB21BA"/>
    <w:rsid w:val="7AC258AA"/>
    <w:rsid w:val="7AF728B3"/>
    <w:rsid w:val="7AF91823"/>
    <w:rsid w:val="7AFB47C4"/>
    <w:rsid w:val="7AFC26F9"/>
    <w:rsid w:val="7B060A1C"/>
    <w:rsid w:val="7B193C74"/>
    <w:rsid w:val="7B1D3764"/>
    <w:rsid w:val="7B1E128A"/>
    <w:rsid w:val="7B4038F6"/>
    <w:rsid w:val="7B4056A4"/>
    <w:rsid w:val="7B4707E1"/>
    <w:rsid w:val="7B7E67DE"/>
    <w:rsid w:val="7B8F36B7"/>
    <w:rsid w:val="7B9149D4"/>
    <w:rsid w:val="7B971768"/>
    <w:rsid w:val="7BB15D01"/>
    <w:rsid w:val="7BB35E76"/>
    <w:rsid w:val="7BC260B9"/>
    <w:rsid w:val="7BCB092A"/>
    <w:rsid w:val="7C06244A"/>
    <w:rsid w:val="7C1E1D0C"/>
    <w:rsid w:val="7C2823C0"/>
    <w:rsid w:val="7C4B4301"/>
    <w:rsid w:val="7C5E4034"/>
    <w:rsid w:val="7C907F65"/>
    <w:rsid w:val="7C961A20"/>
    <w:rsid w:val="7C99506C"/>
    <w:rsid w:val="7CB1695B"/>
    <w:rsid w:val="7CDD764F"/>
    <w:rsid w:val="7CE31841"/>
    <w:rsid w:val="7CE47D4A"/>
    <w:rsid w:val="7D123F55"/>
    <w:rsid w:val="7D250FF6"/>
    <w:rsid w:val="7D3B4375"/>
    <w:rsid w:val="7D3D3650"/>
    <w:rsid w:val="7D5009C7"/>
    <w:rsid w:val="7D717D97"/>
    <w:rsid w:val="7D7358BD"/>
    <w:rsid w:val="7D7C30F3"/>
    <w:rsid w:val="7D7D04EA"/>
    <w:rsid w:val="7D831878"/>
    <w:rsid w:val="7DB54128"/>
    <w:rsid w:val="7DEB7B49"/>
    <w:rsid w:val="7DF822E1"/>
    <w:rsid w:val="7E01736D"/>
    <w:rsid w:val="7E3A63DB"/>
    <w:rsid w:val="7E4159BB"/>
    <w:rsid w:val="7E553996"/>
    <w:rsid w:val="7E5C27F5"/>
    <w:rsid w:val="7E5E47BF"/>
    <w:rsid w:val="7E8525EA"/>
    <w:rsid w:val="7E906943"/>
    <w:rsid w:val="7E941F8F"/>
    <w:rsid w:val="7E9C0831"/>
    <w:rsid w:val="7E9C0E44"/>
    <w:rsid w:val="7EBF4B32"/>
    <w:rsid w:val="7ED224C9"/>
    <w:rsid w:val="7EE53972"/>
    <w:rsid w:val="7EF944E8"/>
    <w:rsid w:val="7F2A46A1"/>
    <w:rsid w:val="7F361298"/>
    <w:rsid w:val="7F385010"/>
    <w:rsid w:val="7F4F4108"/>
    <w:rsid w:val="7F5F785B"/>
    <w:rsid w:val="7F7678E7"/>
    <w:rsid w:val="7F7D0C75"/>
    <w:rsid w:val="7F7D2A23"/>
    <w:rsid w:val="7F842003"/>
    <w:rsid w:val="7FA83860"/>
    <w:rsid w:val="7FAC155A"/>
    <w:rsid w:val="7FB36445"/>
    <w:rsid w:val="7FBB354B"/>
    <w:rsid w:val="7FBE7B33"/>
    <w:rsid w:val="7FC76394"/>
    <w:rsid w:val="7FD14B1D"/>
    <w:rsid w:val="7FD34D39"/>
    <w:rsid w:val="7FDF548C"/>
    <w:rsid w:val="7FFA4074"/>
    <w:rsid w:val="7FFF17B3"/>
    <w:rsid w:val="8952B34D"/>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9" w:semiHidden="0"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nhideWhenUsed="0"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qFormat="1" w:uiPriority="99" w:semiHidden="0" w:name="List Bullet 2"/>
    <w:lsdException w:uiPriority="99" w:name="List Bullet 3"/>
    <w:lsdException w:uiPriority="99" w:name="List Bullet 4"/>
    <w:lsdException w:qFormat="1" w:uiPriority="99" w:semiHidden="0"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uiPriority="99" w:name="Body Text Indent 3"/>
    <w:lsdException w:qFormat="1" w:unhideWhenUsed="0" w:uiPriority="0" w:semiHidden="0"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44"/>
    <w:qFormat/>
    <w:uiPriority w:val="9"/>
    <w:pPr>
      <w:keepNext/>
      <w:keepLines/>
      <w:spacing w:before="340" w:after="330" w:line="578" w:lineRule="auto"/>
      <w:outlineLvl w:val="0"/>
    </w:pPr>
    <w:rPr>
      <w:b/>
      <w:bCs/>
      <w:kern w:val="44"/>
      <w:sz w:val="44"/>
      <w:szCs w:val="44"/>
    </w:rPr>
  </w:style>
  <w:style w:type="paragraph" w:styleId="5">
    <w:name w:val="heading 2"/>
    <w:basedOn w:val="1"/>
    <w:next w:val="1"/>
    <w:link w:val="37"/>
    <w:qFormat/>
    <w:uiPriority w:val="99"/>
    <w:pPr>
      <w:autoSpaceDE w:val="0"/>
      <w:autoSpaceDN w:val="0"/>
      <w:jc w:val="center"/>
      <w:outlineLvl w:val="1"/>
    </w:pPr>
    <w:rPr>
      <w:rFonts w:ascii="仿宋" w:hAnsi="仿宋" w:eastAsia="仿宋" w:cs="宋体"/>
      <w:b/>
      <w:bCs/>
      <w:kern w:val="0"/>
      <w:sz w:val="24"/>
    </w:rPr>
  </w:style>
  <w:style w:type="paragraph" w:styleId="6">
    <w:name w:val="heading 3"/>
    <w:basedOn w:val="1"/>
    <w:next w:val="1"/>
    <w:qFormat/>
    <w:uiPriority w:val="9"/>
    <w:pPr>
      <w:spacing w:before="100" w:beforeAutospacing="1" w:after="100" w:afterAutospacing="1"/>
      <w:jc w:val="left"/>
      <w:outlineLvl w:val="2"/>
    </w:pPr>
    <w:rPr>
      <w:rFonts w:hint="eastAsia" w:ascii="宋体" w:hAnsi="宋体" w:eastAsia="宋体" w:cs="宋体"/>
      <w:b/>
      <w:bCs/>
      <w:kern w:val="0"/>
      <w:sz w:val="27"/>
      <w:szCs w:val="27"/>
      <w:lang w:val="en-US" w:eastAsia="zh-CN" w:bidi="ar"/>
    </w:rPr>
  </w:style>
  <w:style w:type="character" w:default="1" w:styleId="30">
    <w:name w:val="Default Paragraph Font"/>
    <w:unhideWhenUsed/>
    <w:qFormat/>
    <w:uiPriority w:val="1"/>
  </w:style>
  <w:style w:type="table" w:default="1" w:styleId="28">
    <w:name w:val="Normal Table"/>
    <w:unhideWhenUsed/>
    <w:qFormat/>
    <w:uiPriority w:val="99"/>
    <w:tblPr>
      <w:tblCellMar>
        <w:top w:w="0" w:type="dxa"/>
        <w:left w:w="108" w:type="dxa"/>
        <w:bottom w:w="0" w:type="dxa"/>
        <w:right w:w="108" w:type="dxa"/>
      </w:tblCellMar>
    </w:tblPr>
  </w:style>
  <w:style w:type="paragraph" w:styleId="2">
    <w:name w:val="Body Text"/>
    <w:basedOn w:val="1"/>
    <w:next w:val="3"/>
    <w:link w:val="35"/>
    <w:qFormat/>
    <w:uiPriority w:val="0"/>
    <w:pPr>
      <w:spacing w:after="120"/>
    </w:pPr>
  </w:style>
  <w:style w:type="paragraph" w:styleId="3">
    <w:name w:val="List Bullet 5"/>
    <w:basedOn w:val="1"/>
    <w:unhideWhenUsed/>
    <w:qFormat/>
    <w:uiPriority w:val="99"/>
    <w:pPr>
      <w:numPr>
        <w:ilvl w:val="0"/>
        <w:numId w:val="1"/>
      </w:numPr>
    </w:pPr>
  </w:style>
  <w:style w:type="paragraph" w:styleId="7">
    <w:name w:val="Normal Indent"/>
    <w:basedOn w:val="1"/>
    <w:link w:val="38"/>
    <w:qFormat/>
    <w:uiPriority w:val="0"/>
    <w:pPr>
      <w:ind w:firstLine="420" w:firstLineChars="200"/>
    </w:pPr>
    <w:rPr>
      <w:szCs w:val="20"/>
    </w:rPr>
  </w:style>
  <w:style w:type="paragraph" w:styleId="8">
    <w:name w:val="caption"/>
    <w:basedOn w:val="1"/>
    <w:next w:val="1"/>
    <w:qFormat/>
    <w:uiPriority w:val="0"/>
    <w:pPr>
      <w:widowControl/>
      <w:jc w:val="left"/>
    </w:pPr>
    <w:rPr>
      <w:rFonts w:ascii="Calibri" w:hAnsi="Calibri"/>
      <w:b/>
      <w:bCs/>
      <w:color w:val="2DA2BF"/>
      <w:kern w:val="0"/>
      <w:sz w:val="18"/>
      <w:szCs w:val="18"/>
    </w:rPr>
  </w:style>
  <w:style w:type="paragraph" w:styleId="9">
    <w:name w:val="annotation text"/>
    <w:basedOn w:val="1"/>
    <w:link w:val="39"/>
    <w:qFormat/>
    <w:uiPriority w:val="0"/>
    <w:pPr>
      <w:jc w:val="left"/>
    </w:pPr>
  </w:style>
  <w:style w:type="paragraph" w:styleId="10">
    <w:name w:val="Body Text Indent"/>
    <w:basedOn w:val="1"/>
    <w:next w:val="1"/>
    <w:qFormat/>
    <w:uiPriority w:val="0"/>
    <w:pPr>
      <w:snapToGrid w:val="0"/>
      <w:spacing w:before="120" w:line="360" w:lineRule="atLeast"/>
      <w:ind w:firstLine="539"/>
    </w:pPr>
    <w:rPr>
      <w:sz w:val="24"/>
    </w:rPr>
  </w:style>
  <w:style w:type="paragraph" w:styleId="11">
    <w:name w:val="Block Text"/>
    <w:basedOn w:val="1"/>
    <w:qFormat/>
    <w:uiPriority w:val="0"/>
    <w:pPr>
      <w:adjustRightInd w:val="0"/>
      <w:snapToGrid w:val="0"/>
      <w:spacing w:line="490" w:lineRule="atLeast"/>
      <w:ind w:left="10" w:leftChars="5" w:right="-449" w:rightChars="-214" w:firstLine="560" w:firstLineChars="200"/>
    </w:pPr>
    <w:rPr>
      <w:color w:val="000000"/>
      <w:sz w:val="28"/>
    </w:rPr>
  </w:style>
  <w:style w:type="paragraph" w:styleId="12">
    <w:name w:val="List Bullet 2"/>
    <w:basedOn w:val="1"/>
    <w:next w:val="13"/>
    <w:unhideWhenUsed/>
    <w:qFormat/>
    <w:uiPriority w:val="99"/>
    <w:pPr>
      <w:numPr>
        <w:ilvl w:val="0"/>
        <w:numId w:val="2"/>
      </w:numPr>
    </w:pPr>
  </w:style>
  <w:style w:type="paragraph" w:customStyle="1" w:styleId="13">
    <w:name w:val="xl70"/>
    <w:basedOn w:val="1"/>
    <w:next w:val="14"/>
    <w:qFormat/>
    <w:uiPriority w:val="0"/>
    <w:pPr>
      <w:widowControl/>
      <w:pBdr>
        <w:bottom w:val="single" w:color="auto" w:sz="8" w:space="0"/>
        <w:right w:val="single" w:color="auto" w:sz="8" w:space="0"/>
      </w:pBdr>
      <w:spacing w:before="100" w:beforeAutospacing="1" w:after="100" w:afterAutospacing="1"/>
      <w:jc w:val="center"/>
    </w:pPr>
    <w:rPr>
      <w:kern w:val="0"/>
    </w:rPr>
  </w:style>
  <w:style w:type="paragraph" w:customStyle="1" w:styleId="14">
    <w:name w:val="正文缩进1"/>
    <w:basedOn w:val="1"/>
    <w:next w:val="15"/>
    <w:qFormat/>
    <w:uiPriority w:val="0"/>
    <w:pPr>
      <w:numPr>
        <w:ilvl w:val="1"/>
        <w:numId w:val="3"/>
      </w:numPr>
      <w:tabs>
        <w:tab w:val="clear" w:pos="576"/>
      </w:tabs>
      <w:spacing w:line="480" w:lineRule="exact"/>
      <w:ind w:left="0" w:firstLine="560" w:firstLineChars="200"/>
    </w:pPr>
    <w:rPr>
      <w:rFonts w:ascii="仿宋_GB2312" w:hAnsi="宋体" w:eastAsia="仿宋_GB2312"/>
      <w:sz w:val="28"/>
      <w:szCs w:val="24"/>
    </w:rPr>
  </w:style>
  <w:style w:type="paragraph" w:customStyle="1" w:styleId="15">
    <w:name w:val="td1"/>
    <w:basedOn w:val="1"/>
    <w:next w:val="1"/>
    <w:qFormat/>
    <w:uiPriority w:val="0"/>
    <w:pPr>
      <w:widowControl/>
      <w:autoSpaceDE/>
      <w:autoSpaceDN/>
      <w:spacing w:before="280" w:after="280" w:line="300" w:lineRule="atLeast"/>
      <w:ind w:left="0" w:firstLine="200"/>
    </w:pPr>
    <w:rPr>
      <w:rFonts w:ascii="Times New Roman" w:eastAsia="宋体"/>
      <w:color w:val="000000"/>
      <w:sz w:val="18"/>
    </w:rPr>
  </w:style>
  <w:style w:type="paragraph" w:styleId="16">
    <w:name w:val="toc 3"/>
    <w:basedOn w:val="1"/>
    <w:next w:val="1"/>
    <w:unhideWhenUsed/>
    <w:qFormat/>
    <w:uiPriority w:val="39"/>
    <w:pPr>
      <w:widowControl/>
      <w:spacing w:after="100" w:line="259" w:lineRule="auto"/>
      <w:ind w:left="440"/>
      <w:jc w:val="left"/>
    </w:pPr>
    <w:rPr>
      <w:rFonts w:ascii="等线" w:hAnsi="等线" w:eastAsia="等线"/>
      <w:kern w:val="0"/>
      <w:sz w:val="22"/>
      <w:szCs w:val="22"/>
    </w:rPr>
  </w:style>
  <w:style w:type="paragraph" w:styleId="17">
    <w:name w:val="Plain Text"/>
    <w:basedOn w:val="1"/>
    <w:qFormat/>
    <w:uiPriority w:val="0"/>
    <w:pPr>
      <w:adjustRightInd w:val="0"/>
      <w:spacing w:before="120" w:line="400" w:lineRule="exact"/>
      <w:textAlignment w:val="baseline"/>
    </w:pPr>
    <w:rPr>
      <w:rFonts w:ascii="宋体" w:hAnsi="Courier New"/>
      <w:spacing w:val="-2"/>
      <w:kern w:val="28"/>
    </w:rPr>
  </w:style>
  <w:style w:type="paragraph" w:styleId="18">
    <w:name w:val="Body Text Indent 2"/>
    <w:basedOn w:val="1"/>
    <w:qFormat/>
    <w:uiPriority w:val="0"/>
    <w:pPr>
      <w:spacing w:before="15" w:line="480" w:lineRule="exact"/>
      <w:ind w:firstLine="200" w:firstLineChars="200"/>
    </w:pPr>
    <w:rPr>
      <w:rFonts w:ascii="宋体"/>
      <w:spacing w:val="4"/>
      <w:sz w:val="24"/>
    </w:rPr>
  </w:style>
  <w:style w:type="paragraph" w:styleId="19">
    <w:name w:val="footer"/>
    <w:basedOn w:val="1"/>
    <w:link w:val="40"/>
    <w:unhideWhenUsed/>
    <w:qFormat/>
    <w:uiPriority w:val="99"/>
    <w:pPr>
      <w:tabs>
        <w:tab w:val="center" w:pos="4153"/>
        <w:tab w:val="right" w:pos="8306"/>
      </w:tabs>
      <w:snapToGrid w:val="0"/>
      <w:jc w:val="left"/>
    </w:pPr>
    <w:rPr>
      <w:rFonts w:ascii="等线" w:hAnsi="等线" w:eastAsia="等线" w:cs="Times New Roman"/>
      <w:sz w:val="18"/>
      <w:szCs w:val="18"/>
    </w:rPr>
  </w:style>
  <w:style w:type="paragraph" w:styleId="20">
    <w:name w:val="header"/>
    <w:basedOn w:val="1"/>
    <w:link w:val="41"/>
    <w:unhideWhenUsed/>
    <w:qFormat/>
    <w:uiPriority w:val="99"/>
    <w:pPr>
      <w:pBdr>
        <w:bottom w:val="single" w:color="auto" w:sz="6" w:space="1"/>
      </w:pBdr>
      <w:tabs>
        <w:tab w:val="center" w:pos="4153"/>
        <w:tab w:val="right" w:pos="8306"/>
      </w:tabs>
      <w:snapToGrid w:val="0"/>
      <w:jc w:val="center"/>
    </w:pPr>
    <w:rPr>
      <w:rFonts w:ascii="等线" w:hAnsi="等线" w:eastAsia="等线" w:cs="Times New Roman"/>
      <w:sz w:val="18"/>
      <w:szCs w:val="18"/>
    </w:rPr>
  </w:style>
  <w:style w:type="paragraph" w:styleId="21">
    <w:name w:val="toc 1"/>
    <w:basedOn w:val="1"/>
    <w:next w:val="1"/>
    <w:unhideWhenUsed/>
    <w:qFormat/>
    <w:uiPriority w:val="39"/>
    <w:pPr>
      <w:widowControl/>
      <w:spacing w:after="100" w:line="259" w:lineRule="auto"/>
      <w:jc w:val="left"/>
    </w:pPr>
    <w:rPr>
      <w:rFonts w:ascii="等线" w:hAnsi="等线" w:eastAsia="等线"/>
      <w:kern w:val="0"/>
      <w:sz w:val="22"/>
      <w:szCs w:val="22"/>
    </w:rPr>
  </w:style>
  <w:style w:type="paragraph" w:styleId="22">
    <w:name w:val="List"/>
    <w:basedOn w:val="1"/>
    <w:next w:val="12"/>
    <w:qFormat/>
    <w:uiPriority w:val="0"/>
    <w:pPr>
      <w:spacing w:line="240" w:lineRule="auto"/>
      <w:ind w:left="200" w:hanging="200" w:hangingChars="200"/>
      <w:jc w:val="both"/>
    </w:pPr>
    <w:rPr>
      <w:kern w:val="0"/>
      <w:sz w:val="20"/>
      <w:szCs w:val="20"/>
    </w:rPr>
  </w:style>
  <w:style w:type="paragraph" w:styleId="23">
    <w:name w:val="toc 2"/>
    <w:basedOn w:val="1"/>
    <w:next w:val="1"/>
    <w:qFormat/>
    <w:uiPriority w:val="39"/>
    <w:pPr>
      <w:widowControl/>
      <w:tabs>
        <w:tab w:val="left" w:pos="840"/>
        <w:tab w:val="right" w:leader="dot" w:pos="8511"/>
      </w:tabs>
      <w:spacing w:line="320" w:lineRule="exact"/>
      <w:ind w:left="210"/>
      <w:jc w:val="left"/>
    </w:pPr>
    <w:rPr>
      <w:rFonts w:ascii="Calibri" w:hAnsi="Calibri"/>
      <w:smallCaps/>
      <w:kern w:val="0"/>
      <w:sz w:val="24"/>
      <w:szCs w:val="22"/>
    </w:rPr>
  </w:style>
  <w:style w:type="paragraph" w:styleId="24">
    <w:name w:val="Body Text 2"/>
    <w:basedOn w:val="1"/>
    <w:qFormat/>
    <w:uiPriority w:val="0"/>
    <w:pPr>
      <w:widowControl/>
      <w:spacing w:after="120" w:line="480" w:lineRule="auto"/>
      <w:jc w:val="left"/>
    </w:pPr>
    <w:rPr>
      <w:rFonts w:ascii="Calibri" w:hAnsi="Calibri"/>
      <w:kern w:val="0"/>
      <w:sz w:val="22"/>
      <w:szCs w:val="22"/>
    </w:rPr>
  </w:style>
  <w:style w:type="paragraph" w:styleId="25">
    <w:name w:val="Normal (Web)"/>
    <w:basedOn w:val="1"/>
    <w:link w:val="42"/>
    <w:qFormat/>
    <w:uiPriority w:val="0"/>
    <w:pPr>
      <w:widowControl/>
      <w:spacing w:before="100" w:beforeAutospacing="1" w:after="100" w:afterAutospacing="1"/>
      <w:jc w:val="left"/>
    </w:pPr>
    <w:rPr>
      <w:rFonts w:ascii="宋体" w:hAnsi="宋体" w:cs="Times New Roman"/>
      <w:sz w:val="24"/>
      <w:szCs w:val="22"/>
    </w:rPr>
  </w:style>
  <w:style w:type="paragraph" w:styleId="26">
    <w:name w:val="annotation subject"/>
    <w:basedOn w:val="9"/>
    <w:next w:val="9"/>
    <w:link w:val="43"/>
    <w:unhideWhenUsed/>
    <w:qFormat/>
    <w:uiPriority w:val="99"/>
    <w:rPr>
      <w:b/>
      <w:bCs/>
    </w:rPr>
  </w:style>
  <w:style w:type="paragraph" w:styleId="27">
    <w:name w:val="Body Text First Indent"/>
    <w:qFormat/>
    <w:uiPriority w:val="0"/>
    <w:pPr>
      <w:widowControl w:val="0"/>
      <w:adjustRightInd w:val="0"/>
      <w:snapToGrid w:val="0"/>
      <w:spacing w:after="200" w:line="360" w:lineRule="auto"/>
      <w:ind w:firstLine="505"/>
    </w:pPr>
    <w:rPr>
      <w:rFonts w:ascii="Times New Roman" w:hAnsi="Times New Roman" w:eastAsia="宋体" w:cs="Times New Roman"/>
      <w:snapToGrid w:val="0"/>
      <w:kern w:val="28"/>
      <w:sz w:val="24"/>
      <w:szCs w:val="28"/>
      <w:lang w:val="en-US" w:eastAsia="zh-CN" w:bidi="ar-SA"/>
    </w:rPr>
  </w:style>
  <w:style w:type="table" w:styleId="29">
    <w:name w:val="Table Grid"/>
    <w:basedOn w:val="2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basedOn w:val="30"/>
    <w:qFormat/>
    <w:uiPriority w:val="22"/>
    <w:rPr>
      <w:b/>
    </w:rPr>
  </w:style>
  <w:style w:type="character" w:styleId="32">
    <w:name w:val="page number"/>
    <w:qFormat/>
    <w:uiPriority w:val="0"/>
  </w:style>
  <w:style w:type="character" w:styleId="33">
    <w:name w:val="Hyperlink"/>
    <w:unhideWhenUsed/>
    <w:qFormat/>
    <w:uiPriority w:val="99"/>
    <w:rPr>
      <w:color w:val="0563C1"/>
      <w:u w:val="single"/>
    </w:rPr>
  </w:style>
  <w:style w:type="character" w:styleId="34">
    <w:name w:val="annotation reference"/>
    <w:qFormat/>
    <w:uiPriority w:val="0"/>
    <w:rPr>
      <w:sz w:val="21"/>
      <w:szCs w:val="21"/>
    </w:rPr>
  </w:style>
  <w:style w:type="character" w:customStyle="1" w:styleId="35">
    <w:name w:val="正文文本 字符"/>
    <w:link w:val="2"/>
    <w:qFormat/>
    <w:uiPriority w:val="0"/>
    <w:rPr>
      <w:kern w:val="2"/>
      <w:sz w:val="21"/>
    </w:rPr>
  </w:style>
  <w:style w:type="character" w:customStyle="1" w:styleId="36">
    <w:name w:val="标题 1 Char"/>
    <w:basedOn w:val="30"/>
    <w:link w:val="4"/>
    <w:qFormat/>
    <w:uiPriority w:val="9"/>
    <w:rPr>
      <w:rFonts w:ascii="黑体" w:hAnsi="黑体" w:eastAsia="黑体" w:cs="黑体"/>
      <w:sz w:val="28"/>
      <w:szCs w:val="28"/>
      <w:lang w:eastAsia="en-US"/>
    </w:rPr>
  </w:style>
  <w:style w:type="character" w:customStyle="1" w:styleId="37">
    <w:name w:val="标题 2 字符"/>
    <w:link w:val="5"/>
    <w:qFormat/>
    <w:uiPriority w:val="99"/>
    <w:rPr>
      <w:rFonts w:ascii="仿宋" w:hAnsi="仿宋" w:eastAsia="仿宋" w:cs="宋体"/>
      <w:b/>
      <w:bCs/>
      <w:sz w:val="24"/>
      <w:szCs w:val="24"/>
    </w:rPr>
  </w:style>
  <w:style w:type="character" w:customStyle="1" w:styleId="38">
    <w:name w:val="正文缩进 字符1"/>
    <w:link w:val="7"/>
    <w:qFormat/>
    <w:uiPriority w:val="0"/>
    <w:rPr>
      <w:kern w:val="2"/>
      <w:sz w:val="21"/>
    </w:rPr>
  </w:style>
  <w:style w:type="character" w:customStyle="1" w:styleId="39">
    <w:name w:val="批注文字 字符"/>
    <w:link w:val="9"/>
    <w:qFormat/>
    <w:uiPriority w:val="0"/>
    <w:rPr>
      <w:kern w:val="2"/>
      <w:sz w:val="21"/>
      <w:szCs w:val="24"/>
    </w:rPr>
  </w:style>
  <w:style w:type="character" w:customStyle="1" w:styleId="40">
    <w:name w:val="页脚 字符"/>
    <w:link w:val="19"/>
    <w:qFormat/>
    <w:uiPriority w:val="99"/>
    <w:rPr>
      <w:sz w:val="18"/>
      <w:szCs w:val="18"/>
    </w:rPr>
  </w:style>
  <w:style w:type="character" w:customStyle="1" w:styleId="41">
    <w:name w:val="页眉 字符"/>
    <w:link w:val="20"/>
    <w:qFormat/>
    <w:uiPriority w:val="99"/>
    <w:rPr>
      <w:sz w:val="18"/>
      <w:szCs w:val="18"/>
    </w:rPr>
  </w:style>
  <w:style w:type="character" w:customStyle="1" w:styleId="42">
    <w:name w:val="普通(网站) 字符"/>
    <w:link w:val="25"/>
    <w:qFormat/>
    <w:locked/>
    <w:uiPriority w:val="0"/>
    <w:rPr>
      <w:rFonts w:ascii="宋体" w:hAnsi="宋体" w:eastAsia="宋体"/>
      <w:sz w:val="24"/>
    </w:rPr>
  </w:style>
  <w:style w:type="character" w:customStyle="1" w:styleId="43">
    <w:name w:val="批注主题 字符"/>
    <w:link w:val="26"/>
    <w:semiHidden/>
    <w:qFormat/>
    <w:uiPriority w:val="99"/>
    <w:rPr>
      <w:b/>
      <w:bCs/>
      <w:kern w:val="2"/>
      <w:sz w:val="21"/>
      <w:szCs w:val="24"/>
    </w:rPr>
  </w:style>
  <w:style w:type="character" w:customStyle="1" w:styleId="44">
    <w:name w:val="标题 1 字符"/>
    <w:link w:val="4"/>
    <w:qFormat/>
    <w:uiPriority w:val="9"/>
    <w:rPr>
      <w:b/>
      <w:bCs/>
      <w:kern w:val="44"/>
      <w:sz w:val="44"/>
      <w:szCs w:val="44"/>
    </w:rPr>
  </w:style>
  <w:style w:type="character" w:customStyle="1" w:styleId="45">
    <w:name w:val="页脚 字符1"/>
    <w:qFormat/>
    <w:locked/>
    <w:uiPriority w:val="99"/>
    <w:rPr>
      <w:sz w:val="18"/>
    </w:rPr>
  </w:style>
  <w:style w:type="character" w:customStyle="1" w:styleId="46">
    <w:name w:val="表格 Char"/>
    <w:link w:val="47"/>
    <w:qFormat/>
    <w:locked/>
    <w:uiPriority w:val="0"/>
    <w:rPr>
      <w:rFonts w:ascii="宋体"/>
    </w:rPr>
  </w:style>
  <w:style w:type="paragraph" w:customStyle="1" w:styleId="47">
    <w:name w:val="表格"/>
    <w:basedOn w:val="48"/>
    <w:next w:val="1"/>
    <w:link w:val="46"/>
    <w:qFormat/>
    <w:uiPriority w:val="99"/>
    <w:pPr>
      <w:adjustRightInd w:val="0"/>
      <w:snapToGrid w:val="0"/>
      <w:spacing w:beforeLines="10" w:afterLines="10" w:line="259" w:lineRule="auto"/>
      <w:jc w:val="center"/>
    </w:pPr>
    <w:rPr>
      <w:rFonts w:ascii="宋体" w:hAnsi="等线" w:eastAsia="等线" w:cs="Times New Roman"/>
      <w:szCs w:val="22"/>
    </w:rPr>
  </w:style>
  <w:style w:type="paragraph" w:customStyle="1" w:styleId="48">
    <w:name w:val="表头"/>
    <w:basedOn w:val="49"/>
    <w:next w:val="1"/>
    <w:unhideWhenUsed/>
    <w:qFormat/>
    <w:uiPriority w:val="99"/>
    <w:pPr>
      <w:spacing w:before="10" w:beforeLines="0" w:afterLines="0"/>
      <w:textAlignment w:val="baseline"/>
    </w:pPr>
    <w:rPr>
      <w:rFonts w:hint="default"/>
      <w:b/>
      <w:kern w:val="0"/>
      <w:sz w:val="24"/>
      <w:szCs w:val="24"/>
    </w:rPr>
  </w:style>
  <w:style w:type="paragraph" w:customStyle="1" w:styleId="49">
    <w:name w:val="图表"/>
    <w:basedOn w:val="1"/>
    <w:qFormat/>
    <w:uiPriority w:val="0"/>
    <w:pPr>
      <w:adjustRightInd w:val="0"/>
      <w:snapToGrid w:val="0"/>
      <w:jc w:val="center"/>
    </w:pPr>
    <w:rPr>
      <w:color w:val="000000"/>
      <w:szCs w:val="22"/>
      <w:lang w:val="zh-CN"/>
    </w:rPr>
  </w:style>
  <w:style w:type="paragraph" w:customStyle="1" w:styleId="50">
    <w:name w:val="文本"/>
    <w:basedOn w:val="1"/>
    <w:qFormat/>
    <w:uiPriority w:val="0"/>
    <w:pPr>
      <w:adjustRightInd w:val="0"/>
      <w:snapToGrid w:val="0"/>
      <w:spacing w:line="360" w:lineRule="auto"/>
      <w:ind w:firstLine="1446" w:firstLineChars="200"/>
    </w:pPr>
    <w:rPr>
      <w:rFonts w:ascii="Times New Roman" w:hAnsi="Times New Roman"/>
      <w:sz w:val="24"/>
      <w:szCs w:val="24"/>
    </w:rPr>
  </w:style>
  <w:style w:type="paragraph" w:customStyle="1" w:styleId="51">
    <w:name w:val="111正文"/>
    <w:basedOn w:val="1"/>
    <w:qFormat/>
    <w:uiPriority w:val="0"/>
    <w:pPr>
      <w:tabs>
        <w:tab w:val="left" w:pos="600"/>
      </w:tabs>
      <w:spacing w:line="360" w:lineRule="auto"/>
      <w:ind w:firstLine="200" w:firstLineChars="200"/>
    </w:pPr>
    <w:rPr>
      <w:kern w:val="0"/>
      <w:sz w:val="24"/>
      <w:szCs w:val="22"/>
    </w:rPr>
  </w:style>
  <w:style w:type="paragraph" w:customStyle="1" w:styleId="52">
    <w:name w:val="A正文"/>
    <w:basedOn w:val="1"/>
    <w:qFormat/>
    <w:uiPriority w:val="0"/>
    <w:pPr>
      <w:widowControl/>
      <w:spacing w:line="360" w:lineRule="auto"/>
      <w:ind w:firstLine="480" w:firstLineChars="200"/>
      <w:jc w:val="left"/>
    </w:pPr>
    <w:rPr>
      <w:kern w:val="0"/>
      <w:sz w:val="24"/>
    </w:rPr>
  </w:style>
  <w:style w:type="paragraph" w:customStyle="1" w:styleId="53">
    <w:name w:val="表格内文字"/>
    <w:basedOn w:val="1"/>
    <w:link w:val="54"/>
    <w:qFormat/>
    <w:uiPriority w:val="0"/>
    <w:pPr>
      <w:tabs>
        <w:tab w:val="left" w:pos="0"/>
      </w:tabs>
      <w:adjustRightInd w:val="0"/>
      <w:snapToGrid w:val="0"/>
      <w:jc w:val="center"/>
    </w:pPr>
    <w:rPr>
      <w:rFonts w:eastAsia="仿宋_GB2312"/>
      <w:sz w:val="24"/>
    </w:rPr>
  </w:style>
  <w:style w:type="character" w:customStyle="1" w:styleId="54">
    <w:name w:val="表格内文字 Char"/>
    <w:link w:val="53"/>
    <w:qFormat/>
    <w:uiPriority w:val="0"/>
    <w:rPr>
      <w:rFonts w:eastAsia="仿宋_GB2312"/>
      <w:kern w:val="2"/>
      <w:sz w:val="24"/>
      <w:szCs w:val="24"/>
    </w:rPr>
  </w:style>
  <w:style w:type="paragraph" w:customStyle="1" w:styleId="55">
    <w:name w:val="表格中文字"/>
    <w:basedOn w:val="1"/>
    <w:link w:val="56"/>
    <w:qFormat/>
    <w:uiPriority w:val="0"/>
    <w:pPr>
      <w:adjustRightInd w:val="0"/>
      <w:snapToGrid w:val="0"/>
      <w:jc w:val="center"/>
    </w:pPr>
    <w:rPr>
      <w:kern w:val="18"/>
      <w:szCs w:val="21"/>
    </w:rPr>
  </w:style>
  <w:style w:type="character" w:customStyle="1" w:styleId="56">
    <w:name w:val="表格中文字 Char Char"/>
    <w:link w:val="55"/>
    <w:qFormat/>
    <w:uiPriority w:val="0"/>
    <w:rPr>
      <w:kern w:val="18"/>
      <w:sz w:val="21"/>
      <w:szCs w:val="21"/>
    </w:rPr>
  </w:style>
  <w:style w:type="paragraph" w:customStyle="1" w:styleId="57">
    <w:name w:val="表格下方正文"/>
    <w:basedOn w:val="1"/>
    <w:qFormat/>
    <w:uiPriority w:val="0"/>
    <w:pPr>
      <w:spacing w:before="300" w:line="460" w:lineRule="exact"/>
      <w:ind w:firstLine="200" w:firstLineChars="200"/>
    </w:pPr>
  </w:style>
  <w:style w:type="paragraph" w:customStyle="1" w:styleId="58">
    <w:name w:val="5级标题"/>
    <w:basedOn w:val="1"/>
    <w:qFormat/>
    <w:uiPriority w:val="0"/>
    <w:pPr>
      <w:spacing w:line="360" w:lineRule="auto"/>
      <w:jc w:val="left"/>
    </w:pPr>
    <w:rPr>
      <w:kern w:val="0"/>
      <w:sz w:val="24"/>
    </w:rPr>
  </w:style>
  <w:style w:type="paragraph" w:customStyle="1" w:styleId="59">
    <w:name w:val="霍尼韦尔"/>
    <w:basedOn w:val="1"/>
    <w:qFormat/>
    <w:uiPriority w:val="0"/>
    <w:pPr>
      <w:spacing w:line="480" w:lineRule="exact"/>
      <w:ind w:firstLine="480" w:firstLineChars="200"/>
      <w:jc w:val="left"/>
    </w:pPr>
    <w:rPr>
      <w:kern w:val="0"/>
      <w:sz w:val="24"/>
    </w:rPr>
  </w:style>
  <w:style w:type="paragraph" w:styleId="60">
    <w:name w:val="List Paragraph"/>
    <w:basedOn w:val="1"/>
    <w:qFormat/>
    <w:uiPriority w:val="0"/>
    <w:pPr>
      <w:widowControl/>
      <w:ind w:left="720"/>
      <w:contextualSpacing/>
      <w:jc w:val="left"/>
    </w:pPr>
    <w:rPr>
      <w:rFonts w:ascii="Calibri" w:hAnsi="Calibri"/>
      <w:kern w:val="0"/>
      <w:sz w:val="22"/>
      <w:szCs w:val="22"/>
    </w:rPr>
  </w:style>
  <w:style w:type="paragraph" w:customStyle="1" w:styleId="61">
    <w:name w:val="二级无标题条"/>
    <w:basedOn w:val="1"/>
    <w:qFormat/>
    <w:uiPriority w:val="0"/>
  </w:style>
  <w:style w:type="paragraph" w:customStyle="1" w:styleId="62">
    <w:name w:val="Default"/>
    <w:basedOn w:val="1"/>
    <w:next w:val="1"/>
    <w:qFormat/>
    <w:uiPriority w:val="0"/>
    <w:pPr>
      <w:autoSpaceDE w:val="0"/>
      <w:autoSpaceDN w:val="0"/>
      <w:adjustRightInd w:val="0"/>
      <w:spacing w:after="200" w:line="276" w:lineRule="auto"/>
      <w:jc w:val="left"/>
      <w:outlineLvl w:val="3"/>
    </w:pPr>
    <w:rPr>
      <w:rFonts w:ascii="宋体" w:cs="宋体"/>
      <w:b/>
      <w:color w:val="000000"/>
      <w:sz w:val="24"/>
    </w:rPr>
  </w:style>
  <w:style w:type="character" w:customStyle="1" w:styleId="63">
    <w:name w:val="正文缩进 字符"/>
    <w:qFormat/>
    <w:uiPriority w:val="0"/>
    <w:rPr>
      <w:kern w:val="2"/>
      <w:sz w:val="21"/>
      <w:szCs w:val="24"/>
    </w:rPr>
  </w:style>
  <w:style w:type="paragraph" w:customStyle="1" w:styleId="64">
    <w:name w:val="图表文字"/>
    <w:basedOn w:val="1"/>
    <w:qFormat/>
    <w:uiPriority w:val="0"/>
    <w:pPr>
      <w:widowControl/>
      <w:ind w:right="-107" w:rightChars="-51"/>
      <w:jc w:val="center"/>
    </w:pPr>
    <w:rPr>
      <w:rFonts w:ascii="宋体" w:hAnsi="宋体"/>
      <w:kern w:val="0"/>
      <w:sz w:val="22"/>
      <w:szCs w:val="20"/>
    </w:rPr>
  </w:style>
  <w:style w:type="character" w:customStyle="1" w:styleId="65">
    <w:name w:val="15"/>
    <w:qFormat/>
    <w:uiPriority w:val="0"/>
    <w:rPr>
      <w:rFonts w:hint="eastAsia" w:ascii="仿宋_GB2312" w:eastAsia="仿宋_GB2312"/>
      <w:b/>
      <w:bCs/>
      <w:kern w:val="2"/>
      <w:sz w:val="24"/>
      <w:szCs w:val="24"/>
    </w:rPr>
  </w:style>
  <w:style w:type="paragraph" w:customStyle="1" w:styleId="66">
    <w:name w:val="图表 标题"/>
    <w:basedOn w:val="1"/>
    <w:qFormat/>
    <w:uiPriority w:val="0"/>
    <w:pPr>
      <w:spacing w:beforeLines="20" w:afterLines="20"/>
      <w:jc w:val="center"/>
    </w:pPr>
    <w:rPr>
      <w:rFonts w:ascii="仿宋_GB2312" w:hAnsi="宋体" w:eastAsia="仿宋_GB2312" w:cs="宋体"/>
      <w:b/>
      <w:bCs/>
      <w:sz w:val="24"/>
    </w:rPr>
  </w:style>
  <w:style w:type="paragraph" w:customStyle="1" w:styleId="67">
    <w:name w:val="报告表正文"/>
    <w:basedOn w:val="68"/>
    <w:qFormat/>
    <w:uiPriority w:val="0"/>
    <w:pPr>
      <w:spacing w:line="400" w:lineRule="exact"/>
      <w:ind w:firstLine="200" w:firstLineChars="200"/>
      <w:jc w:val="left"/>
    </w:pPr>
    <w:rPr>
      <w:rFonts w:eastAsia="仿宋_GB2312"/>
      <w:sz w:val="24"/>
    </w:rPr>
  </w:style>
  <w:style w:type="paragraph" w:customStyle="1" w:styleId="68">
    <w:name w:val="列表1"/>
    <w:basedOn w:val="1"/>
    <w:qFormat/>
    <w:uiPriority w:val="0"/>
    <w:pPr>
      <w:spacing w:line="400" w:lineRule="exact"/>
      <w:jc w:val="center"/>
    </w:pPr>
    <w:rPr>
      <w:rFonts w:ascii="宋体" w:hAnsi="宋体" w:eastAsia="仿宋_GB2312"/>
      <w:sz w:val="24"/>
      <w:szCs w:val="20"/>
    </w:rPr>
  </w:style>
  <w:style w:type="paragraph" w:customStyle="1" w:styleId="69">
    <w:name w:val="Table Paragraph"/>
    <w:basedOn w:val="1"/>
    <w:next w:val="1"/>
    <w:qFormat/>
    <w:uiPriority w:val="0"/>
    <w:pPr>
      <w:autoSpaceDE w:val="0"/>
      <w:autoSpaceDN w:val="0"/>
      <w:jc w:val="left"/>
    </w:pPr>
    <w:rPr>
      <w:rFonts w:ascii="仿宋" w:hAnsi="仿宋" w:eastAsia="仿宋" w:cs="宋体"/>
      <w:kern w:val="0"/>
      <w:sz w:val="22"/>
      <w:szCs w:val="22"/>
    </w:rPr>
  </w:style>
  <w:style w:type="paragraph" w:customStyle="1" w:styleId="70">
    <w:name w:val="List Paragraph1"/>
    <w:basedOn w:val="1"/>
    <w:qFormat/>
    <w:uiPriority w:val="0"/>
    <w:pPr>
      <w:autoSpaceDE w:val="0"/>
      <w:autoSpaceDN w:val="0"/>
      <w:ind w:left="1306" w:hanging="602"/>
      <w:jc w:val="left"/>
    </w:pPr>
    <w:rPr>
      <w:rFonts w:ascii="仿宋" w:hAnsi="仿宋" w:eastAsia="仿宋" w:cs="宋体"/>
      <w:kern w:val="0"/>
      <w:sz w:val="22"/>
      <w:szCs w:val="22"/>
    </w:rPr>
  </w:style>
  <w:style w:type="paragraph" w:customStyle="1" w:styleId="71">
    <w:name w:val="表格内"/>
    <w:basedOn w:val="1"/>
    <w:qFormat/>
    <w:uiPriority w:val="0"/>
    <w:pPr>
      <w:adjustRightInd w:val="0"/>
      <w:spacing w:line="240" w:lineRule="atLeast"/>
      <w:jc w:val="center"/>
      <w:textAlignment w:val="baseline"/>
    </w:pPr>
    <w:rPr>
      <w:rFonts w:ascii="宋体"/>
      <w:kern w:val="0"/>
      <w:szCs w:val="20"/>
    </w:rPr>
  </w:style>
  <w:style w:type="paragraph" w:customStyle="1" w:styleId="72">
    <w:name w:val="表格内容"/>
    <w:basedOn w:val="1"/>
    <w:qFormat/>
    <w:uiPriority w:val="0"/>
    <w:pPr>
      <w:widowControl/>
      <w:adjustRightInd w:val="0"/>
      <w:snapToGrid w:val="0"/>
      <w:jc w:val="center"/>
    </w:pPr>
    <w:rPr>
      <w:rFonts w:cs="宋体"/>
      <w:kern w:val="0"/>
    </w:rPr>
  </w:style>
  <w:style w:type="paragraph" w:customStyle="1" w:styleId="73">
    <w:name w:val="TOC 标题1"/>
    <w:basedOn w:val="4"/>
    <w:next w:val="1"/>
    <w:unhideWhenUsed/>
    <w:qFormat/>
    <w:uiPriority w:val="39"/>
    <w:pPr>
      <w:widowControl/>
      <w:spacing w:before="240" w:after="0" w:line="259" w:lineRule="auto"/>
      <w:jc w:val="left"/>
      <w:outlineLvl w:val="9"/>
    </w:pPr>
    <w:rPr>
      <w:rFonts w:ascii="等线 Light" w:hAnsi="等线 Light" w:eastAsia="等线 Light" w:cs="Times New Roman"/>
      <w:b w:val="0"/>
      <w:bCs w:val="0"/>
      <w:color w:val="2F5496"/>
      <w:kern w:val="0"/>
      <w:sz w:val="32"/>
      <w:szCs w:val="32"/>
    </w:rPr>
  </w:style>
  <w:style w:type="paragraph" w:customStyle="1" w:styleId="74">
    <w:name w:val="正本文字"/>
    <w:basedOn w:val="1"/>
    <w:qFormat/>
    <w:uiPriority w:val="0"/>
    <w:pPr>
      <w:adjustRightInd w:val="0"/>
      <w:snapToGrid w:val="0"/>
      <w:spacing w:line="360" w:lineRule="auto"/>
      <w:ind w:firstLine="200" w:firstLineChars="200"/>
      <w:jc w:val="left"/>
    </w:pPr>
    <w:rPr>
      <w:kern w:val="18"/>
      <w:sz w:val="24"/>
    </w:rPr>
  </w:style>
  <w:style w:type="paragraph" w:customStyle="1" w:styleId="75">
    <w:name w:val="1表格"/>
    <w:basedOn w:val="1"/>
    <w:qFormat/>
    <w:uiPriority w:val="0"/>
    <w:pPr>
      <w:spacing w:line="160" w:lineRule="atLeast"/>
      <w:jc w:val="center"/>
    </w:pPr>
    <w:rPr>
      <w:rFonts w:eastAsia="仿宋_GB2312"/>
    </w:rPr>
  </w:style>
  <w:style w:type="paragraph" w:customStyle="1" w:styleId="76">
    <w:name w:val="小四表文左齐"/>
    <w:basedOn w:val="1"/>
    <w:qFormat/>
    <w:uiPriority w:val="99"/>
    <w:pPr>
      <w:spacing w:line="240" w:lineRule="auto"/>
      <w:ind w:firstLine="0" w:firstLineChars="0"/>
      <w:jc w:val="center"/>
    </w:pPr>
    <w:rPr>
      <w:rFonts w:ascii="宋体" w:hAnsi="宋体"/>
      <w:sz w:val="21"/>
      <w:szCs w:val="21"/>
    </w:rPr>
  </w:style>
  <w:style w:type="paragraph" w:customStyle="1" w:styleId="77">
    <w:name w:val="封面三号字 居中"/>
    <w:basedOn w:val="1"/>
    <w:qFormat/>
    <w:uiPriority w:val="0"/>
    <w:pPr>
      <w:widowControl w:val="0"/>
      <w:adjustRightInd/>
      <w:snapToGrid/>
      <w:spacing w:after="0"/>
      <w:jc w:val="center"/>
    </w:pPr>
    <w:rPr>
      <w:rFonts w:ascii="Times New Roman" w:hAnsi="Times New Roman" w:eastAsia="宋体" w:cs="宋体"/>
      <w:kern w:val="2"/>
      <w:sz w:val="32"/>
      <w:szCs w:val="20"/>
    </w:rPr>
  </w:style>
  <w:style w:type="character" w:customStyle="1" w:styleId="78">
    <w:name w:val="font11"/>
    <w:qFormat/>
    <w:uiPriority w:val="0"/>
    <w:rPr>
      <w:rFonts w:hint="eastAsia" w:ascii="宋体" w:hAnsi="宋体" w:eastAsia="宋体" w:cs="宋体"/>
      <w:b/>
      <w:bCs/>
      <w:color w:val="000000"/>
      <w:sz w:val="22"/>
      <w:szCs w:val="22"/>
      <w:u w:val="none"/>
    </w:rPr>
  </w:style>
  <w:style w:type="character" w:customStyle="1" w:styleId="79">
    <w:name w:val="font71"/>
    <w:qFormat/>
    <w:uiPriority w:val="0"/>
    <w:rPr>
      <w:rFonts w:hint="default" w:ascii="Times New Roman" w:hAnsi="Times New Roman" w:cs="Times New Roman"/>
      <w:b/>
      <w:bCs/>
      <w:color w:val="000000"/>
      <w:sz w:val="21"/>
      <w:szCs w:val="21"/>
      <w:u w:val="none"/>
    </w:rPr>
  </w:style>
  <w:style w:type="character" w:customStyle="1" w:styleId="80">
    <w:name w:val="font81"/>
    <w:qFormat/>
    <w:uiPriority w:val="0"/>
    <w:rPr>
      <w:rFonts w:hint="eastAsia" w:ascii="宋体" w:hAnsi="宋体" w:eastAsia="宋体" w:cs="宋体"/>
      <w:b/>
      <w:bCs/>
      <w:color w:val="000000"/>
      <w:sz w:val="21"/>
      <w:szCs w:val="21"/>
      <w:u w:val="none"/>
    </w:rPr>
  </w:style>
  <w:style w:type="paragraph" w:customStyle="1" w:styleId="81">
    <w:name w:val="xl740"/>
    <w:basedOn w:val="1"/>
    <w:qFormat/>
    <w:uiPriority w:val="0"/>
    <w:pPr>
      <w:pBdr>
        <w:left w:val="single" w:color="auto" w:sz="4" w:space="0"/>
        <w:bottom w:val="single" w:color="auto" w:sz="4" w:space="0"/>
        <w:right w:val="single" w:color="auto" w:sz="4" w:space="0"/>
      </w:pBdr>
      <w:adjustRightInd/>
      <w:snapToGrid/>
      <w:spacing w:before="100" w:beforeAutospacing="1" w:after="100" w:afterAutospacing="1"/>
      <w:jc w:val="center"/>
    </w:pPr>
    <w:rPr>
      <w:rFonts w:ascii="Courier New" w:hAnsi="Courier New" w:eastAsia="Arial Unicode MS"/>
      <w:sz w:val="24"/>
      <w:szCs w:val="24"/>
    </w:rPr>
  </w:style>
  <w:style w:type="paragraph" w:customStyle="1" w:styleId="82">
    <w:name w:val="表标题"/>
    <w:next w:val="1"/>
    <w:qFormat/>
    <w:uiPriority w:val="0"/>
    <w:pPr>
      <w:spacing w:before="60"/>
      <w:jc w:val="center"/>
    </w:pPr>
    <w:rPr>
      <w:rFonts w:ascii="Times New Roman" w:hAnsi="Times New Roman" w:eastAsia="宋体" w:cs="Times New Roman"/>
      <w:b/>
      <w:kern w:val="2"/>
      <w:sz w:val="24"/>
      <w:szCs w:val="24"/>
      <w:lang w:val="en-US" w:eastAsia="zh-CN" w:bidi="ar-SA"/>
    </w:rPr>
  </w:style>
  <w:style w:type="paragraph" w:customStyle="1" w:styleId="83">
    <w:name w:val="样式 自动设置"/>
    <w:basedOn w:val="1"/>
    <w:qFormat/>
    <w:uiPriority w:val="0"/>
    <w:pPr>
      <w:autoSpaceDE w:val="0"/>
      <w:autoSpaceDN w:val="0"/>
      <w:adjustRightInd w:val="0"/>
      <w:snapToGrid w:val="0"/>
      <w:spacing w:beforeLines="50" w:line="288" w:lineRule="auto"/>
      <w:ind w:firstLine="200" w:firstLineChars="200"/>
    </w:pPr>
    <w:rPr>
      <w:sz w:val="24"/>
    </w:rPr>
  </w:style>
  <w:style w:type="paragraph" w:customStyle="1" w:styleId="84">
    <w:name w:val="样式a"/>
    <w:basedOn w:val="1"/>
    <w:qFormat/>
    <w:uiPriority w:val="0"/>
    <w:pPr>
      <w:jc w:val="center"/>
    </w:pPr>
    <w:rPr>
      <w:rFonts w:cs="宋体"/>
      <w:szCs w:val="20"/>
    </w:rPr>
  </w:style>
  <w:style w:type="paragraph" w:customStyle="1" w:styleId="85">
    <w:name w:val="样式 列表 + 左侧:  0 厘米 悬挂缩进: 5.85 字符"/>
    <w:basedOn w:val="22"/>
    <w:qFormat/>
    <w:uiPriority w:val="0"/>
    <w:pPr>
      <w:widowControl w:val="0"/>
      <w:autoSpaceDE w:val="0"/>
      <w:autoSpaceDN w:val="0"/>
      <w:adjustRightInd w:val="0"/>
      <w:snapToGrid w:val="0"/>
      <w:ind w:left="-2" w:leftChars="-8" w:hanging="17" w:hangingChars="8"/>
      <w:contextualSpacing/>
      <w:jc w:val="center"/>
    </w:pPr>
    <w:rPr>
      <w:rFonts w:ascii="宋体" w:hAnsi="宋体" w:eastAsia="宋体" w:cs="宋体"/>
      <w:kern w:val="2"/>
      <w:sz w:val="21"/>
      <w:szCs w:val="21"/>
      <w:lang w:val="zh-CN"/>
    </w:rPr>
  </w:style>
  <w:style w:type="paragraph" w:customStyle="1" w:styleId="86">
    <w:name w:val="_Style 143"/>
    <w:basedOn w:val="1"/>
    <w:next w:val="60"/>
    <w:qFormat/>
    <w:uiPriority w:val="34"/>
    <w:pPr>
      <w:ind w:firstLine="420" w:firstLineChars="200"/>
    </w:pPr>
    <w:rPr>
      <w:szCs w:val="22"/>
    </w:rPr>
  </w:style>
  <w:style w:type="paragraph" w:customStyle="1" w:styleId="87">
    <w:name w:val="Body Text 21"/>
    <w:basedOn w:val="1"/>
    <w:qFormat/>
    <w:uiPriority w:val="0"/>
    <w:pPr>
      <w:adjustRightInd w:val="0"/>
      <w:textAlignment w:val="baseline"/>
    </w:pPr>
    <w:rPr>
      <w:rFonts w:eastAsia="仿宋体"/>
      <w:sz w:val="24"/>
      <w:szCs w:val="20"/>
    </w:rPr>
  </w:style>
  <w:style w:type="paragraph" w:customStyle="1" w:styleId="88">
    <w:name w:val="表格文字"/>
    <w:basedOn w:val="1"/>
    <w:qFormat/>
    <w:uiPriority w:val="0"/>
    <w:pPr>
      <w:jc w:val="center"/>
    </w:pPr>
    <w:rPr>
      <w:rFonts w:ascii="仿宋_GB2312" w:hAnsi="Arial Black" w:eastAsia="仿宋_GB2312"/>
      <w:kern w:val="44"/>
      <w:sz w:val="24"/>
    </w:rPr>
  </w:style>
  <w:style w:type="paragraph" w:customStyle="1" w:styleId="89">
    <w:name w:val="xl27"/>
    <w:basedOn w:val="1"/>
    <w:qFormat/>
    <w:uiPriority w:val="0"/>
    <w:pPr>
      <w:widowControl/>
      <w:pBdr>
        <w:bottom w:val="single" w:color="auto" w:sz="12" w:space="0"/>
      </w:pBdr>
      <w:spacing w:before="100" w:after="100"/>
      <w:jc w:val="center"/>
    </w:pPr>
    <w:rPr>
      <w:rFonts w:ascii="宋体" w:hAnsi="宋体"/>
      <w:kern w:val="0"/>
    </w:rPr>
  </w:style>
  <w:style w:type="character" w:customStyle="1" w:styleId="90">
    <w:name w:val="apple-converted-space"/>
    <w:qFormat/>
    <w:uiPriority w:val="0"/>
  </w:style>
  <w:style w:type="paragraph" w:customStyle="1" w:styleId="91">
    <w:name w:val="表格首行"/>
    <w:basedOn w:val="1"/>
    <w:qFormat/>
    <w:uiPriority w:val="0"/>
    <w:pPr>
      <w:jc w:val="center"/>
    </w:pPr>
    <w:rPr>
      <w:rFonts w:eastAsia="仿宋_GB2312"/>
      <w:b/>
      <w:szCs w:val="21"/>
    </w:rPr>
  </w:style>
  <w:style w:type="paragraph" w:customStyle="1" w:styleId="92">
    <w:name w:val="表格普通"/>
    <w:basedOn w:val="1"/>
    <w:qFormat/>
    <w:uiPriority w:val="0"/>
    <w:pPr>
      <w:jc w:val="center"/>
    </w:pPr>
    <w:rPr>
      <w:rFonts w:eastAsia="仿宋_GB2312"/>
      <w:szCs w:val="21"/>
    </w:rPr>
  </w:style>
  <w:style w:type="paragraph" w:customStyle="1" w:styleId="93">
    <w:name w:val="表蕊"/>
    <w:basedOn w:val="1"/>
    <w:qFormat/>
    <w:uiPriority w:val="0"/>
    <w:pPr>
      <w:adjustRightInd w:val="0"/>
      <w:spacing w:line="320" w:lineRule="atLeast"/>
      <w:jc w:val="left"/>
      <w:textAlignment w:val="baseline"/>
    </w:pPr>
    <w:rPr>
      <w:rFonts w:eastAsia="楷体_GB2312"/>
      <w:spacing w:val="-10"/>
      <w:kern w:val="0"/>
    </w:rPr>
  </w:style>
  <w:style w:type="paragraph" w:customStyle="1" w:styleId="94">
    <w:name w:val="表格 首行文字"/>
    <w:qFormat/>
    <w:uiPriority w:val="0"/>
    <w:pPr>
      <w:adjustRightInd w:val="0"/>
      <w:snapToGrid w:val="0"/>
      <w:jc w:val="center"/>
    </w:pPr>
    <w:rPr>
      <w:rFonts w:ascii="Times New Roman" w:hAnsi="Times New Roman" w:eastAsia="仿宋_GB2312" w:cs="Times New Roman"/>
      <w:b/>
      <w:kern w:val="2"/>
      <w:sz w:val="21"/>
      <w:szCs w:val="22"/>
      <w:lang w:val="en-US" w:eastAsia="zh-CN" w:bidi="ar-SA"/>
    </w:rPr>
  </w:style>
  <w:style w:type="paragraph" w:customStyle="1" w:styleId="95">
    <w:name w:val="0000"/>
    <w:basedOn w:val="1"/>
    <w:qFormat/>
    <w:uiPriority w:val="0"/>
    <w:pPr>
      <w:adjustRightInd w:val="0"/>
      <w:snapToGrid w:val="0"/>
    </w:pPr>
    <w:rPr>
      <w:rFonts w:hint="eastAsia" w:ascii="Times New Roman" w:hAnsi="Times New Roman" w:eastAsia="宋体"/>
      <w:sz w:val="24"/>
      <w:lang w:val="zh-TW"/>
    </w:rPr>
  </w:style>
  <w:style w:type="paragraph" w:customStyle="1" w:styleId="96">
    <w:name w:val="环正文"/>
    <w:basedOn w:val="1"/>
    <w:qFormat/>
    <w:uiPriority w:val="0"/>
    <w:pPr>
      <w:widowControl/>
      <w:tabs>
        <w:tab w:val="left" w:pos="5094"/>
      </w:tabs>
      <w:adjustRightInd w:val="0"/>
      <w:snapToGrid w:val="0"/>
      <w:spacing w:line="500" w:lineRule="exact"/>
      <w:ind w:firstLine="562"/>
      <w:textAlignment w:val="baseline"/>
    </w:pPr>
    <w:rPr>
      <w:rFonts w:eastAsia="仿宋_GB2312"/>
      <w:b/>
      <w:kern w:val="24"/>
      <w:sz w:val="28"/>
      <w:szCs w:val="28"/>
    </w:rPr>
  </w:style>
  <w:style w:type="character" w:customStyle="1" w:styleId="97">
    <w:name w:val="apple-style-span"/>
    <w:basedOn w:val="30"/>
    <w:qFormat/>
    <w:uiPriority w:val="0"/>
  </w:style>
  <w:style w:type="paragraph" w:customStyle="1" w:styleId="98">
    <w:name w:val="表格 普通文字"/>
    <w:qFormat/>
    <w:uiPriority w:val="99"/>
    <w:pPr>
      <w:jc w:val="center"/>
    </w:pPr>
    <w:rPr>
      <w:rFonts w:ascii="Times New Roman" w:hAnsi="Times New Roman" w:eastAsia="仿宋_GB2312"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er" Target="footer1.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wmf"/><Relationship Id="rId24" Type="http://schemas.openxmlformats.org/officeDocument/2006/relationships/oleObject" Target="embeddings/oleObject7.bin"/><Relationship Id="rId23" Type="http://schemas.openxmlformats.org/officeDocument/2006/relationships/image" Target="media/image10.emf"/><Relationship Id="rId22" Type="http://schemas.openxmlformats.org/officeDocument/2006/relationships/oleObject" Target="embeddings/oleObject6.bin"/><Relationship Id="rId21" Type="http://schemas.openxmlformats.org/officeDocument/2006/relationships/image" Target="media/image9.w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4.bin"/><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emf"/><Relationship Id="rId14" Type="http://schemas.openxmlformats.org/officeDocument/2006/relationships/oleObject" Target="embeddings/oleObject3.bin"/><Relationship Id="rId13" Type="http://schemas.openxmlformats.org/officeDocument/2006/relationships/image" Target="media/image4.emf"/><Relationship Id="rId12" Type="http://schemas.openxmlformats.org/officeDocument/2006/relationships/oleObject" Target="embeddings/oleObject2.bin"/><Relationship Id="rId11" Type="http://schemas.openxmlformats.org/officeDocument/2006/relationships/image" Target="media/image3.emf"/><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extobjs>
    <extobj name="ECB019B1-382A-4266-B25C-5B523AA43C14-1">
      <extobjdata type="ECB019B1-382A-4266-B25C-5B523AA43C14" data="ewogICAiRmlsZUlkIiA6ICIxMTY1MDcxNTM3MDMiLAogICAiR3JvdXBJZCIgOiAiMjA3NjY5OTQ1IiwKICAgIkltYWdlIiA6ICJpVkJPUncwS0dnb0FBQUFOU1VoRVVnQUFBbndBQUFNVENBWUFBQUE3T01wdEFBQUFDWEJJV1hNQUFBc1RBQUFMRXdFQW1wd1lBQUFnQUVsRVFWUjRuT3pkZVhnYjFiMC8vdmRvbHl4WnNpVmIzdVI0amVYSVM2VFFRbG9vK1JGQ0tLU0ZzbE1vTFZEb2hiS1ZzdmJMVXNwdGUwdWhoWmE5TFV2WktWQW9jRU1LaFlSZUdnTFlqaE03Y2VJdDNpMXZraGRaMWpxL1B5d1oyYkZqeDFua09PL1g4L2lSNXN5Wm1jOUl3ZjV3enB4ekFD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2lHZmovL3lQb3daNkhhc29BQUFBQVNVVk9SSzVDWUlJPSIsCiAgICJUeXBlIiA6ICJmbG93Igp9Cg=="/>
    </extobj>
    <extobj name="ECB019B1-382A-4266-B25C-5B523AA43C14-2">
      <extobjdata type="ECB019B1-382A-4266-B25C-5B523AA43C14" data="ewogICAiRmlsZUlkIiA6ICIxMTY1MDcxNTM3MDMiLAogICAiR3JvdXBJZCIgOiAiMjA3NjY5OTQ1IiwKICAgIkltYWdlIiA6ICJpVkJPUncwS0dnb0FBQUFOU1VoRVVnQUFBbndBQUFNVENBWUFBQUE3T01wdEFBQUFDWEJJV1hNQUFBc1RBQUFMRXdFQW1wd1lBQUFnQUVsRVFWUjRuT3pkZVhnYjFiMC8vdmRvbHl4WnNpVmIzdVI0amVYSVM2VFFRbG9vK1JGQ0tLU0ZzbE1vTFZEb2hiS1ZzdmJMVXNwdGUwdWhoWmE5TFV2WktWQW9jRU1LaFlSZUdnTFlqaE03Y2VJdDNpMXZraGRaMWpxL1B5d1oyYkZqeDFua09PL1g4L2lSNXN5Wm1jOUl3ZjV3enB4ekFD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2lHZmovL3lQb3daNkhhc29BQUFBQVNVVk9SSzVDWUlJPSIsCiAgICJUeXBlIiA6ICJmbG93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84</Pages>
  <Words>555</Words>
  <Characters>596</Characters>
  <Lines>480</Lines>
  <Paragraphs>135</Paragraphs>
  <TotalTime>26</TotalTime>
  <ScaleCrop>false</ScaleCrop>
  <LinksUpToDate>false</LinksUpToDate>
  <CharactersWithSpaces>733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2021-01-21T15:19:00Z</dcterms:created>
  <dc:creator>xu luling</dc:creator>
  <cp:lastModifiedBy>XYQ</cp:lastModifiedBy>
  <cp:lastPrinted>2025-10-14T10:00:00Z</cp:lastPrinted>
  <dcterms:modified xsi:type="dcterms:W3CDTF">2026-02-06T01:02:52Z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ED6002C7AB0C4D229ABEFC9BA309E84D_13</vt:lpwstr>
  </property>
  <property fmtid="{D5CDD505-2E9C-101B-9397-08002B2CF9AE}" pid="4" name="KSOTemplateDocerSaveRecord">
    <vt:lpwstr>eyJoZGlkIjoiMWNjNDViOTNmMTI2MDA5Yzc1OTgwZmM1M2U1MDg4M2IiLCJ1c2VySWQiOiIzODE4NDU5MjQifQ==</vt:lpwstr>
  </property>
</Properties>
</file>